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36"/>
          <w:szCs w:val="36"/>
          <w:highlight w:val="none"/>
          <w:lang w:val="zh-CN" w:eastAsia="zh-CN"/>
          <w14:textFill>
            <w14:solidFill>
              <w14:schemeClr w14:val="tx1"/>
            </w14:solidFill>
          </w14:textFill>
        </w:rPr>
        <w:t>招标公告</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南京医科大学</w:t>
      </w:r>
      <w:r>
        <w:rPr>
          <w:rFonts w:hint="default" w:ascii="宋体" w:hAnsi="宋体" w:cs="宋体"/>
          <w:color w:val="000000" w:themeColor="text1"/>
          <w:szCs w:val="21"/>
          <w:highlight w:val="none"/>
          <w:u w:val="single"/>
          <w:lang w:val="en-US" w:eastAsia="zh-CN"/>
          <w14:textFill>
            <w14:solidFill>
              <w14:schemeClr w14:val="tx1"/>
            </w14:solidFill>
          </w14:textFill>
        </w:rPr>
        <w:t>PCR</w:t>
      </w:r>
      <w:r>
        <w:rPr>
          <w:rFonts w:hint="eastAsia" w:ascii="宋体" w:hAnsi="宋体" w:cs="宋体"/>
          <w:color w:val="000000" w:themeColor="text1"/>
          <w:szCs w:val="21"/>
          <w:highlight w:val="none"/>
          <w:u w:val="single"/>
          <w:lang w:eastAsia="zh-CN"/>
          <w14:textFill>
            <w14:solidFill>
              <w14:schemeClr w14:val="tx1"/>
            </w14:solidFill>
          </w14:textFill>
        </w:rPr>
        <w:t>仪购置项目</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2023年</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0" w:name="_Toc35393621"/>
      <w:bookmarkStart w:id="1" w:name="_Toc35393790"/>
      <w:bookmarkStart w:id="2" w:name="_Toc28359002"/>
      <w:bookmarkStart w:id="3" w:name="_Toc28359079"/>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w:t>
      </w:r>
      <w:r>
        <w:rPr>
          <w:rFonts w:hint="eastAsia" w:ascii="宋体" w:hAnsi="宋体" w:cs="宋体"/>
          <w:color w:val="000000" w:themeColor="text1"/>
          <w:szCs w:val="21"/>
          <w:highlight w:val="none"/>
          <w:lang w:eastAsia="zh-CN"/>
          <w14:textFill>
            <w14:solidFill>
              <w14:schemeClr w14:val="tx1"/>
            </w14:solidFill>
          </w14:textFill>
        </w:rPr>
        <w:t>20230313</w:t>
      </w:r>
    </w:p>
    <w:p>
      <w:pPr>
        <w:spacing w:line="360" w:lineRule="auto"/>
        <w:ind w:firstLine="420" w:firstLineChars="200"/>
        <w:jc w:val="left"/>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default" w:ascii="宋体" w:hAnsi="宋体" w:cs="宋体"/>
          <w:color w:val="000000" w:themeColor="text1"/>
          <w:szCs w:val="21"/>
          <w:highlight w:val="none"/>
          <w:lang w:val="en-US" w:eastAsia="zh-CN"/>
          <w14:textFill>
            <w14:solidFill>
              <w14:schemeClr w14:val="tx1"/>
            </w14:solidFill>
          </w14:textFill>
        </w:rPr>
        <w:t>南京医科大学PCR仪购置项目</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w:t>
      </w: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万元</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w:t>
      </w:r>
      <w:r>
        <w:rPr>
          <w:rFonts w:ascii="宋体" w:hAnsi="宋体" w:cs="宋体"/>
          <w:color w:val="000000" w:themeColor="text1"/>
          <w:szCs w:val="21"/>
          <w:highlight w:val="none"/>
          <w14:textFill>
            <w14:solidFill>
              <w14:schemeClr w14:val="tx1"/>
            </w14:solidFill>
          </w14:textFill>
        </w:rPr>
        <w:t>35</w:t>
      </w:r>
      <w:r>
        <w:rPr>
          <w:rFonts w:hint="eastAsia" w:ascii="宋体" w:hAnsi="宋体" w:cs="宋体"/>
          <w:color w:val="000000" w:themeColor="text1"/>
          <w:szCs w:val="21"/>
          <w:highlight w:val="none"/>
          <w14:textFill>
            <w14:solidFill>
              <w14:schemeClr w14:val="tx1"/>
            </w14:solidFill>
          </w14:textFill>
        </w:rPr>
        <w:t>万元，投标报价超过最高限价的为无效投标。</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南京医科大学</w:t>
      </w:r>
      <w:r>
        <w:rPr>
          <w:rFonts w:hint="default" w:ascii="宋体" w:hAnsi="宋体" w:cs="宋体"/>
          <w:color w:val="000000" w:themeColor="text1"/>
          <w:szCs w:val="21"/>
          <w:highlight w:val="none"/>
          <w:lang w:val="en-US" w:eastAsia="zh-CN"/>
          <w14:textFill>
            <w14:solidFill>
              <w14:schemeClr w14:val="tx1"/>
            </w14:solidFill>
          </w14:textFill>
        </w:rPr>
        <w:t>PCR</w:t>
      </w:r>
      <w:r>
        <w:rPr>
          <w:rFonts w:hint="eastAsia" w:ascii="宋体" w:hAnsi="宋体" w:cs="宋体"/>
          <w:color w:val="000000" w:themeColor="text1"/>
          <w:szCs w:val="21"/>
          <w:highlight w:val="none"/>
          <w:lang w:eastAsia="zh-CN"/>
          <w14:textFill>
            <w14:solidFill>
              <w14:schemeClr w14:val="tx1"/>
            </w14:solidFill>
          </w14:textFill>
        </w:rPr>
        <w:t>仪购置项目</w:t>
      </w:r>
      <w:r>
        <w:rPr>
          <w:rFonts w:hint="eastAsia" w:ascii="宋体" w:hAnsi="宋体" w:cs="宋体"/>
          <w:color w:val="000000" w:themeColor="text1"/>
          <w:szCs w:val="21"/>
          <w:highlight w:val="none"/>
          <w14:textFill>
            <w14:solidFill>
              <w14:schemeClr w14:val="tx1"/>
            </w14:solidFill>
          </w14:textFill>
        </w:rPr>
        <w:t>，具体详见招标文件。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合同履行期限（交货期）：</w:t>
      </w:r>
      <w:bookmarkStart w:id="5" w:name="_Toc35393622"/>
      <w:bookmarkStart w:id="6" w:name="_Toc35393791"/>
      <w:bookmarkStart w:id="7" w:name="_Toc28359080"/>
      <w:bookmarkStart w:id="8" w:name="_Toc28359003"/>
      <w:r>
        <w:rPr>
          <w:rFonts w:hint="eastAsia" w:ascii="宋体" w:hAnsi="宋体" w:eastAsia="宋体" w:cs="宋体"/>
          <w:color w:val="000000" w:themeColor="text1"/>
          <w:szCs w:val="21"/>
          <w:highlight w:val="none"/>
          <w14:textFill>
            <w14:solidFill>
              <w14:schemeClr w14:val="tx1"/>
            </w14:solidFill>
          </w14:textFill>
        </w:rPr>
        <w:t>合同签订生效后，进口设备（免税）三个月内、国产设备及进口设备（非免税）一个月内全部设备、材料运抵现场，并安装、调试结束，验收合格，交付买方使用</w:t>
      </w:r>
      <w:r>
        <w:rPr>
          <w:rFonts w:hint="eastAsia"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bookmarkEnd w:id="5"/>
      <w:bookmarkEnd w:id="6"/>
      <w:bookmarkEnd w:id="7"/>
      <w:bookmarkEnd w:id="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9" w:name="_Toc28359081"/>
      <w:bookmarkStart w:id="10" w:name="_Toc28359004"/>
      <w:r>
        <w:rPr>
          <w:rFonts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（2）具有良好的商业信誉和健全的财务会计制度（提供</w:t>
      </w:r>
      <w:r>
        <w:rPr>
          <w:rFonts w:hint="eastAsia" w:ascii="宋体" w:hAnsi="宋体" w:cs="宋体"/>
          <w:color w:val="000000" w:themeColor="text1"/>
          <w:szCs w:val="21"/>
          <w:highlight w:val="none"/>
          <w14:textFill>
            <w14:solidFill>
              <w14:schemeClr w14:val="tx1"/>
            </w14:solidFill>
          </w14:textFill>
        </w:rPr>
        <w:t>2022</w:t>
      </w:r>
      <w:r>
        <w:rPr>
          <w:rFonts w:ascii="宋体" w:hAnsi="宋体" w:cs="宋体"/>
          <w:color w:val="000000" w:themeColor="text1"/>
          <w:szCs w:val="21"/>
          <w:highlight w:val="none"/>
          <w14:textFill>
            <w14:solidFill>
              <w14:schemeClr w14:val="tx1"/>
            </w14:solidFill>
          </w14:textFill>
        </w:rPr>
        <w:t>度经审计的财务报表，或招标截止时间前六个月内银行出具的资信证明，或财政部门认可的政府采购专业担保机构出具的投标担保函，提供相关证明材料复印件并加盖公章）</w:t>
      </w:r>
      <w:r>
        <w:rPr>
          <w:rFonts w:hint="eastAsia" w:ascii="宋体" w:hAnsi="宋体" w:cs="宋体"/>
          <w:color w:val="000000" w:themeColor="text1"/>
          <w:szCs w:val="21"/>
          <w:highlight w:val="none"/>
          <w14:textFill>
            <w14:solidFill>
              <w14:schemeClr w14:val="tx1"/>
            </w14:solidFill>
          </w14:textFill>
        </w:rPr>
        <w:t>（成立不满一年不需提供）</w:t>
      </w:r>
      <w:r>
        <w:rPr>
          <w:rFonts w:ascii="宋体" w:hAnsi="宋体" w:cs="宋体"/>
          <w:color w:val="000000" w:themeColor="text1"/>
          <w:szCs w:val="21"/>
          <w:highlight w:val="none"/>
          <w14:textFill>
            <w14:solidFill>
              <w14:schemeClr w14:val="tx1"/>
            </w14:solidFill>
          </w14:textFill>
        </w:rPr>
        <w:t>；</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4）有依法缴纳税收和社会保障资金的良好记录（提供参加本次政府采购活动前至少一个月缴纳增值税，或营业税，或企业所得税的凭据；并提供缴纳社会保险的凭据（专用收据，或社会保险缴纳清单），提供相关证明材料复印件并加盖公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（6）法律、行政法规规定的其他条件，提供相关证明材料：无。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落实政府采购政策需满足的资格要求：供应商如为小微型企业、监狱企业、残疾人福利性单位，提供的产品为国家认定的节能产品和环保产品的须按要求提供相关材料。</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6.本项目接受进口产品投标。（注：本文件所称进口产品是指通过中国海关报关验放进入中国境内且产自关境外的产品）</w:t>
      </w:r>
    </w:p>
    <w:bookmarkEnd w:id="9"/>
    <w:bookmarkEnd w:id="10"/>
    <w:p>
      <w:pPr>
        <w:spacing w:line="360" w:lineRule="auto"/>
        <w:jc w:val="left"/>
        <w:rPr>
          <w:rFonts w:ascii="宋体" w:hAnsi="宋体" w:cs="宋体"/>
          <w:color w:val="000000" w:themeColor="text1"/>
          <w:szCs w:val="21"/>
          <w:highlight w:val="none"/>
          <w14:textFill>
            <w14:solidFill>
              <w14:schemeClr w14:val="tx1"/>
            </w14:solidFill>
          </w14:textFill>
        </w:rPr>
      </w:pPr>
      <w:bookmarkStart w:id="11" w:name="_Toc35393623"/>
      <w:bookmarkStart w:id="12" w:name="_Toc35393792"/>
      <w:bookmarkStart w:id="13" w:name="_Toc28359005"/>
      <w:bookmarkStart w:id="14" w:name="_Toc28359082"/>
      <w:bookmarkStart w:id="15" w:name="_Toc35393624"/>
      <w:bookmarkStart w:id="16" w:name="_Toc35393793"/>
      <w:r>
        <w:rPr>
          <w:rFonts w:hint="eastAsia" w:ascii="宋体" w:hAnsi="宋体" w:cs="宋体"/>
          <w:color w:val="000000" w:themeColor="text1"/>
          <w:szCs w:val="21"/>
          <w:highlight w:val="none"/>
          <w14:textFill>
            <w14:solidFill>
              <w14:schemeClr w14:val="tx1"/>
            </w14:solidFill>
          </w14:textFill>
        </w:rPr>
        <w:t>三、获取纸质招标文件</w:t>
      </w:r>
      <w:bookmarkEnd w:id="11"/>
      <w:bookmarkEnd w:id="12"/>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时间：</w:t>
      </w:r>
      <w:r>
        <w:rPr>
          <w:rFonts w:hint="eastAsia" w:ascii="宋体" w:hAnsi="宋体" w:cs="宋体"/>
          <w:color w:val="000000" w:themeColor="text1"/>
          <w:szCs w:val="21"/>
          <w:highlight w:val="none"/>
          <w:u w:val="single"/>
          <w14:textFill>
            <w14:solidFill>
              <w14:schemeClr w14:val="tx1"/>
            </w14:solidFill>
          </w14:textFill>
        </w:rPr>
        <w:t>2023年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18</w:t>
      </w:r>
      <w:r>
        <w:rPr>
          <w:rFonts w:hint="eastAsia" w:ascii="宋体" w:hAnsi="宋体" w:cs="宋体"/>
          <w:color w:val="000000" w:themeColor="text1"/>
          <w:szCs w:val="21"/>
          <w:highlight w:val="none"/>
          <w:u w:val="single"/>
          <w14:textFill>
            <w14:solidFill>
              <w14:schemeClr w14:val="tx1"/>
            </w14:solidFill>
          </w14:textFill>
        </w:rPr>
        <w:t>日至2023年</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22</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14:textFill>
            <w14:solidFill>
              <w14:schemeClr w14:val="tx1"/>
            </w14:solidFill>
          </w14:textFill>
        </w:rPr>
        <w:t>，每天上午9：00至11：00，下午14：00至17：00（北京时间，法定节假日除外）</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方式：欢迎符合条件的投标供应商前来获取采购文件。请供应商提供以下要求的证明文件的复印件，且须加盖供应商公章后方为有效，审核通过后获取纸质采购文件。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（1）投标供应商营业执照副本复印件；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（2）投标供应商授权委托书原件和委托代理人的身份证复印件。</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招标文件工本费：人民币500元/套，售后不退。</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2023年</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分（北京时间）</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17" w:name="_Toc35393794"/>
      <w:bookmarkStart w:id="18" w:name="_Toc35393625"/>
      <w:bookmarkStart w:id="19" w:name="_Toc28359007"/>
      <w:bookmarkStart w:id="20" w:name="_Toc28359084"/>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pPr>
        <w:spacing w:line="360" w:lineRule="auto"/>
        <w:jc w:val="left"/>
        <w:rPr>
          <w:rFonts w:ascii="宋体" w:hAnsi="宋体" w:cs="宋体"/>
          <w:color w:val="000000" w:themeColor="text1"/>
          <w:szCs w:val="21"/>
          <w:highlight w:val="none"/>
          <w14:textFill>
            <w14:solidFill>
              <w14:schemeClr w14:val="tx1"/>
            </w14:solidFill>
          </w14:textFill>
        </w:rPr>
      </w:pPr>
      <w:bookmarkStart w:id="21" w:name="_Toc35393626"/>
      <w:bookmarkStart w:id="22" w:name="_Toc35393795"/>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响应文件壹份（一般应为PDF格式、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3" w:name="_Toc35393627"/>
      <w:bookmarkStart w:id="24" w:name="_Toc28359008"/>
      <w:bookmarkStart w:id="25" w:name="_Toc28359085"/>
      <w:bookmarkStart w:id="26" w:name="_Toc35393796"/>
      <w:r>
        <w:rPr>
          <w:rFonts w:hint="eastAsia" w:ascii="宋体" w:hAnsi="宋体" w:cs="宋体"/>
          <w:color w:val="000000" w:themeColor="text1"/>
          <w:szCs w:val="21"/>
          <w:highlight w:val="none"/>
          <w14:textFill>
            <w14:solidFill>
              <w14:schemeClr w14:val="tx1"/>
            </w14:solidFill>
          </w14:textFill>
        </w:rPr>
        <w:t>3.公告媒体</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（1）本采购公告在南京医科大学（https://www.njmu.edu.cn/668/list.htm/）公示发布，敬请各投标人关注；</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（2）若有关本次采购存在变动或修改，敬请各投标人及时关注南京医科大学（https://www.njmu.edu.cn/668/list.htm/）发布的关于本项目的信息更正公告。</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pPr>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bookmarkStart w:id="27" w:name="_Toc28359009"/>
      <w:bookmarkStart w:id="28" w:name="_Toc28359086"/>
      <w:r>
        <w:rPr>
          <w:rFonts w:hint="eastAsia" w:ascii="宋体" w:hAnsi="宋体" w:cs="宋体"/>
          <w:color w:val="000000" w:themeColor="text1"/>
          <w:szCs w:val="21"/>
          <w:highlight w:val="none"/>
          <w14:textFill>
            <w14:solidFill>
              <w14:schemeClr w14:val="tx1"/>
            </w14:solidFill>
          </w14:textFill>
        </w:rPr>
        <w:t>名称：南京医科大学</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南京市江宁区龙眠大道101号</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shd w:val="clear" w:color="auto" w:fill="FFFFFF"/>
          <w:lang w:bidi="ar"/>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联系方式：</w:t>
      </w: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 xml:space="preserve">吕老师 </w:t>
      </w:r>
    </w:p>
    <w:p>
      <w:pPr>
        <w:widowControl/>
        <w:shd w:val="clear" w:color="auto" w:fill="FFFFFF"/>
        <w:spacing w:line="360" w:lineRule="auto"/>
        <w:ind w:firstLine="452" w:firstLineChars="200"/>
        <w:jc w:val="left"/>
        <w:rPr>
          <w:rFonts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shd w:val="clear" w:color="auto" w:fill="FFFFFF"/>
          <w:lang w:bidi="ar"/>
          <w14:textFill>
            <w14:solidFill>
              <w14:schemeClr w14:val="tx1"/>
            </w14:solidFill>
          </w14:textFill>
        </w:rPr>
        <w:t>联系电话：025-86868572</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名称：南京苏宁工程咨询有限公司</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地址：南京市鼓楼区中山路99号12楼</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联系方式：</w:t>
      </w:r>
      <w:bookmarkStart w:id="29" w:name="_Toc28359087"/>
      <w:bookmarkStart w:id="30" w:name="_Toc28359010"/>
      <w:r>
        <w:rPr>
          <w:rFonts w:hint="eastAsia" w:ascii="宋体" w:hAnsi="宋体" w:cs="宋体"/>
          <w:color w:val="000000" w:themeColor="text1"/>
          <w:szCs w:val="21"/>
          <w:highlight w:val="none"/>
          <w14:textFill>
            <w14:solidFill>
              <w14:schemeClr w14:val="tx1"/>
            </w14:solidFill>
          </w14:textFill>
        </w:rPr>
        <w:t xml:space="preserve">李工 </w:t>
      </w:r>
      <w:r>
        <w:rPr>
          <w:rFonts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025-84207240-6002</w:t>
      </w:r>
    </w:p>
    <w:p>
      <w:pPr>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项目联系方式</w:t>
      </w:r>
      <w:bookmarkEnd w:id="29"/>
      <w:bookmarkEnd w:id="30"/>
    </w:p>
    <w:p>
      <w:pPr>
        <w:spacing w:line="360" w:lineRule="auto"/>
        <w:ind w:firstLine="420" w:firstLineChars="200"/>
        <w:jc w:val="left"/>
        <w:rPr>
          <w:rFonts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项目联系人：李工 电话：025-84207240-6002</w:t>
      </w:r>
    </w:p>
    <w:p>
      <w:pPr>
        <w:spacing w:line="360" w:lineRule="auto"/>
        <w:ind w:firstLine="420"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请贵单位领取本次采购文件后，认真阅读各项内容，进行必要的投标准备，按文件的要求详细填写和编制响应文件，并按以上确定的时间、地点准时参加投标。</w:t>
      </w:r>
    </w:p>
    <w:p>
      <w:pPr>
        <w:spacing w:line="360" w:lineRule="auto"/>
        <w:jc w:val="center"/>
        <w:rPr>
          <w:rFonts w:hint="eastAsia" w:ascii="宋体" w:hAnsi="宋体" w:cs="宋体"/>
          <w:color w:val="000000" w:themeColor="text1"/>
          <w:szCs w:val="21"/>
          <w:highlight w:val="none"/>
          <w14:textFill>
            <w14:solidFill>
              <w14:schemeClr w14:val="tx1"/>
            </w14:solidFill>
          </w14:textFill>
        </w:rPr>
      </w:pPr>
    </w:p>
    <w:p>
      <w:pPr>
        <w:spacing w:line="360" w:lineRule="auto"/>
        <w:jc w:val="cente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南京苏宁工程咨询有限公司</w:t>
      </w:r>
    </w:p>
    <w:p>
      <w:pPr>
        <w:pStyle w:val="2"/>
        <w:rPr>
          <w:rFonts w:hint="default" w:eastAsia="宋体"/>
          <w:lang w:val="en-US" w:eastAsia="zh-CN"/>
        </w:rPr>
      </w:pPr>
      <w:r>
        <w:rPr>
          <w:rFonts w:hint="eastAsia" w:ascii="宋体" w:hAnsi="宋体" w:cs="宋体"/>
          <w:color w:val="000000" w:themeColor="text1"/>
          <w:szCs w:val="21"/>
          <w:highlight w:val="none"/>
          <w:lang w:val="en-US" w:eastAsia="zh-CN"/>
          <w14:textFill>
            <w14:solidFill>
              <w14:schemeClr w14:val="tx1"/>
            </w14:solidFill>
          </w14:textFill>
        </w:rPr>
        <w:t xml:space="preserve">                                 2023年9月15日</w:t>
      </w:r>
    </w:p>
    <w:p>
      <w:pPr>
        <w:pStyle w:val="2"/>
        <w:rPr>
          <w:rFonts w:ascii="宋体" w:hAnsi="宋体" w:cs="宋体"/>
          <w:color w:val="000000" w:themeColor="text1"/>
          <w:sz w:val="36"/>
          <w:szCs w:val="36"/>
          <w:highlight w:val="none"/>
          <w:lang w:val="zh-CN"/>
          <w14:textFill>
            <w14:solidFill>
              <w14:schemeClr w14:val="tx1"/>
            </w14:solidFill>
          </w14:textFill>
        </w:rPr>
      </w:pPr>
      <w:bookmarkStart w:id="31" w:name="_GoBack"/>
      <w:bookmarkEnd w:id="31"/>
    </w:p>
    <w:p>
      <w:pPr>
        <w:pStyle w:val="2"/>
        <w:rPr>
          <w:rFonts w:ascii="宋体" w:hAnsi="宋体" w:cs="宋体"/>
          <w:color w:val="000000" w:themeColor="text1"/>
          <w:sz w:val="36"/>
          <w:szCs w:val="36"/>
          <w:highlight w:val="none"/>
          <w:lang w:val="zh-CN"/>
          <w14:textFill>
            <w14:solidFill>
              <w14:schemeClr w14:val="tx1"/>
            </w14:solidFill>
          </w14:textFill>
        </w:rPr>
        <w:sectPr>
          <w:endnotePr>
            <w:numFmt w:val="decimal"/>
          </w:endnotePr>
          <w:pgSz w:w="11906" w:h="16838"/>
          <w:pgMar w:top="850" w:right="850" w:bottom="850" w:left="1417" w:header="227" w:footer="720" w:gutter="0"/>
          <w:cols w:space="720" w:num="1"/>
          <w:rtlGutter w:val="1"/>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1OGQwNGU2MjVlMjYwOGQ1M2Y4ZGExZjVhZjcwMWYifQ=="/>
  </w:docVars>
  <w:rsids>
    <w:rsidRoot w:val="00000000"/>
    <w:rsid w:val="04162F72"/>
    <w:rsid w:val="0F0A0758"/>
    <w:rsid w:val="1D7A5C81"/>
    <w:rsid w:val="2BB21FC7"/>
    <w:rsid w:val="3BDD2552"/>
    <w:rsid w:val="4DBC7E4B"/>
    <w:rsid w:val="59B00A2D"/>
    <w:rsid w:val="5BE573BD"/>
    <w:rsid w:val="69F96FA8"/>
    <w:rsid w:val="6D8A3686"/>
    <w:rsid w:val="7B0E5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2022-12-28T08:17:00Z</dcterms:created>
  <dc:creator>Administrator</dc:creator>
  <cp:lastModifiedBy>admin</cp:lastModifiedBy>
  <dcterms:modified xsi:type="dcterms:W3CDTF">2023-09-15T03:24:18Z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BF4D182156D04C39827538B79BEAEEAC</vt:lpwstr>
  </property>
</Properties>
</file>