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3177B">
      <w:pPr>
        <w:widowControl w:val="0"/>
        <w:adjustRightInd/>
        <w:snapToGrid/>
        <w:spacing w:after="160" w:line="278" w:lineRule="auto"/>
        <w:jc w:val="center"/>
        <w:rPr>
          <w:rFonts w:hint="eastAsia" w:ascii="宋体" w:hAnsi="宋体" w:eastAsia="宋体" w:cs="宋体"/>
          <w:b/>
          <w:bCs/>
          <w:kern w:val="0"/>
          <w:sz w:val="44"/>
          <w:szCs w:val="44"/>
          <w:lang w:eastAsia="zh-CN"/>
          <w14:ligatures w14:val="standardContextual"/>
        </w:rPr>
      </w:pPr>
      <w:bookmarkStart w:id="0" w:name="_Toc8955"/>
      <w:r>
        <w:rPr>
          <w:rFonts w:hint="eastAsia" w:ascii="宋体" w:hAnsi="宋体" w:eastAsia="宋体" w:cs="宋体"/>
          <w:b/>
          <w:bCs/>
          <w:kern w:val="0"/>
          <w:sz w:val="44"/>
          <w:szCs w:val="44"/>
          <w:lang w:eastAsia="zh-CN"/>
          <w14:ligatures w14:val="standardContextual"/>
        </w:rPr>
        <w:t>南京医科大学生物医药分中心蛋白纯化</w:t>
      </w:r>
    </w:p>
    <w:p w14:paraId="1B04A037">
      <w:pPr>
        <w:widowControl w:val="0"/>
        <w:adjustRightInd/>
        <w:snapToGrid/>
        <w:spacing w:after="160" w:line="278" w:lineRule="auto"/>
        <w:jc w:val="center"/>
        <w:rPr>
          <w:rFonts w:hint="eastAsia" w:ascii="宋体" w:hAnsi="宋体" w:eastAsia="宋体" w:cs="宋体"/>
          <w:b/>
          <w:bCs/>
          <w:kern w:val="0"/>
          <w:sz w:val="44"/>
          <w:szCs w:val="44"/>
          <w:lang w:eastAsia="zh-CN"/>
          <w14:ligatures w14:val="standardContextual"/>
        </w:rPr>
      </w:pPr>
      <w:r>
        <w:rPr>
          <w:rFonts w:hint="eastAsia" w:ascii="宋体" w:hAnsi="宋体" w:eastAsia="宋体" w:cs="宋体"/>
          <w:b/>
          <w:bCs/>
          <w:kern w:val="0"/>
          <w:sz w:val="44"/>
          <w:szCs w:val="44"/>
          <w:lang w:eastAsia="zh-CN"/>
          <w14:ligatures w14:val="standardContextual"/>
        </w:rPr>
        <w:t>系统项目招标公告</w:t>
      </w:r>
      <w:bookmarkEnd w:id="0"/>
    </w:p>
    <w:p w14:paraId="1B83101C"/>
    <w:p w14:paraId="1A00EEED">
      <w:pPr>
        <w:spacing w:before="120" w:beforeLines="50" w:after="120" w:afterLines="50" w:line="360" w:lineRule="auto"/>
        <w:ind w:firstLine="480" w:firstLineChars="200"/>
        <w:rPr>
          <w:rFonts w:hint="eastAsia" w:ascii="宋体" w:hAnsi="宋体" w:eastAsia="宋体" w:cs="宋体"/>
          <w:color w:val="FF0000"/>
          <w:sz w:val="24"/>
          <w:szCs w:val="24"/>
        </w:rPr>
      </w:pPr>
      <w:bookmarkStart w:id="1" w:name="_Toc120614211"/>
      <w:bookmarkStart w:id="2" w:name="_Toc479757207"/>
      <w:bookmarkStart w:id="3" w:name="_Toc444669970"/>
      <w:bookmarkStart w:id="4" w:name="_Toc20823314"/>
      <w:bookmarkStart w:id="5" w:name="_Toc120614221"/>
      <w:bookmarkStart w:id="6" w:name="OLE_LINK2"/>
      <w:bookmarkStart w:id="7" w:name="OLE_LINK1"/>
      <w:bookmarkStart w:id="8" w:name="_Toc16938558"/>
      <w:bookmarkStart w:id="9" w:name="_Toc513029242"/>
      <w:r>
        <w:rPr>
          <w:rFonts w:hint="eastAsia" w:ascii="宋体" w:hAnsi="宋体" w:eastAsia="宋体" w:cs="宋体"/>
          <w:sz w:val="24"/>
          <w:szCs w:val="24"/>
        </w:rPr>
        <w:t>南京医科大学就</w:t>
      </w:r>
      <w:r>
        <w:rPr>
          <w:rFonts w:hint="eastAsia" w:ascii="宋体" w:hAnsi="宋体" w:eastAsia="宋体" w:cs="宋体"/>
          <w:sz w:val="24"/>
          <w:szCs w:val="24"/>
          <w:u w:val="single"/>
        </w:rPr>
        <w:t xml:space="preserve"> 南京医科大学生物医药分中心蛋白纯化系统项目 </w:t>
      </w:r>
      <w:r>
        <w:rPr>
          <w:rFonts w:hint="eastAsia" w:ascii="宋体" w:hAnsi="宋体" w:eastAsia="宋体" w:cs="宋体"/>
          <w:sz w:val="24"/>
          <w:szCs w:val="24"/>
        </w:rPr>
        <w:t>公开招标，相应资金已落实，欢迎符合招标公告资质要求的投标人前来投标。</w:t>
      </w:r>
    </w:p>
    <w:p w14:paraId="589D2A02">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一、项目基本情况</w:t>
      </w:r>
    </w:p>
    <w:p w14:paraId="5D19C354">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1.1项目名称：南京医科大学生物医药分中心蛋白纯化系统项目</w:t>
      </w:r>
    </w:p>
    <w:p w14:paraId="4CC94C78">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1.2项目编号：1678-264108787HTT</w:t>
      </w:r>
    </w:p>
    <w:p w14:paraId="5A27A8AB">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1.3项目预算：人民币90万元 </w:t>
      </w:r>
    </w:p>
    <w:p w14:paraId="6E038AE2">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1.4最高总限价：人民币90万元，投标报价超过最高限价的为无效投标 </w:t>
      </w:r>
    </w:p>
    <w:p w14:paraId="0E167EB2">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二、项目需求</w:t>
      </w:r>
    </w:p>
    <w:p w14:paraId="596D1448">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2.1采购需求：</w:t>
      </w:r>
    </w:p>
    <w:tbl>
      <w:tblPr>
        <w:tblStyle w:val="3"/>
        <w:tblW w:w="8397" w:type="dxa"/>
        <w:jc w:val="center"/>
        <w:tblLayout w:type="fixed"/>
        <w:tblCellMar>
          <w:top w:w="283" w:type="dxa"/>
          <w:left w:w="0" w:type="dxa"/>
          <w:bottom w:w="0" w:type="dxa"/>
          <w:right w:w="0" w:type="dxa"/>
        </w:tblCellMar>
      </w:tblPr>
      <w:tblGrid>
        <w:gridCol w:w="645"/>
        <w:gridCol w:w="2792"/>
        <w:gridCol w:w="817"/>
        <w:gridCol w:w="720"/>
        <w:gridCol w:w="3423"/>
      </w:tblGrid>
      <w:tr w14:paraId="6BEB00C5">
        <w:tblPrEx>
          <w:tblCellMar>
            <w:top w:w="283" w:type="dxa"/>
            <w:left w:w="0" w:type="dxa"/>
            <w:bottom w:w="0" w:type="dxa"/>
            <w:right w:w="0" w:type="dxa"/>
          </w:tblCellMar>
        </w:tblPrEx>
        <w:trPr>
          <w:trHeight w:val="510" w:hRule="atLeast"/>
          <w:jc w:val="center"/>
        </w:trPr>
        <w:tc>
          <w:tcPr>
            <w:tcW w:w="645" w:type="dxa"/>
            <w:tcBorders>
              <w:top w:val="single" w:color="000000" w:sz="4" w:space="0"/>
              <w:left w:val="single" w:color="000000" w:sz="4" w:space="0"/>
              <w:bottom w:val="nil"/>
              <w:right w:val="single" w:color="000000" w:sz="4" w:space="0"/>
            </w:tcBorders>
            <w:tcMar>
              <w:top w:w="113" w:type="dxa"/>
              <w:left w:w="0" w:type="dxa"/>
              <w:bottom w:w="0" w:type="dxa"/>
              <w:right w:w="0" w:type="dxa"/>
            </w:tcMar>
            <w:vAlign w:val="center"/>
          </w:tcPr>
          <w:p w14:paraId="02B70162">
            <w:pPr>
              <w:spacing w:after="0"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sz w:val="24"/>
              </w:rPr>
              <w:t>序号</w:t>
            </w:r>
          </w:p>
        </w:tc>
        <w:tc>
          <w:tcPr>
            <w:tcW w:w="2792" w:type="dxa"/>
            <w:tcBorders>
              <w:top w:val="single" w:color="000000" w:sz="4" w:space="0"/>
              <w:left w:val="single" w:color="000000" w:sz="4" w:space="0"/>
              <w:bottom w:val="nil"/>
              <w:right w:val="single" w:color="000000" w:sz="4" w:space="0"/>
            </w:tcBorders>
            <w:tcMar>
              <w:top w:w="113" w:type="dxa"/>
              <w:left w:w="0" w:type="dxa"/>
              <w:bottom w:w="0" w:type="dxa"/>
              <w:right w:w="0" w:type="dxa"/>
            </w:tcMar>
            <w:vAlign w:val="center"/>
          </w:tcPr>
          <w:p w14:paraId="71040054">
            <w:pPr>
              <w:spacing w:after="0" w:line="360" w:lineRule="auto"/>
              <w:jc w:val="center"/>
              <w:rPr>
                <w:rFonts w:hint="eastAsia" w:ascii="宋体" w:hAnsi="宋体" w:eastAsia="宋体" w:cs="宋体"/>
                <w:b/>
                <w:bCs/>
                <w:color w:val="000000"/>
                <w:sz w:val="24"/>
              </w:rPr>
            </w:pPr>
            <w:r>
              <w:rPr>
                <w:rFonts w:hint="eastAsia" w:ascii="宋体" w:hAnsi="宋体" w:eastAsia="宋体" w:cs="宋体"/>
                <w:b/>
                <w:bCs/>
                <w:color w:val="000000"/>
                <w:sz w:val="24"/>
              </w:rPr>
              <w:t>采购名称</w:t>
            </w:r>
          </w:p>
        </w:tc>
        <w:tc>
          <w:tcPr>
            <w:tcW w:w="817" w:type="dxa"/>
            <w:tcBorders>
              <w:top w:val="single" w:color="000000" w:sz="4" w:space="0"/>
              <w:left w:val="single" w:color="000000" w:sz="4" w:space="0"/>
              <w:bottom w:val="nil"/>
              <w:right w:val="single" w:color="000000" w:sz="4" w:space="0"/>
            </w:tcBorders>
            <w:tcMar>
              <w:top w:w="113" w:type="dxa"/>
              <w:left w:w="0" w:type="dxa"/>
              <w:bottom w:w="0" w:type="dxa"/>
              <w:right w:w="0" w:type="dxa"/>
            </w:tcMar>
            <w:vAlign w:val="center"/>
          </w:tcPr>
          <w:p w14:paraId="554912E8">
            <w:pPr>
              <w:spacing w:after="0"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sz w:val="24"/>
                <w:lang w:bidi="ar"/>
              </w:rPr>
              <w:t>数量</w:t>
            </w:r>
          </w:p>
        </w:tc>
        <w:tc>
          <w:tcPr>
            <w:tcW w:w="720" w:type="dxa"/>
            <w:tcBorders>
              <w:top w:val="single" w:color="000000" w:sz="4" w:space="0"/>
              <w:left w:val="single" w:color="000000" w:sz="4" w:space="0"/>
              <w:bottom w:val="nil"/>
              <w:right w:val="single" w:color="000000" w:sz="4" w:space="0"/>
            </w:tcBorders>
            <w:tcMar>
              <w:top w:w="113" w:type="dxa"/>
              <w:left w:w="0" w:type="dxa"/>
              <w:bottom w:w="0" w:type="dxa"/>
              <w:right w:w="0" w:type="dxa"/>
            </w:tcMar>
            <w:vAlign w:val="center"/>
          </w:tcPr>
          <w:p w14:paraId="569E6A52">
            <w:pPr>
              <w:spacing w:after="0" w:line="360" w:lineRule="auto"/>
              <w:jc w:val="center"/>
              <w:textAlignment w:val="center"/>
              <w:rPr>
                <w:rFonts w:hint="eastAsia" w:ascii="宋体" w:hAnsi="宋体" w:eastAsia="宋体" w:cs="宋体"/>
                <w:b/>
                <w:bCs/>
                <w:color w:val="000000"/>
                <w:sz w:val="24"/>
                <w:lang w:bidi="ar"/>
              </w:rPr>
            </w:pPr>
            <w:r>
              <w:rPr>
                <w:rFonts w:hint="eastAsia" w:ascii="宋体" w:hAnsi="宋体" w:eastAsia="宋体" w:cs="宋体"/>
                <w:b/>
                <w:bCs/>
                <w:color w:val="000000"/>
                <w:sz w:val="24"/>
                <w:lang w:bidi="ar"/>
              </w:rPr>
              <w:t>单位</w:t>
            </w:r>
          </w:p>
        </w:tc>
        <w:tc>
          <w:tcPr>
            <w:tcW w:w="3423" w:type="dxa"/>
            <w:tcBorders>
              <w:top w:val="single" w:color="000000" w:sz="4" w:space="0"/>
              <w:left w:val="single" w:color="000000" w:sz="4" w:space="0"/>
              <w:bottom w:val="nil"/>
              <w:right w:val="single" w:color="000000" w:sz="4" w:space="0"/>
            </w:tcBorders>
            <w:tcMar>
              <w:top w:w="113" w:type="dxa"/>
              <w:left w:w="0" w:type="dxa"/>
              <w:bottom w:w="0" w:type="dxa"/>
              <w:right w:w="0" w:type="dxa"/>
            </w:tcMar>
            <w:vAlign w:val="center"/>
          </w:tcPr>
          <w:p w14:paraId="04F278C7">
            <w:pPr>
              <w:spacing w:after="0"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sz w:val="24"/>
                <w:lang w:bidi="ar"/>
              </w:rPr>
              <w:t>是否接受进口货物投标</w:t>
            </w:r>
          </w:p>
        </w:tc>
      </w:tr>
      <w:tr w14:paraId="2440A694">
        <w:tblPrEx>
          <w:tblCellMar>
            <w:top w:w="283" w:type="dxa"/>
            <w:left w:w="0" w:type="dxa"/>
            <w:bottom w:w="0" w:type="dxa"/>
            <w:right w:w="0" w:type="dxa"/>
          </w:tblCellMar>
        </w:tblPrEx>
        <w:trPr>
          <w:trHeight w:val="481" w:hRule="atLeast"/>
          <w:jc w:val="center"/>
        </w:trPr>
        <w:tc>
          <w:tcPr>
            <w:tcW w:w="645" w:type="dxa"/>
            <w:tcBorders>
              <w:top w:val="single" w:color="000000" w:sz="4" w:space="0"/>
              <w:left w:val="single" w:color="000000" w:sz="4" w:space="0"/>
              <w:bottom w:val="single" w:color="000000" w:sz="4" w:space="0"/>
              <w:right w:val="single" w:color="000000" w:sz="4" w:space="0"/>
            </w:tcBorders>
            <w:tcMar>
              <w:top w:w="113" w:type="dxa"/>
              <w:left w:w="0" w:type="dxa"/>
              <w:bottom w:w="0" w:type="dxa"/>
              <w:right w:w="0" w:type="dxa"/>
            </w:tcMar>
            <w:vAlign w:val="center"/>
          </w:tcPr>
          <w:p w14:paraId="71AF85F2">
            <w:pPr>
              <w:spacing w:after="120" w:line="240" w:lineRule="auto"/>
              <w:jc w:val="center"/>
              <w:rPr>
                <w:rFonts w:hint="eastAsia" w:ascii="宋体" w:hAnsi="宋体" w:eastAsia="宋体" w:cs="宋体"/>
                <w:color w:val="000000"/>
                <w:sz w:val="28"/>
                <w:szCs w:val="28"/>
              </w:rPr>
            </w:pPr>
            <w:r>
              <w:rPr>
                <w:rFonts w:hint="eastAsia" w:ascii="宋体" w:hAnsi="宋体" w:eastAsia="宋体" w:cs="宋体"/>
                <w:color w:val="000000"/>
                <w:sz w:val="24"/>
                <w:szCs w:val="24"/>
              </w:rPr>
              <w:t>1</w:t>
            </w:r>
          </w:p>
        </w:tc>
        <w:tc>
          <w:tcPr>
            <w:tcW w:w="2792" w:type="dxa"/>
            <w:tcBorders>
              <w:top w:val="single" w:color="000000" w:sz="4" w:space="0"/>
              <w:left w:val="single" w:color="000000" w:sz="4" w:space="0"/>
              <w:bottom w:val="single" w:color="000000" w:sz="4" w:space="0"/>
              <w:right w:val="single" w:color="000000" w:sz="4" w:space="0"/>
            </w:tcBorders>
            <w:tcMar>
              <w:top w:w="113" w:type="dxa"/>
              <w:left w:w="0" w:type="dxa"/>
              <w:bottom w:w="0" w:type="dxa"/>
              <w:right w:w="0" w:type="dxa"/>
            </w:tcMar>
            <w:vAlign w:val="center"/>
          </w:tcPr>
          <w:p w14:paraId="57917830">
            <w:pPr>
              <w:spacing w:after="120" w:line="240" w:lineRule="auto"/>
              <w:jc w:val="center"/>
              <w:rPr>
                <w:rFonts w:hint="eastAsia" w:ascii="宋体" w:hAnsi="宋体" w:eastAsia="宋体" w:cs="宋体"/>
                <w:b/>
                <w:bCs/>
                <w:sz w:val="24"/>
                <w:szCs w:val="24"/>
              </w:rPr>
            </w:pPr>
            <w:r>
              <w:rPr>
                <w:rFonts w:hint="eastAsia" w:ascii="宋体" w:hAnsi="宋体" w:eastAsia="宋体" w:cs="宋体"/>
                <w:sz w:val="24"/>
                <w:szCs w:val="24"/>
              </w:rPr>
              <w:t>蛋白纯化系统</w:t>
            </w:r>
          </w:p>
        </w:tc>
        <w:tc>
          <w:tcPr>
            <w:tcW w:w="817" w:type="dxa"/>
            <w:tcBorders>
              <w:top w:val="single" w:color="000000" w:sz="4" w:space="0"/>
              <w:left w:val="single" w:color="000000" w:sz="4" w:space="0"/>
              <w:bottom w:val="single" w:color="000000" w:sz="4" w:space="0"/>
              <w:right w:val="single" w:color="000000" w:sz="4" w:space="0"/>
            </w:tcBorders>
            <w:tcMar>
              <w:top w:w="113" w:type="dxa"/>
              <w:left w:w="0" w:type="dxa"/>
              <w:bottom w:w="0" w:type="dxa"/>
              <w:right w:w="0" w:type="dxa"/>
            </w:tcMar>
            <w:vAlign w:val="center"/>
          </w:tcPr>
          <w:p w14:paraId="3E5CFE76">
            <w:pPr>
              <w:spacing w:after="120" w:line="240" w:lineRule="auto"/>
              <w:jc w:val="center"/>
              <w:rPr>
                <w:rFonts w:hint="eastAsia" w:ascii="宋体" w:hAnsi="宋体" w:eastAsia="宋体" w:cs="宋体"/>
                <w:sz w:val="28"/>
                <w:szCs w:val="28"/>
              </w:rPr>
            </w:pPr>
            <w:r>
              <w:rPr>
                <w:rFonts w:hint="eastAsia" w:ascii="宋体" w:hAnsi="宋体" w:eastAsia="宋体" w:cs="宋体"/>
                <w:sz w:val="24"/>
                <w:szCs w:val="24"/>
              </w:rPr>
              <w:t>1</w:t>
            </w:r>
          </w:p>
        </w:tc>
        <w:tc>
          <w:tcPr>
            <w:tcW w:w="720" w:type="dxa"/>
            <w:tcBorders>
              <w:top w:val="single" w:color="000000" w:sz="4" w:space="0"/>
              <w:left w:val="single" w:color="000000" w:sz="4" w:space="0"/>
              <w:bottom w:val="single" w:color="000000" w:sz="4" w:space="0"/>
              <w:right w:val="single" w:color="000000" w:sz="4" w:space="0"/>
            </w:tcBorders>
            <w:tcMar>
              <w:top w:w="113" w:type="dxa"/>
              <w:left w:w="0" w:type="dxa"/>
              <w:bottom w:w="0" w:type="dxa"/>
              <w:right w:w="0" w:type="dxa"/>
            </w:tcMar>
            <w:vAlign w:val="center"/>
          </w:tcPr>
          <w:p w14:paraId="67AF4486">
            <w:pPr>
              <w:spacing w:after="120" w:line="240" w:lineRule="auto"/>
              <w:jc w:val="center"/>
              <w:rPr>
                <w:rFonts w:hint="eastAsia" w:ascii="宋体" w:hAnsi="宋体" w:eastAsia="宋体" w:cs="宋体"/>
                <w:sz w:val="28"/>
                <w:szCs w:val="28"/>
              </w:rPr>
            </w:pPr>
            <w:r>
              <w:rPr>
                <w:rFonts w:hint="eastAsia" w:eastAsia="宋体" w:cs="Times New Roman"/>
                <w:sz w:val="24"/>
                <w:szCs w:val="24"/>
              </w:rPr>
              <w:t>套</w:t>
            </w:r>
          </w:p>
        </w:tc>
        <w:tc>
          <w:tcPr>
            <w:tcW w:w="3423" w:type="dxa"/>
            <w:tcBorders>
              <w:top w:val="single" w:color="000000" w:sz="4" w:space="0"/>
              <w:left w:val="single" w:color="000000" w:sz="4" w:space="0"/>
              <w:bottom w:val="single" w:color="000000" w:sz="4" w:space="0"/>
              <w:right w:val="single" w:color="000000" w:sz="4" w:space="0"/>
            </w:tcBorders>
            <w:tcMar>
              <w:top w:w="113" w:type="dxa"/>
              <w:left w:w="0" w:type="dxa"/>
              <w:bottom w:w="0" w:type="dxa"/>
              <w:right w:w="0" w:type="dxa"/>
            </w:tcMar>
            <w:vAlign w:val="center"/>
          </w:tcPr>
          <w:p w14:paraId="6329D160">
            <w:pPr>
              <w:spacing w:after="120" w:line="240" w:lineRule="auto"/>
              <w:jc w:val="center"/>
              <w:rPr>
                <w:rFonts w:hint="eastAsia" w:ascii="宋体" w:hAnsi="宋体" w:eastAsia="宋体" w:cs="宋体"/>
                <w:sz w:val="28"/>
                <w:szCs w:val="28"/>
              </w:rPr>
            </w:pPr>
            <w:r>
              <w:rPr>
                <w:rFonts w:hint="eastAsia" w:eastAsia="宋体" w:cs="Times New Roman"/>
                <w:sz w:val="24"/>
                <w:szCs w:val="24"/>
              </w:rPr>
              <w:t>是</w:t>
            </w:r>
          </w:p>
        </w:tc>
      </w:tr>
    </w:tbl>
    <w:p w14:paraId="74110AE5">
      <w:pPr>
        <w:spacing w:after="120" w:line="360" w:lineRule="auto"/>
        <w:rPr>
          <w:rFonts w:hint="eastAsia" w:ascii="宋体" w:hAnsi="宋体" w:eastAsia="宋体" w:cs="宋体"/>
          <w:sz w:val="24"/>
          <w:szCs w:val="24"/>
        </w:rPr>
      </w:pPr>
    </w:p>
    <w:p w14:paraId="5C623544">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采购蛋白纯化系统1套，满足抗体层析纯化需求。紫外检测：全波长（190-700nm）扫描，可同时检测≥3波长，采用氙灯冷光源，无需预热，即开即用，冷光源不会发热，对样品活性不产生影响。具体内容详见第三章 项目需求。</w:t>
      </w:r>
    </w:p>
    <w:p w14:paraId="3572574D">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2.2合同履行期限：合同签订生效后</w:t>
      </w:r>
      <w:r>
        <w:rPr>
          <w:rFonts w:hint="eastAsia" w:ascii="宋体" w:hAnsi="宋体" w:eastAsia="宋体" w:cs="宋体"/>
          <w:sz w:val="24"/>
          <w:szCs w:val="24"/>
          <w:highlight w:val="none"/>
        </w:rPr>
        <w:t>，一个月内</w:t>
      </w:r>
      <w:r>
        <w:rPr>
          <w:rFonts w:hint="eastAsia" w:ascii="宋体" w:hAnsi="宋体" w:eastAsia="宋体" w:cs="宋体"/>
          <w:sz w:val="24"/>
          <w:szCs w:val="24"/>
        </w:rPr>
        <w:t>全部设备、材料运抵现场，并安装、调试结束，验收合格，交付采购方使用。</w:t>
      </w:r>
    </w:p>
    <w:p w14:paraId="3574CEDF">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2.3本项目不接受联合体投标。</w:t>
      </w:r>
    </w:p>
    <w:p w14:paraId="58A38497">
      <w:pPr>
        <w:spacing w:before="120" w:beforeLines="50" w:after="120" w:afterLines="50" w:line="360" w:lineRule="auto"/>
        <w:ind w:firstLine="482" w:firstLineChars="200"/>
        <w:rPr>
          <w:rFonts w:hint="eastAsia" w:ascii="宋体" w:hAnsi="宋体" w:eastAsia="宋体" w:cs="宋体"/>
          <w:b/>
          <w:bCs/>
          <w:sz w:val="24"/>
          <w:szCs w:val="24"/>
        </w:rPr>
      </w:pPr>
      <w:r>
        <w:rPr>
          <w:rFonts w:hint="eastAsia" w:ascii="宋体" w:hAnsi="宋体" w:eastAsia="宋体" w:cs="宋体"/>
          <w:b/>
          <w:sz w:val="24"/>
          <w:szCs w:val="24"/>
        </w:rPr>
        <w:t>三、</w:t>
      </w:r>
      <w:r>
        <w:rPr>
          <w:rFonts w:hint="eastAsia" w:ascii="宋体" w:hAnsi="宋体" w:eastAsia="宋体" w:cs="宋体"/>
          <w:b/>
          <w:bCs/>
          <w:sz w:val="24"/>
          <w:szCs w:val="24"/>
        </w:rPr>
        <w:t>申请人的资格要求</w:t>
      </w:r>
    </w:p>
    <w:p w14:paraId="371C1A6E">
      <w:pPr>
        <w:spacing w:after="0" w:line="360" w:lineRule="auto"/>
        <w:ind w:firstLine="480" w:firstLineChars="200"/>
        <w:rPr>
          <w:rFonts w:hint="eastAsia" w:ascii="宋体" w:hAnsi="宋体" w:eastAsia="宋体" w:cs="宋体"/>
          <w:sz w:val="24"/>
          <w:szCs w:val="24"/>
        </w:rPr>
      </w:pPr>
      <w:bookmarkStart w:id="10" w:name="_Hlk219318826"/>
      <w:r>
        <w:rPr>
          <w:rFonts w:hint="eastAsia" w:ascii="宋体" w:hAnsi="宋体" w:eastAsia="宋体" w:cs="宋体"/>
          <w:sz w:val="24"/>
          <w:szCs w:val="24"/>
        </w:rPr>
        <w:t xml:space="preserve">3.1满足《中华人民共和国政府采购法》第二十二条规定，提供下列材料： </w:t>
      </w:r>
    </w:p>
    <w:p w14:paraId="37FE32F7">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（1）具有独立承担民事责任的能力：法人或者其他组织的</w:t>
      </w:r>
      <w:r>
        <w:rPr>
          <w:rFonts w:hint="eastAsia" w:ascii="宋体" w:hAnsi="宋体" w:eastAsia="宋体" w:cs="宋体"/>
          <w:b/>
          <w:bCs/>
          <w:sz w:val="24"/>
          <w:szCs w:val="24"/>
        </w:rPr>
        <w:t>营业执照</w:t>
      </w:r>
      <w:r>
        <w:rPr>
          <w:rFonts w:hint="eastAsia" w:ascii="宋体" w:hAnsi="宋体" w:eastAsia="宋体" w:cs="宋体"/>
          <w:sz w:val="24"/>
          <w:szCs w:val="24"/>
        </w:rPr>
        <w:t>（投标人为自然人的提供其</w:t>
      </w:r>
      <w:r>
        <w:rPr>
          <w:rFonts w:hint="eastAsia" w:ascii="宋体" w:hAnsi="宋体" w:eastAsia="宋体" w:cs="宋体"/>
          <w:b/>
          <w:bCs/>
          <w:sz w:val="24"/>
          <w:szCs w:val="24"/>
        </w:rPr>
        <w:t>身份证</w:t>
      </w:r>
      <w:r>
        <w:rPr>
          <w:rFonts w:hint="eastAsia" w:ascii="宋体" w:hAnsi="宋体" w:eastAsia="宋体" w:cs="宋体"/>
          <w:sz w:val="24"/>
          <w:szCs w:val="24"/>
        </w:rPr>
        <w:t>），</w:t>
      </w:r>
      <w:r>
        <w:rPr>
          <w:rFonts w:hint="eastAsia" w:ascii="宋体" w:hAnsi="宋体" w:eastAsia="宋体" w:cs="宋体"/>
          <w:b/>
          <w:bCs/>
          <w:sz w:val="24"/>
          <w:szCs w:val="24"/>
        </w:rPr>
        <w:t>法定代表人和授权代表</w:t>
      </w:r>
      <w:r>
        <w:rPr>
          <w:rFonts w:hint="eastAsia" w:ascii="宋体" w:hAnsi="宋体" w:eastAsia="宋体" w:cs="宋体"/>
          <w:sz w:val="24"/>
          <w:szCs w:val="24"/>
        </w:rPr>
        <w:t>的</w:t>
      </w:r>
      <w:r>
        <w:rPr>
          <w:rFonts w:hint="eastAsia" w:ascii="宋体" w:hAnsi="宋体" w:eastAsia="宋体" w:cs="宋体"/>
          <w:b/>
          <w:bCs/>
          <w:sz w:val="24"/>
          <w:szCs w:val="24"/>
        </w:rPr>
        <w:t>身份证。</w:t>
      </w:r>
      <w:r>
        <w:rPr>
          <w:rFonts w:hint="eastAsia" w:ascii="宋体" w:hAnsi="宋体" w:eastAsia="宋体" w:cs="宋体"/>
          <w:sz w:val="24"/>
          <w:szCs w:val="24"/>
        </w:rPr>
        <w:t>（提供相关证明材料</w:t>
      </w:r>
      <w:r>
        <w:rPr>
          <w:rFonts w:hint="eastAsia" w:ascii="宋体" w:hAnsi="宋体" w:eastAsia="宋体" w:cs="宋体"/>
          <w:b/>
          <w:bCs/>
          <w:sz w:val="24"/>
          <w:szCs w:val="24"/>
        </w:rPr>
        <w:t>复印件并加盖公章</w:t>
      </w:r>
      <w:r>
        <w:rPr>
          <w:rFonts w:hint="eastAsia" w:ascii="宋体" w:hAnsi="宋体" w:eastAsia="宋体" w:cs="宋体"/>
          <w:sz w:val="24"/>
          <w:szCs w:val="24"/>
        </w:rPr>
        <w:t>）；</w:t>
      </w:r>
    </w:p>
    <w:p w14:paraId="717C8E19">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（2）具有良好的商业信誉和健全的财务会计制度：提供</w:t>
      </w:r>
      <w:r>
        <w:rPr>
          <w:rFonts w:hint="eastAsia" w:ascii="宋体" w:hAnsi="宋体" w:eastAsia="宋体" w:cs="宋体"/>
          <w:b/>
          <w:bCs/>
          <w:sz w:val="24"/>
          <w:szCs w:val="24"/>
        </w:rPr>
        <w:t>2025年度审计报告</w:t>
      </w:r>
      <w:r>
        <w:rPr>
          <w:rFonts w:hint="eastAsia" w:ascii="宋体" w:hAnsi="宋体" w:eastAsia="宋体" w:cs="宋体"/>
          <w:sz w:val="24"/>
          <w:szCs w:val="24"/>
        </w:rPr>
        <w:t>，</w:t>
      </w:r>
      <w:r>
        <w:rPr>
          <w:rFonts w:hint="eastAsia" w:ascii="宋体" w:hAnsi="宋体" w:eastAsia="宋体" w:cs="宋体"/>
          <w:b/>
          <w:bCs/>
          <w:sz w:val="24"/>
          <w:szCs w:val="24"/>
        </w:rPr>
        <w:t>或</w:t>
      </w:r>
      <w:r>
        <w:rPr>
          <w:rFonts w:hint="eastAsia" w:ascii="宋体" w:hAnsi="宋体" w:eastAsia="宋体" w:cs="宋体"/>
          <w:sz w:val="24"/>
          <w:szCs w:val="24"/>
        </w:rPr>
        <w:t>招标截止时间前六个月内</w:t>
      </w:r>
      <w:r>
        <w:rPr>
          <w:rFonts w:hint="eastAsia" w:ascii="宋体" w:hAnsi="宋体" w:eastAsia="宋体" w:cs="宋体"/>
          <w:b/>
          <w:bCs/>
          <w:sz w:val="24"/>
          <w:szCs w:val="24"/>
        </w:rPr>
        <w:t>任一月的财务报告</w:t>
      </w:r>
      <w:r>
        <w:rPr>
          <w:rFonts w:hint="eastAsia" w:ascii="宋体" w:hAnsi="宋体" w:eastAsia="宋体" w:cs="宋体"/>
          <w:sz w:val="24"/>
          <w:szCs w:val="24"/>
        </w:rPr>
        <w:t>（至少包含资产负债表和利润表），或投标截止时间前三个月内银行出具的资信证明，或财政部门认可的专业担保机构出具的担保函；</w:t>
      </w:r>
    </w:p>
    <w:p w14:paraId="53479E38">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（3）具有履行合同所必需的</w:t>
      </w:r>
      <w:r>
        <w:rPr>
          <w:rFonts w:hint="eastAsia" w:ascii="宋体" w:hAnsi="宋体" w:eastAsia="宋体" w:cs="宋体"/>
          <w:b/>
          <w:bCs/>
          <w:sz w:val="24"/>
          <w:szCs w:val="24"/>
        </w:rPr>
        <w:t>设备和专业技术能力</w:t>
      </w:r>
      <w:r>
        <w:rPr>
          <w:rFonts w:hint="eastAsia" w:ascii="宋体" w:hAnsi="宋体" w:eastAsia="宋体" w:cs="宋体"/>
          <w:sz w:val="24"/>
          <w:szCs w:val="24"/>
        </w:rPr>
        <w:t>（格式详见附件）；</w:t>
      </w:r>
    </w:p>
    <w:p w14:paraId="43BB790E">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（4）有依法</w:t>
      </w:r>
      <w:r>
        <w:rPr>
          <w:rFonts w:hint="eastAsia" w:ascii="宋体" w:hAnsi="宋体" w:eastAsia="宋体" w:cs="宋体"/>
          <w:b/>
          <w:bCs/>
          <w:sz w:val="24"/>
          <w:szCs w:val="24"/>
        </w:rPr>
        <w:t>缴纳税收和社会保障资金</w:t>
      </w:r>
      <w:r>
        <w:rPr>
          <w:rFonts w:hint="eastAsia" w:ascii="宋体" w:hAnsi="宋体" w:eastAsia="宋体" w:cs="宋体"/>
          <w:sz w:val="24"/>
          <w:szCs w:val="24"/>
        </w:rPr>
        <w:t>的良好记录：提供</w:t>
      </w:r>
      <w:r>
        <w:rPr>
          <w:rFonts w:hint="eastAsia" w:ascii="宋体" w:hAnsi="宋体" w:eastAsia="宋体" w:cs="宋体"/>
          <w:b/>
          <w:bCs/>
          <w:sz w:val="24"/>
          <w:szCs w:val="24"/>
        </w:rPr>
        <w:t>招标截止时间前六个月内任一月</w:t>
      </w:r>
      <w:r>
        <w:rPr>
          <w:rFonts w:hint="eastAsia" w:ascii="宋体" w:hAnsi="宋体" w:eastAsia="宋体" w:cs="宋体"/>
          <w:sz w:val="24"/>
          <w:szCs w:val="24"/>
        </w:rPr>
        <w:t>缴纳增值税，或营业税，或企业所得税的凭据；并提供缴纳社会保险的凭据（专用收据，或社会保险缴纳清单等）；</w:t>
      </w:r>
    </w:p>
    <w:p w14:paraId="7C7C593B">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w:t>
      </w:r>
      <w:r>
        <w:rPr>
          <w:rFonts w:hint="eastAsia" w:ascii="宋体" w:hAnsi="宋体" w:eastAsia="宋体" w:cs="宋体"/>
          <w:b/>
          <w:bCs/>
          <w:sz w:val="24"/>
          <w:szCs w:val="24"/>
        </w:rPr>
        <w:t>没有重大违法记录</w:t>
      </w:r>
      <w:r>
        <w:rPr>
          <w:rFonts w:hint="eastAsia" w:ascii="宋体" w:hAnsi="宋体" w:eastAsia="宋体" w:cs="宋体"/>
          <w:sz w:val="24"/>
          <w:szCs w:val="24"/>
        </w:rPr>
        <w:t>（格式详见附件）；</w:t>
      </w:r>
    </w:p>
    <w:p w14:paraId="66412A5A">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6AC898C9">
      <w:pPr>
        <w:spacing w:after="0"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3.2本项目的特定资格要求：</w:t>
      </w:r>
    </w:p>
    <w:p w14:paraId="03112E22">
      <w:pPr>
        <w:widowControl w:val="0"/>
        <w:adjustRightInd w:val="0"/>
        <w:snapToGrid w:val="0"/>
        <w:spacing w:line="360" w:lineRule="auto"/>
        <w:ind w:firstLine="482" w:firstLineChars="200"/>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本项目接受进口产品，若提供进口产品的供应商不是所投产品的制造商，须提供以下证明文件：制造厂家的授权书或有效授权证明文件；（提供相关证明文件复印件加盖公章）</w:t>
      </w:r>
    </w:p>
    <w:p w14:paraId="40B1EBBE">
      <w:pPr>
        <w:widowControl w:val="0"/>
        <w:adjustRightInd w:val="0"/>
        <w:snapToGrid w:val="0"/>
        <w:spacing w:line="360" w:lineRule="auto"/>
        <w:ind w:firstLine="480" w:firstLineChars="200"/>
        <w:rPr>
          <w:rFonts w:hint="eastAsia" w:ascii="宋体" w:hAnsi="宋体" w:eastAsia="宋体" w:cs="宋体"/>
          <w:b/>
          <w:bCs/>
          <w:sz w:val="24"/>
          <w:szCs w:val="24"/>
          <w:lang w:val="en-US" w:eastAsia="zh-CN" w:bidi="ar-SA"/>
        </w:rPr>
      </w:pPr>
      <w:r>
        <w:rPr>
          <w:rFonts w:hint="eastAsia" w:ascii="宋体" w:hAnsi="宋体" w:eastAsia="宋体" w:cs="宋体"/>
          <w:sz w:val="24"/>
          <w:szCs w:val="24"/>
          <w:lang w:val="en-US" w:eastAsia="zh-CN" w:bidi="ar-SA"/>
        </w:rPr>
        <w:t>3.3落实政府采购政策需满足的资格要求：</w:t>
      </w:r>
      <w:r>
        <w:rPr>
          <w:rFonts w:hint="eastAsia" w:ascii="宋体" w:hAnsi="宋体" w:eastAsia="宋体" w:cs="宋体"/>
          <w:b/>
          <w:bCs/>
          <w:sz w:val="24"/>
          <w:szCs w:val="24"/>
          <w:lang w:val="en-US" w:eastAsia="zh-CN" w:bidi="ar-SA"/>
        </w:rPr>
        <w:t>无</w:t>
      </w:r>
    </w:p>
    <w:p w14:paraId="739B3D1E">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3.4拒绝下述投标人参加本次采购活动：</w:t>
      </w:r>
    </w:p>
    <w:p w14:paraId="444F9BF7">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（1）投标人单位负责人为同一人或者存在直接控股、管理关系的不同投标人，不得参加同一合同项下的采购活动。</w:t>
      </w:r>
    </w:p>
    <w:p w14:paraId="4231176F">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（2）凡为采购项目提供整体设计、规范编制或者项目管理、监理、检测等服务的投标人，不得再参加本项目的采购活动。</w:t>
      </w:r>
    </w:p>
    <w:p w14:paraId="763B48A4">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（3）拒绝列入失信被执行人、重大税收违法失信主体、政府采购严重违法失信行为记录名单中的投标人参加本项目的采购活动。采购人或采购代理机构通过 “信用中国”（www.creditchina.gov.cn）、“中国政府采购网”（www.ccgp.gov.cn）等渠道查询投标人信用记录并保存。</w:t>
      </w:r>
    </w:p>
    <w:bookmarkEnd w:id="10"/>
    <w:p w14:paraId="135C559E">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四、公告发布媒体</w:t>
      </w:r>
    </w:p>
    <w:p w14:paraId="3FF12CDD">
      <w:pPr>
        <w:spacing w:before="120" w:beforeLines="50" w:after="120" w:afterLines="5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4.1本项目在“https://www.njmu.edu.cn/南京医科大学官方网站”发布</w:t>
      </w:r>
      <w:r>
        <w:rPr>
          <w:rFonts w:hint="eastAsia" w:ascii="宋体" w:hAnsi="宋体" w:eastAsia="宋体" w:cs="宋体"/>
          <w:sz w:val="24"/>
          <w:szCs w:val="24"/>
          <w:lang w:val="zh-CN"/>
        </w:rPr>
        <w:t>公告</w:t>
      </w:r>
      <w:r>
        <w:rPr>
          <w:rFonts w:hint="eastAsia" w:ascii="宋体" w:hAnsi="宋体" w:eastAsia="宋体" w:cs="宋体"/>
          <w:sz w:val="24"/>
          <w:szCs w:val="24"/>
        </w:rPr>
        <w:t>。</w:t>
      </w:r>
    </w:p>
    <w:p w14:paraId="04E995A5">
      <w:pPr>
        <w:numPr>
          <w:ilvl w:val="0"/>
          <w:numId w:val="1"/>
        </w:num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获取招标文件</w:t>
      </w:r>
    </w:p>
    <w:p w14:paraId="3F726798">
      <w:pPr>
        <w:spacing w:after="12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5.1</w:t>
      </w:r>
      <w:r>
        <w:rPr>
          <w:rFonts w:ascii="宋体" w:hAnsi="宋体" w:eastAsia="宋体" w:cs="宋体"/>
          <w:bCs/>
          <w:color w:val="000000"/>
          <w:sz w:val="24"/>
          <w:szCs w:val="24"/>
        </w:rPr>
        <w:t>时间</w:t>
      </w:r>
      <w:r>
        <w:rPr>
          <w:rFonts w:ascii="宋体" w:hAnsi="宋体" w:eastAsia="宋体" w:cs="宋体"/>
          <w:bCs/>
          <w:color w:val="auto"/>
          <w:sz w:val="24"/>
          <w:szCs w:val="24"/>
          <w:highlight w:val="none"/>
        </w:rPr>
        <w:t>：202</w:t>
      </w:r>
      <w:r>
        <w:rPr>
          <w:rFonts w:hint="eastAsia" w:ascii="宋体" w:hAnsi="宋体" w:eastAsia="宋体" w:cs="宋体"/>
          <w:bCs/>
          <w:color w:val="auto"/>
          <w:sz w:val="24"/>
          <w:szCs w:val="24"/>
          <w:highlight w:val="none"/>
        </w:rPr>
        <w:t>6</w:t>
      </w:r>
      <w:r>
        <w:rPr>
          <w:rFonts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lang w:val="en-US" w:eastAsia="zh-CN"/>
        </w:rPr>
        <w:t>30</w:t>
      </w:r>
      <w:r>
        <w:rPr>
          <w:rFonts w:ascii="宋体" w:hAnsi="宋体" w:eastAsia="宋体" w:cs="宋体"/>
          <w:bCs/>
          <w:color w:val="auto"/>
          <w:sz w:val="24"/>
          <w:szCs w:val="24"/>
          <w:highlight w:val="none"/>
        </w:rPr>
        <w:t>日至202</w:t>
      </w:r>
      <w:r>
        <w:rPr>
          <w:rFonts w:hint="eastAsia" w:ascii="宋体" w:hAnsi="宋体" w:eastAsia="宋体" w:cs="宋体"/>
          <w:bCs/>
          <w:color w:val="auto"/>
          <w:sz w:val="24"/>
          <w:szCs w:val="24"/>
          <w:highlight w:val="none"/>
        </w:rPr>
        <w:t>6</w:t>
      </w:r>
      <w:r>
        <w:rPr>
          <w:rFonts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lang w:val="en-US" w:eastAsia="zh-CN"/>
        </w:rPr>
        <w:t>11</w:t>
      </w:r>
      <w:r>
        <w:rPr>
          <w:rFonts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lang w:val="en-US" w:eastAsia="zh-CN"/>
        </w:rPr>
        <w:t>5</w:t>
      </w:r>
      <w:r>
        <w:rPr>
          <w:rFonts w:ascii="宋体" w:hAnsi="宋体" w:eastAsia="宋体" w:cs="宋体"/>
          <w:bCs/>
          <w:color w:val="auto"/>
          <w:sz w:val="24"/>
          <w:szCs w:val="24"/>
          <w:highlight w:val="none"/>
        </w:rPr>
        <w:t>日，</w:t>
      </w:r>
      <w:r>
        <w:rPr>
          <w:rFonts w:ascii="宋体" w:hAnsi="宋体" w:eastAsia="宋体" w:cs="宋体"/>
          <w:bCs/>
          <w:sz w:val="24"/>
          <w:szCs w:val="24"/>
        </w:rPr>
        <w:t>每</w:t>
      </w:r>
      <w:r>
        <w:rPr>
          <w:rFonts w:ascii="宋体" w:hAnsi="宋体" w:eastAsia="宋体" w:cs="宋体"/>
          <w:bCs/>
          <w:color w:val="000000"/>
          <w:sz w:val="24"/>
          <w:szCs w:val="24"/>
        </w:rPr>
        <w:t>天上午9点00分至11点30分，下午13点30分至17点00分（北京时间，法定节假日除外），若潜在投标人未能在上述期限内向采购代理机构购买，则其投标将被拒绝。</w:t>
      </w:r>
    </w:p>
    <w:p w14:paraId="1F3D20DA">
      <w:pPr>
        <w:spacing w:after="12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5.2</w:t>
      </w:r>
      <w:r>
        <w:rPr>
          <w:rFonts w:ascii="宋体" w:hAnsi="宋体" w:eastAsia="宋体" w:cs="宋体"/>
          <w:bCs/>
          <w:color w:val="000000"/>
          <w:sz w:val="24"/>
          <w:szCs w:val="24"/>
        </w:rPr>
        <w:t>地点：南京市玄武区北京东路22号和平大厦1810室</w:t>
      </w:r>
    </w:p>
    <w:p w14:paraId="6CFA2F41">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5.3</w:t>
      </w:r>
      <w:r>
        <w:rPr>
          <w:rFonts w:hint="eastAsia" w:ascii="宋体" w:hAnsi="宋体" w:eastAsia="宋体" w:cs="宋体"/>
          <w:b w:val="0"/>
          <w:bCs/>
          <w:sz w:val="24"/>
          <w:szCs w:val="24"/>
        </w:rPr>
        <w:t>方式：以转账、汇款方式购买采购文件，转账、汇款附言：</w:t>
      </w:r>
      <w:r>
        <w:rPr>
          <w:rFonts w:hint="eastAsia" w:ascii="宋体" w:hAnsi="宋体" w:eastAsia="宋体" w:cs="宋体"/>
          <w:b w:val="0"/>
          <w:bCs/>
          <w:sz w:val="24"/>
          <w:szCs w:val="24"/>
          <w:lang w:val="en-US" w:eastAsia="zh-CN"/>
        </w:rPr>
        <w:t>项目编号</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招标</w:t>
      </w:r>
      <w:r>
        <w:rPr>
          <w:rFonts w:hint="eastAsia" w:ascii="宋体" w:hAnsi="宋体" w:eastAsia="宋体" w:cs="宋体"/>
          <w:b w:val="0"/>
          <w:bCs/>
          <w:sz w:val="24"/>
          <w:szCs w:val="24"/>
        </w:rPr>
        <w:t>文件费，并将凭证发送至采购代理机构邮箱，付款完成及按要求发送邮件后，代理机构提供纸质和电子版</w:t>
      </w:r>
      <w:r>
        <w:rPr>
          <w:rFonts w:hint="eastAsia" w:ascii="宋体" w:hAnsi="宋体" w:eastAsia="宋体" w:cs="宋体"/>
          <w:b w:val="0"/>
          <w:bCs/>
          <w:sz w:val="24"/>
          <w:szCs w:val="24"/>
          <w:lang w:val="en-US" w:eastAsia="zh-CN"/>
        </w:rPr>
        <w:t>招标</w:t>
      </w:r>
      <w:r>
        <w:rPr>
          <w:rFonts w:hint="eastAsia" w:ascii="宋体" w:hAnsi="宋体" w:eastAsia="宋体" w:cs="宋体"/>
          <w:b w:val="0"/>
          <w:bCs/>
          <w:sz w:val="24"/>
          <w:szCs w:val="24"/>
        </w:rPr>
        <w:t>文件。</w:t>
      </w:r>
    </w:p>
    <w:p w14:paraId="2F367F84">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购买采购文件汇款地址：</w:t>
      </w:r>
    </w:p>
    <w:p w14:paraId="3C6D2B36">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（1）开户名：江苏汉唐国际贸易集团有限公司</w:t>
      </w:r>
    </w:p>
    <w:p w14:paraId="349AAB9D">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（2）开户行：上海浦东发展银行南京莫愁支行（行号：310301000153）</w:t>
      </w:r>
    </w:p>
    <w:p w14:paraId="2C5981AA">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（3）账号：93160 15474 000 1152</w:t>
      </w:r>
    </w:p>
    <w:p w14:paraId="670C50D0">
      <w:pPr>
        <w:spacing w:before="120" w:beforeLines="50" w:after="120" w:afterLines="50" w:line="360" w:lineRule="auto"/>
        <w:ind w:firstLine="480" w:firstLineChars="200"/>
        <w:rPr>
          <w:rFonts w:hint="eastAsia" w:ascii="宋体" w:hAnsi="宋体" w:eastAsia="宋体" w:cs="宋体"/>
          <w:b w:val="0"/>
          <w:bCs/>
          <w:sz w:val="24"/>
          <w:szCs w:val="24"/>
        </w:rPr>
      </w:pPr>
      <w:bookmarkStart w:id="11" w:name="_Hlk182862024"/>
      <w:r>
        <w:rPr>
          <w:rFonts w:hint="eastAsia" w:ascii="宋体" w:hAnsi="宋体" w:eastAsia="宋体" w:cs="宋体"/>
          <w:b w:val="0"/>
          <w:bCs/>
          <w:sz w:val="24"/>
          <w:szCs w:val="24"/>
        </w:rPr>
        <w:t>售价：</w:t>
      </w:r>
      <w:r>
        <w:rPr>
          <w:rFonts w:hint="eastAsia" w:ascii="宋体" w:hAnsi="宋体" w:eastAsia="宋体" w:cs="宋体"/>
          <w:b w:val="0"/>
          <w:bCs/>
          <w:sz w:val="24"/>
          <w:szCs w:val="24"/>
          <w:lang w:val="en-US" w:eastAsia="zh-CN"/>
        </w:rPr>
        <w:t>60</w:t>
      </w:r>
      <w:r>
        <w:rPr>
          <w:rFonts w:hint="eastAsia" w:ascii="宋体" w:hAnsi="宋体" w:eastAsia="宋体" w:cs="宋体"/>
          <w:b w:val="0"/>
          <w:bCs/>
          <w:sz w:val="24"/>
          <w:szCs w:val="24"/>
        </w:rPr>
        <w:t>0元/套，售后不退。</w:t>
      </w:r>
    </w:p>
    <w:bookmarkEnd w:id="11"/>
    <w:p w14:paraId="54D79881">
      <w:pPr>
        <w:spacing w:before="120" w:beforeLines="50" w:after="120" w:afterLines="50"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4</w:t>
      </w:r>
      <w:bookmarkStart w:id="17" w:name="_GoBack"/>
      <w:bookmarkEnd w:id="17"/>
      <w:r>
        <w:rPr>
          <w:rFonts w:hint="eastAsia" w:ascii="宋体" w:hAnsi="宋体" w:eastAsia="宋体" w:cs="宋体"/>
          <w:b w:val="0"/>
          <w:bCs/>
          <w:sz w:val="24"/>
          <w:szCs w:val="24"/>
        </w:rPr>
        <w:t>报名登记有以下两种登记方式</w:t>
      </w:r>
      <w:r>
        <w:rPr>
          <w:rFonts w:hint="eastAsia" w:ascii="宋体" w:hAnsi="宋体" w:eastAsia="宋体" w:cs="宋体"/>
          <w:b/>
          <w:bCs w:val="0"/>
          <w:sz w:val="24"/>
          <w:szCs w:val="24"/>
        </w:rPr>
        <w:t>任选</w:t>
      </w:r>
      <w:r>
        <w:rPr>
          <w:rFonts w:hint="eastAsia" w:ascii="宋体" w:hAnsi="宋体" w:eastAsia="宋体" w:cs="宋体"/>
          <w:b/>
          <w:bCs w:val="0"/>
          <w:sz w:val="24"/>
          <w:szCs w:val="24"/>
          <w:lang w:val="en-US" w:eastAsia="zh-CN"/>
        </w:rPr>
        <w:t>其一即可</w:t>
      </w:r>
      <w:r>
        <w:rPr>
          <w:rFonts w:hint="eastAsia" w:ascii="宋体" w:hAnsi="宋体" w:eastAsia="宋体" w:cs="宋体"/>
          <w:b w:val="0"/>
          <w:bCs/>
          <w:sz w:val="24"/>
          <w:szCs w:val="24"/>
        </w:rPr>
        <w:t>：</w:t>
      </w:r>
    </w:p>
    <w:p w14:paraId="471B3D7D">
      <w:pPr>
        <w:spacing w:before="120" w:beforeLines="50" w:after="120" w:afterLines="50" w:line="360" w:lineRule="auto"/>
        <w:ind w:firstLine="482" w:firstLineChars="200"/>
        <w:rPr>
          <w:rFonts w:hint="eastAsia" w:ascii="宋体" w:hAnsi="宋体" w:eastAsia="宋体" w:cs="宋体"/>
          <w:b w:val="0"/>
          <w:bCs/>
          <w:sz w:val="24"/>
          <w:szCs w:val="24"/>
        </w:rPr>
      </w:pPr>
      <w:r>
        <w:rPr>
          <w:rFonts w:hint="eastAsia" w:ascii="宋体" w:hAnsi="宋体" w:eastAsia="宋体" w:cs="宋体"/>
          <w:b/>
          <w:bCs w:val="0"/>
          <w:sz w:val="24"/>
          <w:szCs w:val="24"/>
        </w:rPr>
        <w:t>【方式一】</w:t>
      </w:r>
      <w:r>
        <w:rPr>
          <w:rFonts w:hint="eastAsia" w:ascii="宋体" w:hAnsi="宋体" w:eastAsia="宋体" w:cs="宋体"/>
          <w:b w:val="0"/>
          <w:bCs/>
          <w:sz w:val="24"/>
          <w:szCs w:val="24"/>
        </w:rPr>
        <w:t>：在</w:t>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"https://bid-registration.app.workbuddy.host/"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https://bid-registration.app.workbuddy.host/</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t>按提示完成指定项目登记（如1个工作日未收到回复请及时联系代理机构）；</w:t>
      </w:r>
    </w:p>
    <w:p w14:paraId="2CBFF46A">
      <w:pPr>
        <w:spacing w:before="120" w:beforeLines="50" w:after="120" w:afterLines="50" w:line="360" w:lineRule="auto"/>
        <w:ind w:firstLine="482" w:firstLineChars="200"/>
        <w:rPr>
          <w:rFonts w:hint="eastAsia" w:ascii="宋体" w:hAnsi="宋体" w:eastAsia="宋体" w:cs="宋体"/>
          <w:b w:val="0"/>
          <w:bCs/>
          <w:sz w:val="24"/>
          <w:szCs w:val="24"/>
        </w:rPr>
      </w:pPr>
      <w:r>
        <w:rPr>
          <w:rFonts w:hint="eastAsia" w:ascii="宋体" w:hAnsi="宋体" w:eastAsia="宋体" w:cs="宋体"/>
          <w:b/>
          <w:bCs w:val="0"/>
          <w:sz w:val="24"/>
          <w:szCs w:val="24"/>
        </w:rPr>
        <w:t>【方式二】</w:t>
      </w:r>
      <w:r>
        <w:rPr>
          <w:rFonts w:hint="eastAsia" w:ascii="宋体" w:hAnsi="宋体" w:eastAsia="宋体" w:cs="宋体"/>
          <w:b w:val="0"/>
          <w:bCs/>
          <w:sz w:val="24"/>
          <w:szCs w:val="24"/>
        </w:rPr>
        <w:t>：将付款凭证及相关信息发送至采购代理机构邮箱</w:t>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"mailto:jshtzb18@sina.com"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jshtzb18@sina.com</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t>；邮件标题：购买单位名称_采购代理机构内部编号_包号；邮件正文：请明确拟购买文件的项目名称、项目编号、采购代理机构内部编号_包号、购买单位名称、联系人和联系方式、开票信息（明确专票、普票）、付款截图（直接贴图在正文，不要采用附件）、邮寄地址等信息。</w:t>
      </w:r>
    </w:p>
    <w:p w14:paraId="39670E8A">
      <w:pPr>
        <w:spacing w:before="120" w:beforeLines="50" w:after="120" w:afterLines="50"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六、投标截止时间及开标信息</w:t>
      </w:r>
    </w:p>
    <w:p w14:paraId="79F4BCAF">
      <w:pPr>
        <w:spacing w:before="120" w:beforeLines="50" w:after="120" w:afterLines="50" w:line="360" w:lineRule="auto"/>
        <w:ind w:firstLine="480" w:firstLineChars="200"/>
        <w:rPr>
          <w:rFonts w:hint="eastAsia" w:ascii="宋体" w:hAnsi="宋体" w:eastAsia="宋体" w:cs="宋体"/>
          <w:color w:val="FF0000"/>
          <w:sz w:val="24"/>
          <w:szCs w:val="24"/>
          <w:highlight w:val="yellow"/>
        </w:rPr>
      </w:pPr>
      <w:r>
        <w:rPr>
          <w:rFonts w:hint="eastAsia" w:ascii="宋体" w:hAnsi="宋体" w:eastAsia="宋体" w:cs="宋体"/>
          <w:sz w:val="24"/>
          <w:szCs w:val="24"/>
        </w:rPr>
        <w:t>6.1投标文件接收截止时间及开标时间：</w:t>
      </w:r>
      <w:r>
        <w:rPr>
          <w:rFonts w:hint="eastAsia"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0分</w:t>
      </w:r>
    </w:p>
    <w:p w14:paraId="763D1B82">
      <w:pPr>
        <w:spacing w:after="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6.2投标文件接收地点及开标地点：南京市玄武区北京东路22号和平大厦18楼开标室一</w:t>
      </w:r>
    </w:p>
    <w:p w14:paraId="1029EC73">
      <w:pPr>
        <w:spacing w:before="120" w:beforeLines="50" w:after="120" w:afterLines="50"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七、</w:t>
      </w:r>
      <w:bookmarkStart w:id="12" w:name="_Toc214612912"/>
      <w:bookmarkStart w:id="13" w:name="_Toc211033425"/>
      <w:r>
        <w:rPr>
          <w:rFonts w:hint="eastAsia" w:ascii="宋体" w:hAnsi="宋体" w:eastAsia="宋体" w:cs="宋体"/>
          <w:b/>
          <w:color w:val="000000"/>
          <w:sz w:val="24"/>
          <w:szCs w:val="24"/>
        </w:rPr>
        <w:t>公告期限</w:t>
      </w:r>
      <w:bookmarkEnd w:id="12"/>
      <w:bookmarkEnd w:id="13"/>
    </w:p>
    <w:p w14:paraId="57AC3191">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7.1自招标公告发布之日起5个工作日</w:t>
      </w:r>
    </w:p>
    <w:p w14:paraId="11F1C3F5">
      <w:pPr>
        <w:spacing w:before="120" w:beforeLines="50" w:after="120" w:afterLines="50" w:line="360" w:lineRule="auto"/>
        <w:ind w:firstLine="482" w:firstLineChars="200"/>
        <w:rPr>
          <w:rFonts w:hint="eastAsia" w:ascii="宋体" w:hAnsi="宋体" w:eastAsia="宋体" w:cs="宋体"/>
          <w:b/>
          <w:color w:val="000000"/>
          <w:sz w:val="24"/>
          <w:szCs w:val="24"/>
        </w:rPr>
      </w:pPr>
      <w:bookmarkStart w:id="14" w:name="_Toc214612913"/>
      <w:bookmarkStart w:id="15" w:name="_Toc116802036"/>
      <w:r>
        <w:rPr>
          <w:rFonts w:hint="eastAsia" w:ascii="宋体" w:hAnsi="宋体" w:eastAsia="宋体" w:cs="宋体"/>
          <w:b/>
          <w:color w:val="000000"/>
          <w:sz w:val="24"/>
          <w:szCs w:val="24"/>
        </w:rPr>
        <w:t>八、其他补充事宜</w:t>
      </w:r>
      <w:bookmarkEnd w:id="14"/>
      <w:bookmarkEnd w:id="15"/>
    </w:p>
    <w:p w14:paraId="0C9A3B45">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8.1采购项目需要落实的政府采购政策：本项目执行《政府采购促进中小企业发展管理办法》、《关于政府采购支持监狱企业发展有关问题的通知》、《关于促进残疾人就业政府采购政策的通知》、《关于调整优化节能产品、环境标志产品政府采购执行机制的通知》、《国务院办公厅关于在政府采购中实施本国产品标准及相关政策的通知》</w:t>
      </w:r>
      <w:r>
        <w:rPr>
          <w:rFonts w:ascii="宋体" w:hAnsi="宋体" w:eastAsia="宋体" w:cs="宋体"/>
          <w:color w:val="000000"/>
          <w:sz w:val="24"/>
          <w:szCs w:val="24"/>
        </w:rPr>
        <w:t>等政府采购</w:t>
      </w:r>
      <w:r>
        <w:rPr>
          <w:rFonts w:hint="eastAsia" w:ascii="宋体" w:hAnsi="宋体" w:eastAsia="宋体" w:cs="宋体"/>
          <w:color w:val="000000"/>
          <w:sz w:val="24"/>
          <w:szCs w:val="24"/>
        </w:rPr>
        <w:t>政策</w:t>
      </w:r>
      <w:r>
        <w:rPr>
          <w:rFonts w:ascii="宋体" w:hAnsi="宋体" w:eastAsia="宋体" w:cs="宋体"/>
          <w:color w:val="000000"/>
          <w:sz w:val="24"/>
          <w:szCs w:val="24"/>
        </w:rPr>
        <w:t>文件</w:t>
      </w:r>
      <w:r>
        <w:rPr>
          <w:rFonts w:hint="eastAsia" w:ascii="宋体" w:hAnsi="宋体" w:eastAsia="宋体" w:cs="宋体"/>
          <w:color w:val="000000"/>
          <w:sz w:val="24"/>
          <w:szCs w:val="24"/>
        </w:rPr>
        <w:t>。</w:t>
      </w:r>
    </w:p>
    <w:p w14:paraId="428196EA">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8.2投标文件接收要求：</w:t>
      </w:r>
    </w:p>
    <w:p w14:paraId="4DEA70EA">
      <w:pPr>
        <w:spacing w:after="12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b/>
          <w:bCs/>
          <w:sz w:val="24"/>
          <w:szCs w:val="24"/>
        </w:rPr>
        <w:t>纸质投标文件一式六份</w:t>
      </w:r>
      <w:r>
        <w:rPr>
          <w:rFonts w:hint="eastAsia" w:ascii="宋体" w:hAnsi="宋体" w:eastAsia="宋体" w:cs="宋体"/>
          <w:sz w:val="24"/>
          <w:szCs w:val="24"/>
        </w:rPr>
        <w:t>，其中正本一份、副本五份，在标书封面标注“正本”、“副本”字样，标书密封并在封口处加盖公章。</w:t>
      </w:r>
    </w:p>
    <w:p w14:paraId="225B95E8">
      <w:pPr>
        <w:numPr>
          <w:ilvl w:val="0"/>
          <w:numId w:val="2"/>
        </w:numPr>
        <w:spacing w:after="120"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电子版U盘1份</w:t>
      </w:r>
      <w:r>
        <w:rPr>
          <w:rFonts w:hint="eastAsia" w:ascii="宋体" w:hAnsi="宋体" w:eastAsia="宋体" w:cs="宋体"/>
          <w:sz w:val="24"/>
          <w:szCs w:val="24"/>
        </w:rPr>
        <w:t>（须包含投标文件word格式和pdf格式，pdf格式须加盖公司公章）</w:t>
      </w:r>
    </w:p>
    <w:p w14:paraId="2F6EF0DB">
      <w:pPr>
        <w:numPr>
          <w:ilvl w:val="0"/>
          <w:numId w:val="2"/>
        </w:numPr>
        <w:spacing w:after="0" w:line="360" w:lineRule="auto"/>
        <w:ind w:firstLine="482" w:firstLineChars="200"/>
        <w:rPr>
          <w:rFonts w:hint="eastAsia" w:ascii="宋体" w:hAnsi="宋体" w:eastAsia="宋体" w:cs="宋体"/>
          <w:sz w:val="24"/>
          <w:szCs w:val="24"/>
        </w:rPr>
      </w:pPr>
      <w:r>
        <w:rPr>
          <w:rFonts w:hint="eastAsia" w:ascii="宋体" w:hAnsi="宋体" w:eastAsia="宋体" w:cs="宋体"/>
          <w:b/>
          <w:i/>
          <w:sz w:val="24"/>
          <w:u w:val="single"/>
        </w:rPr>
        <w:t>开标一览表必须加</w:t>
      </w:r>
      <w:r>
        <w:rPr>
          <w:rFonts w:hint="eastAsia" w:ascii="宋体" w:hAnsi="宋体" w:eastAsia="宋体" w:cs="宋体"/>
          <w:b/>
          <w:bCs/>
          <w:i/>
          <w:iCs/>
          <w:sz w:val="24"/>
          <w:u w:val="single"/>
        </w:rPr>
        <w:t>盖投标人公章（复印件无效），且需单独密封在信封中，在投标截止时间前与投标文件分别递交，否</w:t>
      </w:r>
      <w:r>
        <w:rPr>
          <w:rFonts w:hint="eastAsia" w:ascii="宋体" w:hAnsi="宋体" w:eastAsia="宋体" w:cs="宋体"/>
          <w:b/>
          <w:i/>
          <w:sz w:val="24"/>
          <w:u w:val="single"/>
        </w:rPr>
        <w:t>则视为无效投标。</w:t>
      </w:r>
      <w:r>
        <w:rPr>
          <w:rFonts w:hint="eastAsia" w:ascii="宋体" w:hAnsi="宋体" w:eastAsia="宋体" w:cs="宋体"/>
          <w:sz w:val="24"/>
          <w:szCs w:val="24"/>
        </w:rPr>
        <w:t>如有分包，投标人投标任何一个分包，都需单独填写开标一览表。</w:t>
      </w:r>
    </w:p>
    <w:p w14:paraId="23C85D5B">
      <w:pPr>
        <w:spacing w:before="120" w:beforeLines="50" w:after="120" w:afterLines="50"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逾期送达及未按要求密封的投标文件，采购人和采购代理机构不予接收。</w:t>
      </w:r>
    </w:p>
    <w:p w14:paraId="3D868AF5">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8.3需要现场说明或者澄清的问题，投标商代表未到场确认的，后果自负。</w:t>
      </w:r>
    </w:p>
    <w:p w14:paraId="51291F9A">
      <w:pPr>
        <w:spacing w:before="120" w:beforeLines="50" w:after="120" w:afterLines="50"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九、项目联系信息</w:t>
      </w:r>
    </w:p>
    <w:p w14:paraId="33559CFE">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采购人信息</w:t>
      </w:r>
    </w:p>
    <w:p w14:paraId="05235CF1">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名称：南京医科大学</w:t>
      </w:r>
    </w:p>
    <w:p w14:paraId="4BE22D74">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地址：</w:t>
      </w:r>
      <w:bookmarkStart w:id="16" w:name="_Hlk153870315"/>
      <w:r>
        <w:rPr>
          <w:rFonts w:hint="eastAsia" w:ascii="宋体" w:hAnsi="宋体" w:eastAsia="宋体" w:cs="宋体"/>
          <w:color w:val="000000"/>
          <w:sz w:val="24"/>
          <w:szCs w:val="24"/>
        </w:rPr>
        <w:t>南京市江宁区龙眠大道101号</w:t>
      </w:r>
      <w:bookmarkEnd w:id="16"/>
    </w:p>
    <w:p w14:paraId="4CAA394C">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联系人：马老师</w:t>
      </w:r>
    </w:p>
    <w:p w14:paraId="64FFE4C7">
      <w:pPr>
        <w:spacing w:before="120" w:beforeLines="50" w:after="120" w:afterLines="5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联系方式：025-86868572</w:t>
      </w:r>
    </w:p>
    <w:p w14:paraId="0F81FDD4">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2.采购代理机构信息</w:t>
      </w:r>
    </w:p>
    <w:p w14:paraId="05062245">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名称：江苏汉唐国际贸易集团有限公司</w:t>
      </w:r>
    </w:p>
    <w:p w14:paraId="4464A756">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地址：南京市玄武区北京东路22号和平大厦1810室</w:t>
      </w:r>
    </w:p>
    <w:p w14:paraId="06A27BAD">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联系方式：025-86975797</w:t>
      </w:r>
    </w:p>
    <w:p w14:paraId="6C028378">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联系人：苍盛、王梦珂、徐琳、唐虹</w:t>
      </w:r>
    </w:p>
    <w:p w14:paraId="3AAA6F18">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邮箱：jshtzb18@sina.com</w:t>
      </w:r>
    </w:p>
    <w:p w14:paraId="4A5895CB">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3.项目联系方式</w:t>
      </w:r>
    </w:p>
    <w:p w14:paraId="1EBED84E">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项目联系人：苍盛、王梦珂、徐琳、唐虹</w:t>
      </w:r>
    </w:p>
    <w:p w14:paraId="6BF66666">
      <w:pPr>
        <w:spacing w:before="120" w:beforeLines="50" w:after="120" w:afterLines="50"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电话：025-86975797</w:t>
      </w:r>
    </w:p>
    <w:bookmarkEnd w:id="1"/>
    <w:bookmarkEnd w:id="2"/>
    <w:bookmarkEnd w:id="3"/>
    <w:bookmarkEnd w:id="4"/>
    <w:bookmarkEnd w:id="5"/>
    <w:bookmarkEnd w:id="6"/>
    <w:bookmarkEnd w:id="7"/>
    <w:bookmarkEnd w:id="8"/>
    <w:bookmarkEnd w:id="9"/>
    <w:p w14:paraId="5667D5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122AE8"/>
    <w:multiLevelType w:val="singleLevel"/>
    <w:tmpl w:val="E9122AE8"/>
    <w:lvl w:ilvl="0" w:tentative="0">
      <w:start w:val="2"/>
      <w:numFmt w:val="decimal"/>
      <w:suff w:val="nothing"/>
      <w:lvlText w:val="（%1）"/>
      <w:lvlJc w:val="left"/>
    </w:lvl>
  </w:abstractNum>
  <w:abstractNum w:abstractNumId="1">
    <w:nsid w:val="51B33254"/>
    <w:multiLevelType w:val="singleLevel"/>
    <w:tmpl w:val="51B33254"/>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E14DCB"/>
    <w:rsid w:val="191B244C"/>
    <w:rsid w:val="31D01B49"/>
    <w:rsid w:val="385201EA"/>
    <w:rsid w:val="3BB2008D"/>
    <w:rsid w:val="44E00D30"/>
    <w:rsid w:val="57202C99"/>
    <w:rsid w:val="5E5A3F2B"/>
    <w:rsid w:val="6C9A5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22"/>
    <w:rPr>
      <w:b/>
    </w:rPr>
  </w:style>
  <w:style w:type="character" w:styleId="6">
    <w:name w:val="Hyperlink"/>
    <w:qFormat/>
    <w:uiPriority w:val="99"/>
    <w:rPr>
      <w:color w:val="0000FF"/>
      <w:u w:val="single"/>
    </w:rPr>
  </w:style>
  <w:style w:type="paragraph" w:customStyle="1" w:styleId="7">
    <w:name w:val="首行缩进"/>
    <w:basedOn w:val="1"/>
    <w:qFormat/>
    <w:uiPriority w:val="0"/>
    <w:pPr>
      <w:ind w:firstLine="480" w:firstLineChars="200"/>
    </w:pPr>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2018</Words>
  <Characters>2287</Characters>
  <Lines>0</Lines>
  <Paragraphs>0</Paragraphs>
  <TotalTime>1</TotalTime>
  <ScaleCrop>false</ScaleCrop>
  <LinksUpToDate>false</LinksUpToDate>
  <CharactersWithSpaces>2297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2026-04-28T02:48:00Z</dcterms:created>
  <dc:creator>苍</dc:creator>
  <cp:lastModifiedBy>苍盛</cp:lastModifiedBy>
  <dcterms:modified xsi:type="dcterms:W3CDTF">2026-10-29T08:18:15Z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eyJoZGlkIjoiNmMxOTFjNTVkNmFjMGE3YmUyMWIzZDVhZGVmNGUyZDQiLCJ1c2VySWQiOiI1ODkxNjMwMTYifQ==</vt:lpwstr>
  </property>
  <property fmtid="{D5CDD505-2E9C-101B-9397-08002B2CF9AE}" pid="4" name="ICV">
    <vt:lpwstr>92626232E4814AF3B3A1394F4E3E2912_13</vt:lpwstr>
  </property>
</Properties>
</file>