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eastAsia="黑体"/>
          <w:b/>
          <w:bCs/>
          <w:sz w:val="84"/>
        </w:rPr>
      </w:pPr>
      <w:r>
        <w:rPr>
          <w:rFonts w:hint="eastAsia" w:eastAsia="黑体"/>
          <w:b/>
          <w:bCs/>
          <w:sz w:val="84"/>
        </w:rPr>
        <w:t>招　标　文　件</w:t>
      </w:r>
    </w:p>
    <w:p>
      <w:pPr>
        <w:pStyle w:val="29"/>
        <w:ind w:firstLine="2409" w:firstLineChars="750"/>
        <w:rPr>
          <w:b/>
          <w:bCs/>
          <w:sz w:val="32"/>
        </w:rPr>
      </w:pPr>
    </w:p>
    <w:p>
      <w:pPr>
        <w:pStyle w:val="29"/>
        <w:ind w:firstLine="2108" w:firstLineChars="750"/>
        <w:rPr>
          <w:b/>
          <w:bCs/>
          <w:sz w:val="28"/>
          <w:szCs w:val="28"/>
        </w:rPr>
      </w:pPr>
    </w:p>
    <w:p>
      <w:pPr>
        <w:pStyle w:val="29"/>
        <w:ind w:firstLine="0"/>
        <w:jc w:val="center"/>
        <w:rPr>
          <w:rStyle w:val="33"/>
          <w:rFonts w:hint="eastAsia"/>
          <w:sz w:val="30"/>
          <w:szCs w:val="30"/>
          <w:highlight w:val="none"/>
        </w:rPr>
      </w:pPr>
      <w:r>
        <w:rPr>
          <w:rFonts w:hint="eastAsia"/>
          <w:b/>
          <w:bCs/>
          <w:sz w:val="30"/>
          <w:szCs w:val="30"/>
        </w:rPr>
        <w:t>项目名称：</w:t>
      </w:r>
      <w:r>
        <w:rPr>
          <w:rStyle w:val="33"/>
          <w:rFonts w:hint="eastAsia"/>
          <w:sz w:val="30"/>
          <w:szCs w:val="30"/>
        </w:rPr>
        <w:t>南京医科大学学海楼B217会议室LED显示系统及音</w:t>
      </w:r>
      <w:r>
        <w:rPr>
          <w:rStyle w:val="33"/>
          <w:rFonts w:hint="eastAsia"/>
          <w:sz w:val="30"/>
          <w:szCs w:val="30"/>
          <w:highlight w:val="none"/>
        </w:rPr>
        <w:t>响系统购置项目</w:t>
      </w:r>
    </w:p>
    <w:p>
      <w:pPr>
        <w:pStyle w:val="29"/>
        <w:ind w:firstLine="0"/>
        <w:jc w:val="both"/>
        <w:rPr>
          <w:rFonts w:ascii="Helvetica" w:hAnsi="Helvetica"/>
          <w:color w:val="515A6E"/>
          <w:sz w:val="18"/>
          <w:szCs w:val="18"/>
          <w:highlight w:val="none"/>
        </w:rPr>
      </w:pPr>
      <w:r>
        <w:rPr>
          <w:rStyle w:val="33"/>
          <w:rFonts w:hint="eastAsia"/>
          <w:sz w:val="30"/>
          <w:szCs w:val="30"/>
          <w:highlight w:val="none"/>
        </w:rPr>
        <w:t>项目编号： NJMUZB2242023008</w:t>
      </w:r>
    </w:p>
    <w:p>
      <w:pPr>
        <w:pStyle w:val="29"/>
        <w:ind w:firstLine="1205" w:firstLineChars="400"/>
        <w:rPr>
          <w:b/>
          <w:bCs/>
          <w:sz w:val="30"/>
          <w:szCs w:val="30"/>
          <w:highlight w:val="none"/>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spacing w:before="0" w:after="0"/>
        <w:ind w:firstLine="0"/>
        <w:rPr>
          <w:rFonts w:ascii="宋体" w:hAnsi="宋体"/>
        </w:rPr>
      </w:pPr>
    </w:p>
    <w:p>
      <w:pPr>
        <w:pStyle w:val="29"/>
        <w:ind w:firstLine="0"/>
        <w:jc w:val="center"/>
        <w:rPr>
          <w:b/>
          <w:bCs/>
          <w:sz w:val="32"/>
        </w:rPr>
      </w:pPr>
    </w:p>
    <w:p>
      <w:pPr>
        <w:pStyle w:val="29"/>
        <w:ind w:firstLine="0"/>
        <w:jc w:val="center"/>
        <w:rPr>
          <w:b/>
          <w:bCs/>
          <w:sz w:val="32"/>
        </w:rPr>
      </w:pPr>
      <w:r>
        <w:rPr>
          <w:rFonts w:hint="eastAsia"/>
          <w:b/>
          <w:bCs/>
          <w:sz w:val="32"/>
        </w:rPr>
        <w:t>南京医科大学</w:t>
      </w:r>
      <w:r>
        <w:br w:type="page"/>
      </w:r>
      <w:bookmarkStart w:id="0" w:name="_Toc517190880"/>
      <w:bookmarkStart w:id="1" w:name="_Toc513029200"/>
      <w:bookmarkStart w:id="2" w:name="_Toc523127445"/>
      <w:bookmarkStart w:id="3" w:name="_Toc16938516"/>
      <w:bookmarkStart w:id="4" w:name="_Toc20823272"/>
      <w:bookmarkStart w:id="5" w:name="_Toc479757206"/>
      <w:bookmarkStart w:id="6" w:name="_Toc120614210"/>
      <w:r>
        <w:rPr>
          <w:rFonts w:hint="eastAsia" w:ascii="黑体" w:hAnsi="黑体" w:eastAsia="黑体"/>
          <w:b/>
          <w:sz w:val="44"/>
          <w:szCs w:val="28"/>
        </w:rPr>
        <w:t>目  录</w:t>
      </w:r>
      <w:bookmarkEnd w:id="0"/>
    </w:p>
    <w:p>
      <w:pPr>
        <w:pStyle w:val="18"/>
        <w:tabs>
          <w:tab w:val="right" w:leader="dot" w:pos="8296"/>
        </w:tabs>
        <w:ind w:firstLine="240" w:firstLineChars="100"/>
        <w:rPr>
          <w:rFonts w:hint="eastAsia" w:ascii="宋体" w:hAnsi="宋体" w:eastAsia="宋体" w:cs="宋体"/>
          <w:b w:val="0"/>
          <w:caps w:val="0"/>
          <w:sz w:val="24"/>
          <w:szCs w:val="24"/>
          <w14:ligatures w14:val="standardContextual"/>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TOC \o "1-3" \h \z \u </w:instrText>
      </w:r>
      <w:r>
        <w:rPr>
          <w:rFonts w:hint="eastAsia" w:ascii="宋体" w:hAnsi="宋体" w:eastAsia="宋体" w:cs="宋体"/>
          <w:b w:val="0"/>
          <w:sz w:val="24"/>
          <w:szCs w:val="24"/>
        </w:rPr>
        <w:fldChar w:fldCharType="separate"/>
      </w:r>
    </w:p>
    <w:p>
      <w:pPr>
        <w:pStyle w:val="18"/>
        <w:tabs>
          <w:tab w:val="right" w:leader="dot" w:pos="8296"/>
        </w:tabs>
        <w:rPr>
          <w:rFonts w:hint="eastAsia" w:ascii="宋体" w:hAnsi="宋体" w:eastAsia="宋体" w:cs="宋体"/>
          <w:b w:val="0"/>
          <w:caps w:val="0"/>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"_Toc136003448" </w:instrText>
      </w:r>
      <w:r>
        <w:rPr>
          <w:rFonts w:hint="eastAsia" w:ascii="宋体" w:hAnsi="宋体" w:eastAsia="宋体" w:cs="宋体"/>
          <w:sz w:val="24"/>
          <w:szCs w:val="24"/>
        </w:rPr>
        <w:fldChar w:fldCharType="separate"/>
      </w:r>
      <w:r>
        <w:rPr>
          <w:rStyle w:val="27"/>
          <w:rFonts w:hint="eastAsia" w:ascii="宋体" w:hAnsi="宋体" w:eastAsia="宋体" w:cs="宋体"/>
          <w:b w:val="0"/>
          <w:sz w:val="24"/>
          <w:szCs w:val="24"/>
        </w:rPr>
        <w:t xml:space="preserve">第一章 </w:t>
      </w:r>
      <w:r>
        <w:rPr>
          <w:rStyle w:val="27"/>
          <w:rFonts w:hint="eastAsia" w:ascii="宋体" w:hAnsi="宋体" w:cs="宋体"/>
          <w:b w:val="0"/>
          <w:sz w:val="24"/>
          <w:szCs w:val="24"/>
          <w:lang w:val="en-US" w:eastAsia="zh-CN"/>
        </w:rPr>
        <w:t xml:space="preserve"> </w:t>
      </w:r>
      <w:r>
        <w:rPr>
          <w:rStyle w:val="27"/>
          <w:rFonts w:hint="eastAsia" w:ascii="宋体" w:hAnsi="宋体" w:eastAsia="宋体" w:cs="宋体"/>
          <w:b w:val="0"/>
          <w:sz w:val="24"/>
          <w:szCs w:val="24"/>
        </w:rPr>
        <w:t>招标公告</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_Toc136003448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8"/>
        <w:tabs>
          <w:tab w:val="right" w:leader="dot" w:pos="8296"/>
        </w:tabs>
        <w:rPr>
          <w:rFonts w:hint="eastAsia" w:ascii="宋体" w:hAnsi="宋体" w:eastAsia="宋体" w:cs="宋体"/>
          <w:b w:val="0"/>
          <w:caps w:val="0"/>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"_Toc136003449" </w:instrText>
      </w:r>
      <w:r>
        <w:rPr>
          <w:rFonts w:hint="eastAsia" w:ascii="宋体" w:hAnsi="宋体" w:eastAsia="宋体" w:cs="宋体"/>
          <w:sz w:val="24"/>
          <w:szCs w:val="24"/>
        </w:rPr>
        <w:fldChar w:fldCharType="separate"/>
      </w:r>
      <w:r>
        <w:rPr>
          <w:rStyle w:val="27"/>
          <w:rFonts w:hint="eastAsia" w:ascii="宋体" w:hAnsi="宋体" w:eastAsia="宋体" w:cs="宋体"/>
          <w:b w:val="0"/>
          <w:sz w:val="24"/>
          <w:szCs w:val="24"/>
        </w:rPr>
        <w:t>第二章</w:t>
      </w:r>
      <w:r>
        <w:rPr>
          <w:rStyle w:val="27"/>
          <w:rFonts w:hint="eastAsia" w:ascii="宋体" w:hAnsi="宋体" w:cs="宋体"/>
          <w:b w:val="0"/>
          <w:sz w:val="24"/>
          <w:szCs w:val="24"/>
          <w:lang w:val="en-US" w:eastAsia="zh-CN"/>
        </w:rPr>
        <w:t xml:space="preserve">  </w:t>
      </w:r>
      <w:r>
        <w:rPr>
          <w:rStyle w:val="27"/>
          <w:rFonts w:hint="eastAsia" w:ascii="宋体" w:hAnsi="宋体" w:eastAsia="宋体" w:cs="宋体"/>
          <w:b w:val="0"/>
          <w:sz w:val="24"/>
          <w:szCs w:val="24"/>
        </w:rPr>
        <w:t>投标人须知</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_Toc136003449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8"/>
        <w:tabs>
          <w:tab w:val="right" w:leader="dot" w:pos="8296"/>
        </w:tabs>
        <w:rPr>
          <w:rFonts w:hint="eastAsia" w:ascii="宋体" w:hAnsi="宋体" w:eastAsia="宋体" w:cs="宋体"/>
          <w:b w:val="0"/>
          <w:caps w:val="0"/>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"_Toc136003450" </w:instrText>
      </w:r>
      <w:r>
        <w:rPr>
          <w:rFonts w:hint="eastAsia" w:ascii="宋体" w:hAnsi="宋体" w:eastAsia="宋体" w:cs="宋体"/>
          <w:sz w:val="24"/>
          <w:szCs w:val="24"/>
        </w:rPr>
        <w:fldChar w:fldCharType="separate"/>
      </w:r>
      <w:r>
        <w:rPr>
          <w:rStyle w:val="27"/>
          <w:rFonts w:hint="eastAsia" w:ascii="宋体" w:hAnsi="宋体" w:eastAsia="宋体" w:cs="宋体"/>
          <w:b w:val="0"/>
          <w:sz w:val="24"/>
          <w:szCs w:val="24"/>
        </w:rPr>
        <w:t>第三章  项目需求</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_Toc136003450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16</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9"/>
        <w:tabs>
          <w:tab w:val="right" w:leader="dot" w:pos="8296"/>
        </w:tabs>
        <w:ind w:left="0" w:leftChars="0"/>
        <w:rPr>
          <w:rFonts w:hint="eastAsia" w:ascii="宋体" w:hAnsi="宋体" w:eastAsia="宋体" w:cs="宋体"/>
          <w:bCs/>
          <w:kern w:val="2"/>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"_Toc136003451" </w:instrText>
      </w:r>
      <w:r>
        <w:rPr>
          <w:rFonts w:hint="eastAsia" w:ascii="宋体" w:hAnsi="宋体" w:eastAsia="宋体" w:cs="宋体"/>
          <w:sz w:val="24"/>
          <w:szCs w:val="24"/>
        </w:rPr>
        <w:fldChar w:fldCharType="separate"/>
      </w:r>
      <w:r>
        <w:rPr>
          <w:rStyle w:val="27"/>
          <w:rFonts w:hint="eastAsia" w:ascii="宋体" w:hAnsi="宋体" w:eastAsia="宋体" w:cs="宋体"/>
          <w:bCs/>
          <w:sz w:val="24"/>
          <w:szCs w:val="24"/>
        </w:rPr>
        <w:t>第四章  评标方法与评标标准</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_Toc136003451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8"/>
        <w:tabs>
          <w:tab w:val="right" w:leader="dot" w:pos="8296"/>
        </w:tabs>
        <w:rPr>
          <w:rFonts w:hint="eastAsia" w:ascii="宋体" w:hAnsi="宋体" w:eastAsia="宋体" w:cs="宋体"/>
          <w:b w:val="0"/>
          <w:caps w:val="0"/>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"_Toc136003452" </w:instrText>
      </w:r>
      <w:r>
        <w:rPr>
          <w:rFonts w:hint="eastAsia" w:ascii="宋体" w:hAnsi="宋体" w:eastAsia="宋体" w:cs="宋体"/>
          <w:sz w:val="24"/>
          <w:szCs w:val="24"/>
        </w:rPr>
        <w:fldChar w:fldCharType="separate"/>
      </w:r>
      <w:r>
        <w:rPr>
          <w:rStyle w:val="27"/>
          <w:rFonts w:hint="eastAsia" w:ascii="宋体" w:hAnsi="宋体" w:eastAsia="宋体" w:cs="宋体"/>
          <w:b w:val="0"/>
          <w:sz w:val="24"/>
          <w:szCs w:val="24"/>
        </w:rPr>
        <w:t>第五章  投标文件格式</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_Toc136003452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27</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8"/>
        <w:tabs>
          <w:tab w:val="right" w:leader="dot" w:pos="8296"/>
        </w:tabs>
        <w:rPr>
          <w:rFonts w:hint="eastAsia" w:ascii="宋体" w:hAnsi="宋体" w:eastAsia="宋体" w:cs="宋体"/>
          <w:b w:val="0"/>
          <w:caps w:val="0"/>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"_Toc136003453" </w:instrText>
      </w:r>
      <w:r>
        <w:rPr>
          <w:rFonts w:hint="eastAsia" w:ascii="宋体" w:hAnsi="宋体" w:eastAsia="宋体" w:cs="宋体"/>
          <w:sz w:val="24"/>
          <w:szCs w:val="24"/>
        </w:rPr>
        <w:fldChar w:fldCharType="separate"/>
      </w:r>
      <w:r>
        <w:rPr>
          <w:rStyle w:val="27"/>
          <w:rFonts w:hint="eastAsia" w:ascii="宋体" w:hAnsi="宋体" w:eastAsia="宋体" w:cs="宋体"/>
          <w:b w:val="0"/>
          <w:sz w:val="24"/>
          <w:szCs w:val="24"/>
        </w:rPr>
        <w:t>第六章  拟签订的合同文本</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_Toc136003453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34</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8"/>
        <w:tabs>
          <w:tab w:val="right" w:leader="dot" w:pos="8296"/>
        </w:tabs>
        <w:spacing w:line="360" w:lineRule="auto"/>
        <w:rPr>
          <w:rFonts w:hint="eastAsia" w:ascii="宋体" w:hAnsi="宋体" w:eastAsia="宋体" w:cs="宋体"/>
          <w:b w:val="0"/>
          <w:sz w:val="24"/>
          <w:szCs w:val="24"/>
        </w:rPr>
      </w:pPr>
      <w:r>
        <w:rPr>
          <w:rFonts w:hint="eastAsia" w:ascii="宋体" w:hAnsi="宋体" w:eastAsia="宋体" w:cs="宋体"/>
          <w:b w:val="0"/>
          <w:sz w:val="24"/>
          <w:szCs w:val="24"/>
        </w:rPr>
        <w:fldChar w:fldCharType="end"/>
      </w:r>
      <w:r>
        <w:rPr>
          <w:rFonts w:hint="eastAsia" w:ascii="宋体" w:hAnsi="宋体" w:eastAsia="宋体" w:cs="宋体"/>
          <w:b w:val="0"/>
          <w:sz w:val="24"/>
          <w:szCs w:val="24"/>
        </w:rPr>
        <w:t>第六章</w:t>
      </w:r>
      <w:r>
        <w:rPr>
          <w:rFonts w:hint="eastAsia" w:ascii="宋体" w:hAnsi="宋体" w:cs="宋体"/>
          <w:b w:val="0"/>
          <w:sz w:val="24"/>
          <w:szCs w:val="24"/>
          <w:lang w:val="en-US" w:eastAsia="zh-CN"/>
        </w:rPr>
        <w:t xml:space="preserve">  </w:t>
      </w:r>
      <w:bookmarkStart w:id="175" w:name="_GoBack"/>
      <w:bookmarkEnd w:id="175"/>
      <w:r>
        <w:rPr>
          <w:rFonts w:hint="eastAsia" w:ascii="宋体" w:hAnsi="宋体" w:eastAsia="宋体" w:cs="宋体"/>
          <w:b w:val="0"/>
          <w:sz w:val="24"/>
          <w:szCs w:val="24"/>
        </w:rPr>
        <w:t>拟签订的合同文本</w:t>
      </w:r>
      <w:r>
        <w:rPr>
          <w:rFonts w:hint="eastAsia" w:ascii="宋体" w:hAnsi="宋体" w:eastAsia="宋体" w:cs="宋体"/>
          <w:b w:val="0"/>
          <w:sz w:val="24"/>
          <w:szCs w:val="24"/>
        </w:rPr>
        <w:tab/>
      </w:r>
      <w:r>
        <w:rPr>
          <w:rFonts w:hint="eastAsia" w:ascii="宋体" w:hAnsi="宋体" w:eastAsia="宋体" w:cs="宋体"/>
          <w:b w:val="0"/>
          <w:sz w:val="24"/>
          <w:szCs w:val="24"/>
        </w:rPr>
        <w:t>32</w:t>
      </w:r>
    </w:p>
    <w:p>
      <w:pPr>
        <w:spacing w:line="360" w:lineRule="auto"/>
        <w:jc w:val="center"/>
        <w:outlineLvl w:val="0"/>
        <w:rPr>
          <w:rFonts w:ascii="黑体" w:hAnsi="Arial" w:eastAsia="黑体"/>
          <w:bCs/>
          <w:sz w:val="44"/>
        </w:rPr>
      </w:pPr>
    </w:p>
    <w:p>
      <w:pPr>
        <w:spacing w:line="480" w:lineRule="auto"/>
        <w:rPr>
          <w:rFonts w:ascii="仿宋_GB2312" w:hAnsi="Arial" w:eastAsia="仿宋_GB2312"/>
          <w:b/>
          <w:sz w:val="28"/>
        </w:rPr>
      </w:pPr>
    </w:p>
    <w:p/>
    <w:p/>
    <w:p/>
    <w:p/>
    <w:p/>
    <w:p/>
    <w:p/>
    <w:p/>
    <w:p/>
    <w:p/>
    <w:p/>
    <w:p/>
    <w:p/>
    <w:p/>
    <w:p/>
    <w:p/>
    <w:bookmarkEnd w:id="1"/>
    <w:bookmarkEnd w:id="2"/>
    <w:bookmarkEnd w:id="3"/>
    <w:bookmarkEnd w:id="4"/>
    <w:bookmarkEnd w:id="5"/>
    <w:bookmarkEnd w:id="6"/>
    <w:p>
      <w:pPr>
        <w:pStyle w:val="3"/>
        <w:pageBreakBefore/>
        <w:widowControl/>
        <w:ind w:left="1830"/>
        <w:jc w:val="left"/>
        <w:rPr>
          <w:rFonts w:ascii="宋体" w:hAnsi="宋体" w:eastAsia="宋体" w:cs="宋体"/>
          <w:b/>
          <w:sz w:val="44"/>
        </w:rPr>
      </w:pPr>
      <w:bookmarkStart w:id="7" w:name="_Toc136003448"/>
      <w:bookmarkStart w:id="8" w:name="_Toc42534802"/>
      <w:r>
        <w:rPr>
          <w:rFonts w:hint="eastAsia" w:ascii="宋体" w:hAnsi="宋体" w:eastAsia="宋体" w:cs="宋体"/>
          <w:b/>
          <w:sz w:val="44"/>
        </w:rPr>
        <w:t>第一章 招标公告</w:t>
      </w:r>
      <w:bookmarkEnd w:id="7"/>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南京医科大学就</w:t>
      </w:r>
      <w:r>
        <w:rPr>
          <w:rFonts w:hint="eastAsia" w:ascii="宋体" w:hAnsi="宋体" w:eastAsia="宋体" w:cs="宋体"/>
          <w:sz w:val="24"/>
          <w:szCs w:val="24"/>
          <w:u w:val="single"/>
        </w:rPr>
        <w:t>南京医科大学学海楼B</w:t>
      </w:r>
      <w:r>
        <w:rPr>
          <w:rFonts w:ascii="宋体" w:hAnsi="宋体" w:eastAsia="宋体" w:cs="宋体"/>
          <w:sz w:val="24"/>
          <w:szCs w:val="24"/>
          <w:u w:val="single"/>
        </w:rPr>
        <w:t>217</w:t>
      </w:r>
      <w:r>
        <w:rPr>
          <w:rFonts w:hint="eastAsia" w:ascii="宋体" w:hAnsi="宋体" w:eastAsia="宋体" w:cs="宋体"/>
          <w:sz w:val="24"/>
          <w:szCs w:val="24"/>
          <w:u w:val="single"/>
        </w:rPr>
        <w:t>会议室L</w:t>
      </w:r>
      <w:r>
        <w:rPr>
          <w:rFonts w:ascii="宋体" w:hAnsi="宋体" w:eastAsia="宋体" w:cs="宋体"/>
          <w:sz w:val="24"/>
          <w:szCs w:val="24"/>
          <w:u w:val="single"/>
        </w:rPr>
        <w:t>ED</w:t>
      </w:r>
      <w:r>
        <w:rPr>
          <w:rFonts w:hint="eastAsia" w:ascii="宋体" w:hAnsi="宋体" w:eastAsia="宋体" w:cs="宋体"/>
          <w:sz w:val="24"/>
          <w:szCs w:val="24"/>
          <w:u w:val="single"/>
        </w:rPr>
        <w:t>显示系统及音响系统</w:t>
      </w:r>
      <w:r>
        <w:rPr>
          <w:rFonts w:hint="eastAsia" w:ascii="宋体" w:hAnsi="宋体" w:eastAsia="宋体" w:cs="宋体"/>
          <w:sz w:val="24"/>
          <w:szCs w:val="24"/>
        </w:rPr>
        <w:t>购置项目公开招标，相应资金已落实，欢迎符合招标公告资质要求的投标供应商前来投标。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一、采购项目名称及编号</w:t>
      </w:r>
    </w:p>
    <w:p>
      <w:pPr>
        <w:spacing w:before="120" w:beforeLines="50" w:after="120" w:afterLines="50" w:line="360" w:lineRule="auto"/>
        <w:ind w:left="2400" w:hanging="2400" w:hangingChars="1000"/>
        <w:rPr>
          <w:rFonts w:ascii="宋体" w:hAnsi="宋体" w:eastAsia="宋体" w:cs="宋体"/>
          <w:sz w:val="24"/>
          <w:szCs w:val="24"/>
        </w:rPr>
      </w:pPr>
      <w:r>
        <w:rPr>
          <w:rFonts w:hint="eastAsia" w:ascii="宋体" w:hAnsi="宋体" w:eastAsia="宋体" w:cs="宋体"/>
          <w:sz w:val="24"/>
          <w:szCs w:val="24"/>
        </w:rPr>
        <w:t>（一）采购项目名称：</w:t>
      </w:r>
      <w:bookmarkStart w:id="9" w:name="_Hlk136713814"/>
      <w:r>
        <w:rPr>
          <w:rFonts w:hint="eastAsia" w:ascii="宋体" w:hAnsi="宋体" w:eastAsia="宋体" w:cs="宋体"/>
          <w:sz w:val="24"/>
          <w:szCs w:val="24"/>
          <w:u w:val="single"/>
        </w:rPr>
        <w:t>南京医科大学学海楼B</w:t>
      </w:r>
      <w:r>
        <w:rPr>
          <w:rFonts w:ascii="宋体" w:hAnsi="宋体" w:eastAsia="宋体" w:cs="宋体"/>
          <w:sz w:val="24"/>
          <w:szCs w:val="24"/>
          <w:u w:val="single"/>
        </w:rPr>
        <w:t>217</w:t>
      </w:r>
      <w:r>
        <w:rPr>
          <w:rFonts w:hint="eastAsia" w:ascii="宋体" w:hAnsi="宋体" w:eastAsia="宋体" w:cs="宋体"/>
          <w:sz w:val="24"/>
          <w:szCs w:val="24"/>
          <w:u w:val="single"/>
        </w:rPr>
        <w:t>会议室L</w:t>
      </w:r>
      <w:r>
        <w:rPr>
          <w:rFonts w:ascii="宋体" w:hAnsi="宋体" w:eastAsia="宋体" w:cs="宋体"/>
          <w:sz w:val="24"/>
          <w:szCs w:val="24"/>
          <w:u w:val="single"/>
        </w:rPr>
        <w:t>ED</w:t>
      </w:r>
      <w:r>
        <w:rPr>
          <w:rFonts w:hint="eastAsia" w:ascii="宋体" w:hAnsi="宋体" w:eastAsia="宋体" w:cs="宋体"/>
          <w:sz w:val="24"/>
          <w:szCs w:val="24"/>
          <w:u w:val="single"/>
        </w:rPr>
        <w:t>显示系统及音响系统购置项目</w:t>
      </w:r>
      <w:bookmarkEnd w:id="9"/>
    </w:p>
    <w:p>
      <w:pPr>
        <w:rPr>
          <w:rFonts w:ascii="宋体" w:hAnsi="宋体" w:eastAsia="宋体" w:cs="宋体"/>
          <w:sz w:val="24"/>
          <w:szCs w:val="24"/>
        </w:rPr>
      </w:pPr>
      <w:r>
        <w:rPr>
          <w:rFonts w:hint="eastAsia" w:ascii="宋体" w:hAnsi="宋体" w:eastAsia="宋体" w:cs="宋体"/>
          <w:sz w:val="24"/>
          <w:szCs w:val="24"/>
        </w:rPr>
        <w:t>（二）采购项目编号：</w:t>
      </w:r>
      <w:r>
        <w:rPr>
          <w:rFonts w:ascii="宋体" w:hAnsi="宋体" w:eastAsia="宋体" w:cs="宋体"/>
          <w:sz w:val="24"/>
          <w:szCs w:val="24"/>
        </w:rPr>
        <w:t xml:space="preserve">NJMUZB2242023008  </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sz w:val="24"/>
          <w:szCs w:val="24"/>
        </w:rPr>
        <w:t>二、采购项目的预算金额</w:t>
      </w:r>
      <w:r>
        <w:rPr>
          <w:rFonts w:hint="eastAsia" w:ascii="宋体" w:hAnsi="宋体" w:eastAsia="宋体" w:cs="宋体"/>
          <w:sz w:val="24"/>
          <w:szCs w:val="24"/>
        </w:rPr>
        <w:t>:  ￥</w:t>
      </w:r>
      <w:r>
        <w:rPr>
          <w:rFonts w:ascii="宋体" w:hAnsi="宋体" w:eastAsia="宋体" w:cs="宋体"/>
          <w:sz w:val="24"/>
          <w:szCs w:val="24"/>
        </w:rPr>
        <w:t>19.5</w:t>
      </w:r>
      <w:r>
        <w:rPr>
          <w:rFonts w:hint="eastAsia" w:ascii="宋体" w:hAnsi="宋体" w:eastAsia="宋体" w:cs="宋体"/>
          <w:sz w:val="24"/>
          <w:szCs w:val="24"/>
        </w:rPr>
        <w:t>万元</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三、采购项目需求</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sz w:val="24"/>
          <w:szCs w:val="24"/>
        </w:rPr>
        <w:t>项目具体要求详见第三章：项目需求；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（二）该项目一律采用人民币报价(包干价)，其他币种报价不予接受，后果由投标人承担。</w:t>
      </w:r>
    </w:p>
    <w:p>
      <w:pPr>
        <w:spacing w:after="0" w:line="360" w:lineRule="auto"/>
        <w:ind w:firstLine="480" w:firstLineChars="200"/>
        <w:rPr>
          <w:rFonts w:ascii="宋体" w:hAnsi="宋体" w:eastAsia="宋体" w:cs="宋体"/>
          <w:sz w:val="24"/>
          <w:szCs w:val="24"/>
        </w:rPr>
      </w:pPr>
      <w:r>
        <w:rPr>
          <w:rFonts w:hint="eastAsia" w:ascii="宋体" w:hAnsi="宋体" w:eastAsia="宋体" w:cs="宋体"/>
          <w:bCs/>
          <w:sz w:val="24"/>
          <w:szCs w:val="24"/>
        </w:rPr>
        <w:t>（三）如为进口设备，需提供免税报价。</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rPr>
        <w:t xml:space="preserve"> </w:t>
      </w:r>
      <w:r>
        <w:rPr>
          <w:rFonts w:ascii="宋体" w:hAnsi="宋体" w:eastAsia="宋体" w:cs="宋体"/>
          <w:sz w:val="24"/>
        </w:rPr>
        <w:t>2</w:t>
      </w:r>
      <w:r>
        <w:rPr>
          <w:rFonts w:hint="eastAsia" w:ascii="宋体" w:hAnsi="宋体" w:eastAsia="宋体" w:cs="宋体"/>
          <w:sz w:val="24"/>
        </w:rPr>
        <w:t>021或2022年度审计报告，或2023年1月以来任意一个月</w:t>
      </w:r>
      <w:bookmarkStart w:id="10" w:name="_Hlk109904785"/>
      <w:r>
        <w:rPr>
          <w:rFonts w:hint="eastAsia" w:ascii="宋体" w:hAnsi="宋体" w:eastAsia="宋体" w:cs="宋体"/>
          <w:sz w:val="24"/>
        </w:rPr>
        <w:t>的</w:t>
      </w:r>
      <w:bookmarkStart w:id="11" w:name="_Hlk109904404"/>
      <w:r>
        <w:rPr>
          <w:rFonts w:hint="eastAsia" w:ascii="宋体" w:hAnsi="宋体" w:eastAsia="宋体" w:cs="宋体"/>
          <w:sz w:val="24"/>
        </w:rPr>
        <w:t>财务报表</w:t>
      </w:r>
      <w:bookmarkEnd w:id="10"/>
      <w:bookmarkEnd w:id="11"/>
      <w:r>
        <w:rPr>
          <w:rFonts w:hint="eastAsia" w:ascii="宋体" w:hAnsi="宋体" w:eastAsia="宋体" w:cs="宋体"/>
          <w:sz w:val="24"/>
        </w:rPr>
        <w:t>，或银行出具的资信证明，或财政部门认可的专业担保机构出具的投标担保函（成立不满一年不需提供）；</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w:t>
      </w:r>
      <w:r>
        <w:rPr>
          <w:rFonts w:ascii="宋体" w:hAnsi="宋体" w:eastAsia="宋体" w:cs="宋体"/>
          <w:sz w:val="24"/>
          <w:szCs w:val="24"/>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日9 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（三）投标文件接收要求：投标文件一式五份，其中正本一份、副本四份，在标书封面标注“正本”、“副本”字样，投标文件密封并在封口处加盖公章。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宋体" w:hAnsi="宋体" w:eastAsia="宋体"/>
          <w:sz w:val="24"/>
          <w:szCs w:val="24"/>
        </w:rPr>
      </w:pPr>
      <w:r>
        <w:rPr>
          <w:rFonts w:hint="eastAsia" w:ascii="宋体" w:hAnsi="宋体" w:eastAsia="宋体"/>
          <w:sz w:val="24"/>
          <w:szCs w:val="24"/>
        </w:rPr>
        <w:t>采购人联系人： 汪老师                  电话：</w:t>
      </w:r>
      <w:r>
        <w:rPr>
          <w:rFonts w:ascii="宋体" w:hAnsi="宋体" w:eastAsia="宋体"/>
          <w:sz w:val="24"/>
          <w:szCs w:val="24"/>
        </w:rPr>
        <w:t>025-86868602</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项目需求方联系人： 胡老师                   电话：</w:t>
      </w:r>
      <w:r>
        <w:rPr>
          <w:rFonts w:ascii="宋体" w:hAnsi="宋体" w:eastAsia="宋体"/>
          <w:sz w:val="24"/>
          <w:szCs w:val="24"/>
        </w:rPr>
        <w:t>025-86869379</w:t>
      </w:r>
    </w:p>
    <w:p>
      <w:pPr>
        <w:spacing w:before="120" w:beforeLines="50" w:after="120" w:afterLines="50" w:line="360" w:lineRule="auto"/>
        <w:ind w:firstLine="480" w:firstLineChars="200"/>
        <w:rPr>
          <w:rFonts w:ascii="宋体" w:hAnsi="宋体" w:eastAsia="宋体"/>
          <w:sz w:val="24"/>
          <w:szCs w:val="24"/>
        </w:rPr>
      </w:pPr>
      <w:r>
        <w:rPr>
          <w:rFonts w:hint="eastAsia" w:ascii="宋体" w:hAnsi="宋体" w:eastAsia="宋体"/>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0" b="8890"/>
            <wp:wrapNone/>
            <wp:docPr id="9172319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1945"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 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1730375</wp:posOffset>
            </wp:positionH>
            <wp:positionV relativeFrom="paragraph">
              <wp:posOffset>-80010</wp:posOffset>
            </wp:positionV>
            <wp:extent cx="1162685" cy="2035175"/>
            <wp:effectExtent l="0" t="0" r="0" b="3175"/>
            <wp:wrapNone/>
            <wp:docPr id="205191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354"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3"/>
        <w:ind w:left="1540" w:right="1540" w:firstLine="480"/>
        <w:rPr>
          <w:rFonts w:ascii="宋体" w:hAnsi="宋体" w:cs="宋体"/>
          <w:sz w:val="24"/>
          <w:szCs w:val="24"/>
        </w:rPr>
      </w:pPr>
    </w:p>
    <w:p>
      <w:pPr>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宋体" w:hAnsi="宋体" w:eastAsia="宋体"/>
          <w:b/>
          <w:sz w:val="24"/>
          <w:szCs w:val="24"/>
        </w:rPr>
      </w:pPr>
      <w:r>
        <w:rPr>
          <w:rFonts w:hint="eastAsia" w:ascii="宋体" w:hAnsi="宋体" w:eastAsia="宋体"/>
          <w:b/>
          <w:sz w:val="24"/>
          <w:szCs w:val="24"/>
        </w:rPr>
        <w:t>七、投标保证金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宋体" w:hAnsi="宋体" w:eastAsia="宋体"/>
          <w:b/>
          <w:sz w:val="24"/>
          <w:szCs w:val="24"/>
        </w:rPr>
      </w:pPr>
      <w:r>
        <w:rPr>
          <w:rFonts w:hint="eastAsia" w:ascii="宋体" w:hAnsi="宋体" w:eastAsia="宋体"/>
          <w:b/>
          <w:sz w:val="24"/>
          <w:szCs w:val="24"/>
        </w:rPr>
        <w:t>八、投标无效的情形</w:t>
      </w:r>
    </w:p>
    <w:p>
      <w:pPr>
        <w:spacing w:before="120" w:beforeLines="50" w:after="120" w:afterLines="50" w:line="360" w:lineRule="auto"/>
        <w:ind w:firstLine="480" w:firstLineChars="200"/>
        <w:rPr>
          <w:rFonts w:ascii="宋体" w:hAnsi="宋体" w:eastAsia="宋体"/>
          <w:sz w:val="24"/>
          <w:szCs w:val="24"/>
        </w:rPr>
      </w:pPr>
      <w:r>
        <w:rPr>
          <w:rFonts w:hint="eastAsia" w:ascii="宋体" w:hAnsi="宋体" w:eastAsia="宋体"/>
          <w:sz w:val="24"/>
          <w:szCs w:val="24"/>
        </w:rPr>
        <w:t>（一）投标文件未加盖公章、法人或者授权代表未签字；</w:t>
      </w:r>
    </w:p>
    <w:p>
      <w:pPr>
        <w:spacing w:before="120" w:beforeLines="50" w:after="120" w:afterLines="50" w:line="360" w:lineRule="auto"/>
        <w:ind w:firstLine="480" w:firstLineChars="200"/>
        <w:rPr>
          <w:rFonts w:ascii="宋体" w:hAnsi="宋体" w:eastAsia="宋体"/>
          <w:sz w:val="24"/>
          <w:szCs w:val="24"/>
        </w:rPr>
      </w:pPr>
      <w:r>
        <w:rPr>
          <w:rFonts w:hint="eastAsia" w:ascii="宋体" w:hAnsi="宋体" w:eastAsia="宋体"/>
          <w:sz w:val="24"/>
          <w:szCs w:val="24"/>
        </w:rPr>
        <w:t>（二）未按照招标文件规定的格式投标；</w:t>
      </w:r>
    </w:p>
    <w:p>
      <w:pPr>
        <w:spacing w:before="120" w:beforeLines="50" w:after="120" w:afterLines="50" w:line="360" w:lineRule="auto"/>
        <w:ind w:firstLine="480" w:firstLineChars="200"/>
        <w:rPr>
          <w:rFonts w:ascii="宋体" w:hAnsi="宋体" w:eastAsia="宋体"/>
          <w:sz w:val="24"/>
          <w:szCs w:val="24"/>
        </w:rPr>
      </w:pPr>
      <w:r>
        <w:rPr>
          <w:rFonts w:hint="eastAsia" w:ascii="宋体" w:hAnsi="宋体" w:eastAsia="宋体"/>
          <w:sz w:val="24"/>
          <w:szCs w:val="24"/>
        </w:rPr>
        <w:t>（三）投标报价超过项目预算；</w:t>
      </w:r>
    </w:p>
    <w:p>
      <w:pPr>
        <w:spacing w:before="120" w:beforeLines="50" w:after="120" w:afterLines="50"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四</w:t>
      </w:r>
      <w:r>
        <w:rPr>
          <w:rFonts w:ascii="宋体" w:hAnsi="宋体" w:eastAsia="宋体"/>
          <w:sz w:val="24"/>
          <w:szCs w:val="24"/>
        </w:rPr>
        <w:t>）投标文件没有对招标文件的实质性要求和条件作出响应；</w:t>
      </w:r>
    </w:p>
    <w:p>
      <w:pPr>
        <w:spacing w:before="120" w:beforeLines="50" w:after="120" w:afterLines="50"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五</w:t>
      </w:r>
      <w:r>
        <w:rPr>
          <w:rFonts w:ascii="宋体" w:hAnsi="宋体" w:eastAsia="宋体"/>
          <w:sz w:val="24"/>
          <w:szCs w:val="24"/>
        </w:rPr>
        <w:t>）投标人有串通投标、弄虚作假、行贿等违法行为。</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sz w:val="24"/>
          <w:szCs w:val="24"/>
        </w:rPr>
        <w:t>九、公告发布期限：</w:t>
      </w:r>
      <w:r>
        <w:rPr>
          <w:rFonts w:hint="eastAsia" w:ascii="宋体" w:hAnsi="宋体" w:eastAsia="宋体" w:cs="宋体"/>
          <w:sz w:val="24"/>
          <w:szCs w:val="24"/>
        </w:rPr>
        <w:t>为采购公告发布之日起五个工作日。</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十、其他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（一）现场勘查和标前会议不需要。</w:t>
      </w:r>
    </w:p>
    <w:p>
      <w:pPr>
        <w:pStyle w:val="3"/>
        <w:pageBreakBefore/>
        <w:widowControl/>
        <w:rPr>
          <w:rFonts w:ascii="宋体" w:hAnsi="宋体" w:eastAsia="宋体" w:cs="宋体"/>
          <w:b/>
          <w:sz w:val="44"/>
        </w:rPr>
      </w:pPr>
      <w:bookmarkStart w:id="12" w:name="_Toc136003449"/>
      <w:r>
        <w:rPr>
          <w:rFonts w:hint="eastAsia" w:ascii="宋体" w:hAnsi="宋体" w:eastAsia="宋体" w:cs="宋体"/>
          <w:b/>
          <w:sz w:val="44"/>
        </w:rPr>
        <w:t>第二章</w:t>
      </w:r>
      <w:bookmarkStart w:id="13" w:name="_Toc16938518"/>
      <w:bookmarkStart w:id="14" w:name="_Toc120614213"/>
      <w:bookmarkStart w:id="15" w:name="_Toc20823274"/>
      <w:bookmarkStart w:id="16" w:name="_Toc513029202"/>
      <w:r>
        <w:rPr>
          <w:rFonts w:hint="eastAsia" w:ascii="宋体" w:hAnsi="宋体" w:eastAsia="宋体" w:cs="宋体"/>
          <w:b/>
          <w:sz w:val="44"/>
        </w:rPr>
        <w:t>投标人须知</w:t>
      </w:r>
      <w:bookmarkEnd w:id="12"/>
      <w:bookmarkEnd w:id="13"/>
      <w:bookmarkEnd w:id="14"/>
      <w:bookmarkEnd w:id="15"/>
      <w:bookmarkEnd w:id="16"/>
    </w:p>
    <w:p>
      <w:pPr>
        <w:pStyle w:val="29"/>
        <w:widowControl/>
        <w:rPr>
          <w:rFonts w:ascii="宋体" w:hAnsi="宋体" w:cs="宋体"/>
          <w:b/>
        </w:rPr>
      </w:pPr>
      <w:bookmarkStart w:id="17" w:name="_Toc513029203"/>
      <w:bookmarkStart w:id="18" w:name="_Toc120614214"/>
      <w:bookmarkStart w:id="19" w:name="_Toc16938519"/>
      <w:bookmarkStart w:id="20" w:name="_Toc20823275"/>
      <w:r>
        <w:rPr>
          <w:rFonts w:hint="eastAsia" w:ascii="宋体" w:hAnsi="宋体" w:cs="宋体"/>
          <w:b/>
        </w:rPr>
        <w:t>一、总则</w:t>
      </w:r>
      <w:bookmarkEnd w:id="17"/>
      <w:bookmarkEnd w:id="18"/>
      <w:bookmarkEnd w:id="19"/>
      <w:bookmarkEnd w:id="20"/>
    </w:p>
    <w:p>
      <w:pPr>
        <w:pStyle w:val="29"/>
        <w:widowControl/>
        <w:rPr>
          <w:rFonts w:ascii="宋体" w:hAnsi="宋体" w:cs="宋体"/>
          <w:b/>
        </w:rPr>
      </w:pPr>
      <w:bookmarkStart w:id="21" w:name="_Hlt16619475"/>
      <w:bookmarkEnd w:id="21"/>
      <w:bookmarkStart w:id="22" w:name="_Toc458694821"/>
      <w:bookmarkStart w:id="23" w:name="_Toc16938520"/>
      <w:bookmarkStart w:id="24" w:name="_Toc20823276"/>
      <w:bookmarkStart w:id="25" w:name="_Toc513029204"/>
      <w:r>
        <w:rPr>
          <w:rFonts w:hint="eastAsia" w:ascii="宋体" w:hAnsi="宋体" w:cs="宋体"/>
          <w:b/>
        </w:rPr>
        <w:t>1</w:t>
      </w:r>
      <w:bookmarkEnd w:id="22"/>
      <w:r>
        <w:rPr>
          <w:rFonts w:hint="eastAsia" w:ascii="宋体" w:hAnsi="宋体" w:cs="宋体"/>
          <w:b/>
        </w:rPr>
        <w:t>、招标方式</w:t>
      </w:r>
      <w:bookmarkEnd w:id="23"/>
      <w:bookmarkEnd w:id="24"/>
      <w:bookmarkEnd w:id="25"/>
    </w:p>
    <w:p>
      <w:pPr>
        <w:pStyle w:val="29"/>
        <w:widowControl/>
        <w:rPr>
          <w:rFonts w:ascii="宋体" w:hAnsi="宋体" w:cs="宋体"/>
        </w:rPr>
      </w:pPr>
      <w:r>
        <w:rPr>
          <w:rFonts w:hint="eastAsia" w:ascii="宋体" w:hAnsi="宋体" w:cs="宋体"/>
        </w:rPr>
        <w:t>1.1 本次招标采取公开招标方式，本招标文件仅适用于招标公告中所述项目。</w:t>
      </w:r>
    </w:p>
    <w:p>
      <w:pPr>
        <w:pStyle w:val="29"/>
        <w:widowControl/>
        <w:rPr>
          <w:rFonts w:ascii="宋体" w:hAnsi="宋体" w:cs="宋体"/>
          <w:b/>
        </w:rPr>
      </w:pPr>
      <w:bookmarkStart w:id="26" w:name="_Toc20823277"/>
      <w:bookmarkStart w:id="27" w:name="_Toc513029205"/>
      <w:bookmarkStart w:id="28" w:name="_Toc16938521"/>
      <w:r>
        <w:rPr>
          <w:rFonts w:hint="eastAsia" w:ascii="宋体" w:hAnsi="宋体" w:cs="宋体"/>
          <w:b/>
        </w:rPr>
        <w:t>2、合格的投标人</w:t>
      </w:r>
      <w:bookmarkEnd w:id="26"/>
      <w:bookmarkEnd w:id="27"/>
      <w:bookmarkEnd w:id="28"/>
    </w:p>
    <w:p>
      <w:pPr>
        <w:pStyle w:val="29"/>
        <w:widowControl/>
        <w:rPr>
          <w:rFonts w:ascii="宋体" w:hAnsi="宋体" w:cs="宋体"/>
        </w:rPr>
      </w:pPr>
      <w:r>
        <w:rPr>
          <w:rFonts w:hint="eastAsia" w:ascii="宋体" w:hAnsi="宋体" w:cs="宋体"/>
        </w:rPr>
        <w:t>2.1满足招标公告中投标供应商资格要求的规定。</w:t>
      </w:r>
    </w:p>
    <w:p>
      <w:pPr>
        <w:pStyle w:val="29"/>
        <w:widowControl/>
        <w:rPr>
          <w:rFonts w:ascii="宋体" w:hAnsi="宋体" w:cs="宋体"/>
        </w:rPr>
      </w:pPr>
      <w:r>
        <w:rPr>
          <w:rFonts w:hint="eastAsia" w:ascii="宋体" w:hAnsi="宋体" w:cs="宋体"/>
        </w:rPr>
        <w:t>2.2 满足本文件实质性条款的规定。</w:t>
      </w:r>
    </w:p>
    <w:p>
      <w:pPr>
        <w:pStyle w:val="29"/>
        <w:widowControl/>
        <w:rPr>
          <w:rFonts w:ascii="宋体" w:hAnsi="宋体" w:cs="宋体"/>
          <w:b/>
        </w:rPr>
      </w:pPr>
      <w:bookmarkStart w:id="29" w:name="_Toc16938522"/>
      <w:bookmarkStart w:id="30" w:name="_Toc20823278"/>
      <w:bookmarkStart w:id="31" w:name="_Toc513029206"/>
      <w:r>
        <w:rPr>
          <w:rFonts w:hint="eastAsia" w:ascii="宋体" w:hAnsi="宋体" w:cs="宋体"/>
          <w:b/>
        </w:rPr>
        <w:t>3、适用法律</w:t>
      </w:r>
      <w:bookmarkEnd w:id="29"/>
      <w:bookmarkEnd w:id="30"/>
      <w:bookmarkEnd w:id="31"/>
    </w:p>
    <w:p>
      <w:pPr>
        <w:pStyle w:val="29"/>
        <w:widowControl/>
        <w:rPr>
          <w:rFonts w:ascii="宋体" w:hAnsi="宋体" w:cs="宋体"/>
        </w:rPr>
      </w:pPr>
      <w:r>
        <w:rPr>
          <w:rFonts w:hint="eastAsia" w:ascii="宋体" w:hAnsi="宋体" w:cs="宋体"/>
        </w:rPr>
        <w:t>本次招标及由此产生的合同受中华人民共和国有关的法律法规制约和保护。</w:t>
      </w:r>
    </w:p>
    <w:p>
      <w:pPr>
        <w:pStyle w:val="29"/>
        <w:widowControl/>
        <w:rPr>
          <w:rFonts w:ascii="宋体" w:hAnsi="宋体" w:cs="宋体"/>
          <w:b/>
        </w:rPr>
      </w:pPr>
      <w:bookmarkStart w:id="32" w:name="_Toc16938523"/>
      <w:bookmarkStart w:id="33" w:name="_Toc20823279"/>
      <w:bookmarkStart w:id="34" w:name="_Toc462564067"/>
      <w:bookmarkStart w:id="35" w:name="_Toc513029207"/>
      <w:r>
        <w:rPr>
          <w:rFonts w:hint="eastAsia" w:ascii="宋体" w:hAnsi="宋体" w:cs="宋体"/>
          <w:b/>
        </w:rPr>
        <w:t>4、投标费用</w:t>
      </w:r>
      <w:bookmarkEnd w:id="32"/>
      <w:bookmarkEnd w:id="33"/>
      <w:bookmarkEnd w:id="34"/>
      <w:bookmarkEnd w:id="35"/>
    </w:p>
    <w:p>
      <w:pPr>
        <w:pStyle w:val="29"/>
        <w:widowControl/>
        <w:rPr>
          <w:rFonts w:ascii="宋体" w:hAnsi="宋体" w:cs="宋体"/>
        </w:rPr>
      </w:pPr>
      <w:r>
        <w:rPr>
          <w:rFonts w:hint="eastAsia" w:ascii="宋体" w:hAnsi="宋体" w:cs="宋体"/>
        </w:rPr>
        <w:t>投标人应自行承担所有与参加投标有关的费用。</w:t>
      </w:r>
    </w:p>
    <w:p>
      <w:pPr>
        <w:pStyle w:val="29"/>
        <w:widowControl/>
        <w:rPr>
          <w:rFonts w:ascii="宋体" w:hAnsi="宋体" w:cs="宋体"/>
          <w:b/>
        </w:rPr>
      </w:pPr>
      <w:r>
        <w:rPr>
          <w:rFonts w:hint="eastAsia" w:ascii="宋体" w:hAnsi="宋体" w:cs="宋体"/>
          <w:b/>
        </w:rPr>
        <w:t>5、</w:t>
      </w:r>
      <w:r>
        <w:rPr>
          <w:rFonts w:hint="eastAsia" w:ascii="宋体" w:hAnsi="宋体" w:cs="宋体"/>
          <w:b/>
          <w:bCs/>
        </w:rPr>
        <w:t>招标文件的约束力</w:t>
      </w:r>
    </w:p>
    <w:p>
      <w:pPr>
        <w:pStyle w:val="29"/>
        <w:widowControl/>
        <w:rPr>
          <w:rFonts w:ascii="宋体" w:hAnsi="宋体" w:cs="宋体"/>
        </w:rPr>
      </w:pPr>
      <w:r>
        <w:rPr>
          <w:rFonts w:hint="eastAsia" w:ascii="宋体" w:hAnsi="宋体" w:cs="宋体"/>
        </w:rPr>
        <w:t>投标人一旦参加本项目采购活动，即被认为接受了本招标文件的规定和约束。</w:t>
      </w:r>
    </w:p>
    <w:p>
      <w:pPr>
        <w:pStyle w:val="29"/>
        <w:widowControl/>
        <w:rPr>
          <w:rFonts w:ascii="宋体" w:hAnsi="宋体" w:cs="宋体"/>
          <w:b/>
        </w:rPr>
      </w:pPr>
      <w:bookmarkStart w:id="36" w:name="_Toc120614215"/>
      <w:bookmarkStart w:id="37" w:name="_Toc513029209"/>
      <w:bookmarkStart w:id="38" w:name="_Toc16938525"/>
      <w:bookmarkStart w:id="39" w:name="_Toc517190883"/>
      <w:bookmarkStart w:id="40" w:name="_Toc20823281"/>
      <w:r>
        <w:rPr>
          <w:rFonts w:hint="eastAsia" w:ascii="宋体" w:hAnsi="宋体" w:cs="宋体"/>
          <w:b/>
        </w:rPr>
        <w:t>二、招标文件</w:t>
      </w:r>
      <w:bookmarkEnd w:id="36"/>
      <w:bookmarkEnd w:id="37"/>
      <w:bookmarkEnd w:id="38"/>
      <w:bookmarkEnd w:id="39"/>
      <w:bookmarkEnd w:id="40"/>
    </w:p>
    <w:p>
      <w:pPr>
        <w:pStyle w:val="29"/>
        <w:widowControl/>
        <w:rPr>
          <w:rFonts w:ascii="宋体" w:hAnsi="宋体" w:cs="宋体"/>
          <w:b/>
        </w:rPr>
      </w:pPr>
      <w:bookmarkStart w:id="41" w:name="_Toc20823282"/>
      <w:bookmarkStart w:id="42" w:name="_Toc513029210"/>
      <w:bookmarkStart w:id="43" w:name="_Toc16938526"/>
      <w:r>
        <w:rPr>
          <w:rFonts w:hint="eastAsia" w:ascii="宋体" w:hAnsi="宋体" w:cs="宋体"/>
          <w:b/>
        </w:rPr>
        <w:t>6、招标文件构成</w:t>
      </w:r>
      <w:bookmarkEnd w:id="41"/>
      <w:bookmarkEnd w:id="42"/>
      <w:bookmarkEnd w:id="43"/>
    </w:p>
    <w:p>
      <w:pPr>
        <w:pStyle w:val="29"/>
        <w:widowControl/>
        <w:rPr>
          <w:rFonts w:ascii="宋体" w:hAnsi="宋体" w:cs="宋体"/>
        </w:rPr>
      </w:pPr>
      <w:r>
        <w:rPr>
          <w:rFonts w:hint="eastAsia" w:ascii="宋体" w:hAnsi="宋体" w:cs="宋体"/>
          <w:bCs/>
        </w:rPr>
        <w:t>6.1</w:t>
      </w:r>
      <w:r>
        <w:rPr>
          <w:rFonts w:hint="eastAsia" w:ascii="宋体" w:hAnsi="宋体" w:cs="宋体"/>
        </w:rPr>
        <w:t>招标文件由以下部分组成：</w:t>
      </w:r>
    </w:p>
    <w:p>
      <w:pPr>
        <w:pStyle w:val="29"/>
        <w:widowControl/>
        <w:rPr>
          <w:rFonts w:ascii="宋体" w:hAnsi="宋体" w:cs="宋体"/>
        </w:rPr>
      </w:pPr>
      <w:r>
        <w:rPr>
          <w:rFonts w:hint="eastAsia" w:ascii="宋体" w:hAnsi="宋体" w:cs="宋体"/>
        </w:rPr>
        <w:t>（1）招标公告</w:t>
      </w:r>
    </w:p>
    <w:p>
      <w:pPr>
        <w:pStyle w:val="29"/>
        <w:widowControl/>
        <w:rPr>
          <w:rFonts w:ascii="宋体" w:hAnsi="宋体" w:cs="宋体"/>
        </w:rPr>
      </w:pPr>
      <w:r>
        <w:rPr>
          <w:rFonts w:hint="eastAsia" w:ascii="宋体" w:hAnsi="宋体" w:cs="宋体"/>
        </w:rPr>
        <w:t>（2）投标人须知</w:t>
      </w:r>
    </w:p>
    <w:p>
      <w:pPr>
        <w:pStyle w:val="29"/>
        <w:widowControl/>
        <w:rPr>
          <w:rFonts w:ascii="宋体" w:hAnsi="宋体" w:cs="宋体"/>
        </w:rPr>
      </w:pPr>
      <w:r>
        <w:rPr>
          <w:rFonts w:hint="eastAsia" w:ascii="宋体" w:hAnsi="宋体" w:cs="宋体"/>
        </w:rPr>
        <w:t>（3）项目需求</w:t>
      </w:r>
    </w:p>
    <w:p>
      <w:pPr>
        <w:pStyle w:val="29"/>
        <w:widowControl/>
        <w:rPr>
          <w:rFonts w:ascii="宋体" w:hAnsi="宋体" w:cs="宋体"/>
        </w:rPr>
      </w:pPr>
      <w:r>
        <w:rPr>
          <w:rFonts w:hint="eastAsia" w:ascii="宋体" w:hAnsi="宋体" w:cs="宋体"/>
        </w:rPr>
        <w:t>（4）评标方法与评标标准</w:t>
      </w:r>
    </w:p>
    <w:p>
      <w:pPr>
        <w:pStyle w:val="29"/>
        <w:widowControl/>
        <w:rPr>
          <w:rFonts w:ascii="宋体" w:hAnsi="宋体" w:cs="宋体"/>
        </w:rPr>
      </w:pPr>
      <w:r>
        <w:rPr>
          <w:rFonts w:hint="eastAsia" w:ascii="宋体" w:hAnsi="宋体" w:cs="宋体"/>
        </w:rPr>
        <w:t>（5）投标文件格式</w:t>
      </w:r>
    </w:p>
    <w:p>
      <w:pPr>
        <w:pStyle w:val="29"/>
        <w:widowControl/>
        <w:rPr>
          <w:rFonts w:ascii="宋体" w:hAnsi="宋体" w:cs="宋体"/>
        </w:rPr>
      </w:pPr>
      <w:r>
        <w:rPr>
          <w:rFonts w:hint="eastAsia" w:ascii="宋体" w:hAnsi="宋体" w:cs="宋体"/>
        </w:rPr>
        <w:t>请仔细检查招标文件是否齐全，如有缺漏请立即与采购人联系解决。</w:t>
      </w:r>
    </w:p>
    <w:p>
      <w:pPr>
        <w:pStyle w:val="29"/>
        <w:widowControl/>
        <w:rPr>
          <w:rFonts w:ascii="宋体" w:hAnsi="宋体" w:cs="宋体"/>
        </w:rPr>
      </w:pPr>
      <w:r>
        <w:rPr>
          <w:rFonts w:hint="eastAsia" w:ascii="宋体" w:hAnsi="宋体" w:cs="宋体"/>
          <w:bCs/>
        </w:rPr>
        <w:t>6.2</w:t>
      </w:r>
      <w:r>
        <w:rPr>
          <w:rFonts w:hint="eastAsia" w:ascii="宋体" w:hAnsi="宋体" w:cs="宋体"/>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9"/>
        <w:widowControl/>
        <w:rPr>
          <w:rFonts w:ascii="宋体" w:hAnsi="宋体" w:cs="宋体"/>
          <w:b/>
        </w:rPr>
      </w:pPr>
      <w:bookmarkStart w:id="44" w:name="_Toc513029211"/>
      <w:bookmarkStart w:id="45" w:name="_Toc16938527"/>
      <w:bookmarkStart w:id="46" w:name="_Toc462564070"/>
      <w:bookmarkStart w:id="47" w:name="_Toc20823283"/>
      <w:r>
        <w:rPr>
          <w:rFonts w:hint="eastAsia" w:ascii="宋体" w:hAnsi="宋体" w:cs="宋体"/>
          <w:b/>
        </w:rPr>
        <w:t>7、招标文件的澄清</w:t>
      </w:r>
      <w:bookmarkEnd w:id="44"/>
      <w:bookmarkEnd w:id="45"/>
      <w:bookmarkEnd w:id="46"/>
      <w:bookmarkEnd w:id="47"/>
    </w:p>
    <w:p>
      <w:pPr>
        <w:pStyle w:val="29"/>
        <w:widowControl/>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9"/>
        <w:widowControl/>
        <w:rPr>
          <w:rFonts w:ascii="宋体" w:hAnsi="宋体" w:cs="宋体"/>
          <w:b/>
        </w:rPr>
      </w:pPr>
      <w:bookmarkStart w:id="48" w:name="_Toc513029212"/>
      <w:bookmarkStart w:id="49" w:name="_Toc16938528"/>
      <w:bookmarkStart w:id="50" w:name="_Toc20823284"/>
      <w:bookmarkStart w:id="51" w:name="_Toc462564071"/>
      <w:r>
        <w:rPr>
          <w:rFonts w:hint="eastAsia" w:ascii="宋体" w:hAnsi="宋体" w:cs="宋体"/>
          <w:b/>
        </w:rPr>
        <w:t>8、招标文件的修改</w:t>
      </w:r>
      <w:bookmarkEnd w:id="48"/>
      <w:bookmarkEnd w:id="49"/>
      <w:bookmarkEnd w:id="50"/>
      <w:bookmarkEnd w:id="51"/>
    </w:p>
    <w:p>
      <w:pPr>
        <w:pStyle w:val="29"/>
        <w:widowControl/>
        <w:rPr>
          <w:rFonts w:ascii="宋体" w:hAnsi="宋体" w:cs="宋体"/>
        </w:rPr>
      </w:pPr>
      <w:r>
        <w:rPr>
          <w:rFonts w:hint="eastAsia" w:ascii="宋体" w:hAnsi="宋体" w:cs="宋体"/>
          <w:bCs/>
        </w:rPr>
        <w:t>8.1</w:t>
      </w:r>
      <w:r>
        <w:rPr>
          <w:rFonts w:hint="eastAsia" w:ascii="宋体" w:hAnsi="宋体" w:cs="宋体"/>
        </w:rPr>
        <w:t>在投标截止时间前，采购人可以对招标文件进行修改。</w:t>
      </w:r>
    </w:p>
    <w:p>
      <w:pPr>
        <w:pStyle w:val="29"/>
        <w:widowControl/>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9"/>
        <w:widowControl/>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9"/>
        <w:widowControl/>
        <w:rPr>
          <w:rFonts w:ascii="宋体" w:hAnsi="宋体" w:cs="宋体"/>
          <w:b/>
        </w:rPr>
      </w:pPr>
      <w:bookmarkStart w:id="52" w:name="_Toc517190884"/>
      <w:bookmarkStart w:id="53" w:name="_Toc462564072"/>
      <w:bookmarkStart w:id="54" w:name="_Toc16938529"/>
      <w:bookmarkStart w:id="55" w:name="_Toc120614216"/>
      <w:bookmarkStart w:id="56" w:name="_Toc513029213"/>
      <w:bookmarkStart w:id="57" w:name="_Toc20823285"/>
      <w:r>
        <w:rPr>
          <w:rFonts w:hint="eastAsia" w:ascii="宋体" w:hAnsi="宋体" w:cs="宋体"/>
          <w:b/>
        </w:rPr>
        <w:t>三、投标文件的编制</w:t>
      </w:r>
      <w:bookmarkEnd w:id="52"/>
      <w:bookmarkEnd w:id="53"/>
      <w:bookmarkEnd w:id="54"/>
      <w:bookmarkEnd w:id="55"/>
      <w:bookmarkEnd w:id="56"/>
      <w:bookmarkEnd w:id="57"/>
    </w:p>
    <w:p>
      <w:pPr>
        <w:pStyle w:val="29"/>
        <w:widowControl/>
        <w:rPr>
          <w:rFonts w:ascii="宋体" w:hAnsi="宋体" w:cs="宋体"/>
          <w:bCs/>
        </w:rPr>
      </w:pPr>
      <w:bookmarkStart w:id="58" w:name="_Toc462564073"/>
      <w:bookmarkStart w:id="59" w:name="_Toc20823286"/>
      <w:bookmarkStart w:id="60" w:name="_Toc16938530"/>
      <w:bookmarkStart w:id="61" w:name="_Toc513029214"/>
      <w:r>
        <w:rPr>
          <w:rFonts w:hint="eastAsia" w:ascii="宋体" w:hAnsi="宋体" w:cs="宋体"/>
          <w:b/>
        </w:rPr>
        <w:t>9、投标文件的语言及度量衡单位</w:t>
      </w:r>
      <w:bookmarkEnd w:id="58"/>
      <w:bookmarkEnd w:id="59"/>
      <w:bookmarkEnd w:id="60"/>
      <w:bookmarkEnd w:id="61"/>
    </w:p>
    <w:p>
      <w:pPr>
        <w:pStyle w:val="29"/>
        <w:widowControl/>
        <w:rPr>
          <w:rFonts w:ascii="宋体" w:hAnsi="宋体" w:cs="宋体"/>
        </w:rPr>
      </w:pPr>
      <w:r>
        <w:rPr>
          <w:rFonts w:hint="eastAsia" w:ascii="宋体" w:hAnsi="宋体" w:cs="宋体"/>
          <w:bCs/>
        </w:rPr>
        <w:t>9.1</w:t>
      </w:r>
      <w:r>
        <w:rPr>
          <w:rFonts w:hint="eastAsia" w:ascii="宋体" w:hAnsi="宋体" w:cs="宋体"/>
        </w:rPr>
        <w:t>投标人提交的投标文件以及投标人与采购人就有关投标的所有来往通知、函件和文件均应使用</w:t>
      </w:r>
      <w:r>
        <w:rPr>
          <w:rFonts w:hint="eastAsia" w:ascii="宋体" w:hAnsi="宋体" w:cs="宋体"/>
          <w:b/>
        </w:rPr>
        <w:t>简体中文</w:t>
      </w:r>
      <w:r>
        <w:rPr>
          <w:rFonts w:hint="eastAsia" w:ascii="宋体" w:hAnsi="宋体" w:cs="宋体"/>
        </w:rPr>
        <w:t>。</w:t>
      </w:r>
    </w:p>
    <w:p>
      <w:pPr>
        <w:pStyle w:val="29"/>
        <w:widowControl/>
        <w:rPr>
          <w:rFonts w:ascii="宋体" w:hAnsi="宋体" w:cs="宋体"/>
        </w:rPr>
      </w:pPr>
      <w:r>
        <w:rPr>
          <w:rFonts w:hint="eastAsia" w:ascii="宋体" w:hAnsi="宋体" w:cs="宋体"/>
          <w:bCs/>
        </w:rPr>
        <w:t>9.2</w:t>
      </w:r>
      <w:r>
        <w:rPr>
          <w:rFonts w:hint="eastAsia" w:ascii="宋体" w:hAnsi="宋体" w:cs="宋体"/>
        </w:rPr>
        <w:t>除技术性能另有规定外，投标文件所使用的度量衡单位，均须采用国家法定计量单位。</w:t>
      </w:r>
    </w:p>
    <w:p>
      <w:pPr>
        <w:pStyle w:val="29"/>
        <w:widowControl/>
        <w:rPr>
          <w:rFonts w:ascii="宋体" w:hAnsi="宋体" w:cs="宋体"/>
          <w:b/>
        </w:rPr>
      </w:pPr>
      <w:bookmarkStart w:id="62" w:name="_Toc513029215"/>
      <w:bookmarkStart w:id="63" w:name="_Toc16938531"/>
      <w:bookmarkStart w:id="64" w:name="_Toc462564074"/>
      <w:bookmarkStart w:id="65" w:name="_Toc20823287"/>
      <w:r>
        <w:rPr>
          <w:rFonts w:hint="eastAsia" w:ascii="宋体" w:hAnsi="宋体" w:cs="宋体"/>
          <w:b/>
        </w:rPr>
        <w:t>10、投标文件构成</w:t>
      </w:r>
      <w:bookmarkEnd w:id="62"/>
      <w:bookmarkEnd w:id="63"/>
      <w:bookmarkEnd w:id="64"/>
      <w:bookmarkEnd w:id="65"/>
    </w:p>
    <w:p>
      <w:pPr>
        <w:pStyle w:val="29"/>
        <w:widowControl/>
        <w:rPr>
          <w:rFonts w:ascii="宋体" w:hAnsi="宋体" w:cs="宋体"/>
        </w:rPr>
      </w:pPr>
      <w:r>
        <w:rPr>
          <w:rFonts w:hint="eastAsia" w:ascii="宋体" w:hAnsi="宋体" w:cs="宋体"/>
          <w:bCs/>
        </w:rPr>
        <w:t>10.1</w:t>
      </w:r>
      <w:r>
        <w:rPr>
          <w:rFonts w:hint="eastAsia" w:ascii="宋体" w:hAnsi="宋体" w:cs="宋体"/>
        </w:rPr>
        <w:t>投标人编写的投标文件应包括投标函、开标一览表、资信证明文件、投标配置与分项报价表、技术参数响应及偏离表、技术及售后服务承诺书等部分。</w:t>
      </w:r>
    </w:p>
    <w:p>
      <w:pPr>
        <w:pStyle w:val="29"/>
        <w:widowControl/>
        <w:rPr>
          <w:rFonts w:ascii="宋体" w:hAnsi="宋体" w:cs="宋体"/>
        </w:rPr>
      </w:pPr>
      <w:r>
        <w:rPr>
          <w:rFonts w:hint="eastAsia" w:ascii="宋体" w:hAnsi="宋体" w:cs="宋体"/>
        </w:rPr>
        <w:t>10.2投标人应将投标文件按顺序装订成册，并编制投标文件资料目录。</w:t>
      </w:r>
    </w:p>
    <w:p>
      <w:pPr>
        <w:pStyle w:val="29"/>
        <w:widowControl/>
        <w:rPr>
          <w:rFonts w:ascii="宋体" w:hAnsi="宋体" w:cs="宋体"/>
          <w:b/>
        </w:rPr>
      </w:pPr>
      <w:bookmarkStart w:id="66" w:name="_Hlt26954838"/>
      <w:bookmarkEnd w:id="66"/>
      <w:bookmarkStart w:id="67" w:name="_Hlt26670360"/>
      <w:bookmarkEnd w:id="67"/>
      <w:bookmarkStart w:id="68" w:name="_Hlt26668975"/>
      <w:bookmarkEnd w:id="68"/>
      <w:bookmarkStart w:id="69" w:name="_Toc14577357"/>
      <w:bookmarkStart w:id="70" w:name="_Toc49090509"/>
      <w:bookmarkStart w:id="71" w:name="_Toc513029219"/>
      <w:bookmarkStart w:id="72" w:name="_Toc513029216"/>
      <w:bookmarkStart w:id="73" w:name="_Toc49090507"/>
      <w:bookmarkStart w:id="74" w:name="_Toc14577354"/>
      <w:r>
        <w:rPr>
          <w:rFonts w:hint="eastAsia" w:ascii="宋体" w:hAnsi="宋体" w:cs="宋体"/>
          <w:b/>
        </w:rPr>
        <w:t>11、证明投标人资格及符合招标文件规定的文件</w:t>
      </w:r>
      <w:bookmarkEnd w:id="69"/>
      <w:bookmarkEnd w:id="70"/>
      <w:bookmarkEnd w:id="71"/>
    </w:p>
    <w:p>
      <w:pPr>
        <w:pStyle w:val="29"/>
        <w:widowControl/>
        <w:rPr>
          <w:rFonts w:ascii="宋体" w:hAnsi="宋体" w:cs="宋体"/>
        </w:rPr>
      </w:pPr>
      <w:r>
        <w:rPr>
          <w:rFonts w:hint="eastAsia" w:ascii="宋体" w:hAnsi="宋体" w:cs="宋体"/>
        </w:rPr>
        <w:t>11.1</w:t>
      </w:r>
      <w:bookmarkStart w:id="75" w:name="_Hlt26668999"/>
      <w:bookmarkEnd w:id="75"/>
      <w:r>
        <w:rPr>
          <w:rFonts w:hint="eastAsia" w:ascii="宋体" w:hAnsi="宋体" w:cs="宋体"/>
        </w:rPr>
        <w:t>投标人应按要求提交资格证明文件及符合招标文件规定的文件。</w:t>
      </w:r>
    </w:p>
    <w:p>
      <w:pPr>
        <w:pStyle w:val="29"/>
        <w:widowControl/>
        <w:rPr>
          <w:rFonts w:ascii="宋体" w:hAnsi="宋体" w:cs="宋体"/>
        </w:rPr>
      </w:pPr>
      <w:r>
        <w:rPr>
          <w:rFonts w:hint="eastAsia" w:ascii="宋体" w:hAnsi="宋体" w:cs="宋体"/>
        </w:rPr>
        <w:t>11.2投标人应具有资格参加投标和中标后有能力独立履行合同的能力。</w:t>
      </w:r>
    </w:p>
    <w:p>
      <w:pPr>
        <w:pStyle w:val="29"/>
        <w:widowControl/>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9"/>
        <w:widowControl/>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9"/>
        <w:widowControl/>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2"/>
    <w:bookmarkEnd w:id="73"/>
    <w:bookmarkEnd w:id="74"/>
    <w:p>
      <w:pPr>
        <w:pStyle w:val="29"/>
        <w:widowControl/>
        <w:rPr>
          <w:rFonts w:ascii="宋体" w:hAnsi="宋体" w:cs="宋体"/>
          <w:b/>
        </w:rPr>
      </w:pPr>
      <w:bookmarkStart w:id="76" w:name="_Toc14577355"/>
      <w:bookmarkStart w:id="77" w:name="_Toc49090508"/>
      <w:r>
        <w:rPr>
          <w:rFonts w:hint="eastAsia" w:ascii="宋体" w:hAnsi="宋体" w:cs="宋体"/>
          <w:b/>
        </w:rPr>
        <w:t>12、供货一览表与分项报价</w:t>
      </w:r>
      <w:bookmarkEnd w:id="76"/>
      <w:bookmarkStart w:id="78" w:name="_Hlt26670373"/>
      <w:bookmarkEnd w:id="78"/>
      <w:r>
        <w:rPr>
          <w:rFonts w:hint="eastAsia" w:ascii="宋体" w:hAnsi="宋体" w:cs="宋体"/>
          <w:b/>
        </w:rPr>
        <w:t>表</w:t>
      </w:r>
      <w:bookmarkEnd w:id="77"/>
    </w:p>
    <w:p>
      <w:pPr>
        <w:pStyle w:val="29"/>
        <w:widowControl/>
        <w:rPr>
          <w:rFonts w:ascii="宋体" w:hAnsi="宋体" w:cs="宋体"/>
          <w:bCs/>
        </w:rPr>
      </w:pPr>
      <w:r>
        <w:rPr>
          <w:rFonts w:hint="eastAsia" w:ascii="宋体" w:hAnsi="宋体" w:cs="宋体"/>
        </w:rPr>
        <w:t>投</w:t>
      </w:r>
      <w:bookmarkStart w:id="79" w:name="_Hlt26954840"/>
      <w:bookmarkEnd w:id="79"/>
      <w:r>
        <w:rPr>
          <w:rFonts w:hint="eastAsia" w:ascii="宋体" w:hAnsi="宋体" w:cs="宋体"/>
        </w:rPr>
        <w:t>标人应按照招标文件规定格式填报供货一览表与分项报价表</w:t>
      </w:r>
      <w:bookmarkStart w:id="80" w:name="_Hlt26670399"/>
      <w:bookmarkEnd w:id="80"/>
      <w:r>
        <w:rPr>
          <w:rFonts w:hint="eastAsia" w:ascii="宋体" w:hAnsi="宋体" w:cs="宋体"/>
        </w:rPr>
        <w:t>。每项货物和服务等只允许有一个报价，任何有选择的报价将不予接受(如有备选配件，备选配件的报价不属于选择的报价)。</w:t>
      </w:r>
    </w:p>
    <w:p>
      <w:pPr>
        <w:pStyle w:val="29"/>
        <w:widowControl/>
        <w:rPr>
          <w:rFonts w:ascii="宋体" w:hAnsi="宋体" w:cs="宋体"/>
          <w:bCs/>
        </w:rPr>
      </w:pPr>
      <w:r>
        <w:rPr>
          <w:rFonts w:hint="eastAsia" w:ascii="宋体" w:hAnsi="宋体" w:cs="宋体"/>
        </w:rPr>
        <w:t>12.3</w:t>
      </w:r>
      <w:r>
        <w:rPr>
          <w:rFonts w:hint="eastAsia" w:ascii="宋体" w:hAnsi="宋体" w:cs="宋体"/>
          <w:bCs/>
        </w:rPr>
        <w:t>有关费用处理</w:t>
      </w:r>
    </w:p>
    <w:p>
      <w:pPr>
        <w:pStyle w:val="29"/>
        <w:widowControl/>
        <w:rPr>
          <w:rFonts w:ascii="宋体" w:hAnsi="宋体" w:cs="宋体"/>
          <w:bCs/>
        </w:rPr>
      </w:pPr>
      <w:r>
        <w:rPr>
          <w:rFonts w:hint="eastAsia" w:ascii="宋体" w:hAnsi="宋体" w:cs="宋体"/>
        </w:rPr>
        <w:t>招标报价采用总承包方式（</w:t>
      </w:r>
      <w:r>
        <w:rPr>
          <w:rFonts w:hint="eastAsia" w:ascii="宋体" w:hAnsi="宋体" w:cs="宋体"/>
          <w:b/>
        </w:rPr>
        <w:t>进口设备一律采用人民币报价</w:t>
      </w:r>
      <w:r>
        <w:rPr>
          <w:rFonts w:hint="eastAsia" w:ascii="宋体" w:hAnsi="宋体" w:cs="宋体"/>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9"/>
        <w:widowControl/>
        <w:rPr>
          <w:rFonts w:ascii="宋体" w:hAnsi="宋体" w:cs="宋体"/>
          <w:bCs/>
        </w:rPr>
      </w:pPr>
      <w:r>
        <w:rPr>
          <w:rFonts w:hint="eastAsia" w:ascii="宋体" w:hAnsi="宋体" w:cs="宋体"/>
        </w:rPr>
        <w:t>12.4</w:t>
      </w:r>
      <w:r>
        <w:rPr>
          <w:rFonts w:hint="eastAsia" w:ascii="宋体" w:hAnsi="宋体" w:cs="宋体"/>
          <w:bCs/>
        </w:rPr>
        <w:t>其它费用处理</w:t>
      </w:r>
    </w:p>
    <w:p>
      <w:pPr>
        <w:pStyle w:val="29"/>
        <w:widowControl/>
        <w:rPr>
          <w:rFonts w:ascii="宋体" w:hAnsi="宋体" w:cs="宋体"/>
          <w:bCs/>
        </w:rPr>
      </w:pPr>
      <w:r>
        <w:rPr>
          <w:rFonts w:hint="eastAsia" w:ascii="宋体" w:hAnsi="宋体" w:cs="宋体"/>
          <w:bCs/>
        </w:rPr>
        <w:t>招标文件未列明，而投标人认为必需的费用也需列入报价。</w:t>
      </w:r>
    </w:p>
    <w:p>
      <w:pPr>
        <w:pStyle w:val="29"/>
        <w:widowControl/>
        <w:rPr>
          <w:rFonts w:ascii="宋体" w:hAnsi="宋体" w:cs="宋体"/>
        </w:rPr>
      </w:pPr>
      <w:r>
        <w:rPr>
          <w:rFonts w:hint="eastAsia" w:ascii="宋体" w:hAnsi="宋体" w:cs="宋体"/>
        </w:rPr>
        <w:t>12.5</w:t>
      </w:r>
      <w:r>
        <w:rPr>
          <w:rFonts w:hint="eastAsia" w:ascii="宋体" w:hAnsi="宋体" w:cs="宋体"/>
          <w:bCs/>
        </w:rPr>
        <w:t>投标配置与分项报价表上的价格应按下列方式分开填写</w:t>
      </w:r>
      <w:r>
        <w:rPr>
          <w:rFonts w:hint="eastAsia" w:ascii="宋体" w:hAnsi="宋体" w:cs="宋体"/>
        </w:rPr>
        <w:t>：</w:t>
      </w:r>
    </w:p>
    <w:p>
      <w:pPr>
        <w:pStyle w:val="29"/>
        <w:widowControl/>
        <w:rPr>
          <w:rFonts w:ascii="宋体" w:hAnsi="宋体" w:cs="宋体"/>
          <w:bCs/>
        </w:rPr>
      </w:pPr>
      <w:bookmarkStart w:id="81" w:name="_Hlt26954842"/>
      <w:bookmarkEnd w:id="81"/>
      <w:bookmarkStart w:id="82" w:name="_Hlt26670425"/>
      <w:bookmarkEnd w:id="82"/>
      <w:bookmarkStart w:id="83" w:name="_Hlt26954844"/>
      <w:bookmarkEnd w:id="83"/>
      <w:bookmarkStart w:id="84" w:name="_Hlt26670403"/>
      <w:bookmarkEnd w:id="84"/>
      <w:bookmarkStart w:id="85" w:name="_Hlt26668983"/>
      <w:bookmarkEnd w:id="85"/>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9"/>
        <w:widowControl/>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9"/>
        <w:widowControl/>
        <w:rPr>
          <w:rFonts w:ascii="宋体" w:hAnsi="宋体" w:cs="宋体"/>
          <w:b/>
        </w:rPr>
      </w:pPr>
      <w:bookmarkStart w:id="86" w:name="_Hlt26954846"/>
      <w:bookmarkEnd w:id="86"/>
      <w:bookmarkStart w:id="87" w:name="_Hlt26670482"/>
      <w:bookmarkEnd w:id="87"/>
      <w:bookmarkStart w:id="88" w:name="_Hlt26670486"/>
      <w:bookmarkEnd w:id="88"/>
      <w:bookmarkStart w:id="89" w:name="_Hlt26954848"/>
      <w:bookmarkEnd w:id="89"/>
      <w:bookmarkStart w:id="90" w:name="_Hlt26954731"/>
      <w:bookmarkEnd w:id="90"/>
      <w:r>
        <w:rPr>
          <w:rFonts w:hint="eastAsia" w:ascii="宋体" w:hAnsi="宋体" w:cs="宋体"/>
          <w:b/>
        </w:rPr>
        <w:t>13、技术参数响应及偏离表和投标货物说明</w:t>
      </w:r>
    </w:p>
    <w:p>
      <w:pPr>
        <w:pStyle w:val="29"/>
        <w:widowControl/>
        <w:rPr>
          <w:rFonts w:ascii="宋体" w:hAnsi="宋体" w:cs="宋体"/>
          <w:lang w:val="zh-CN"/>
        </w:rPr>
      </w:pPr>
      <w:r>
        <w:rPr>
          <w:rFonts w:hint="eastAsia" w:ascii="宋体" w:hAnsi="宋体" w:cs="宋体"/>
          <w:bCs/>
          <w:lang w:val="zh-CN"/>
        </w:rPr>
        <w:t>13.1</w:t>
      </w:r>
      <w:r>
        <w:rPr>
          <w:rFonts w:hint="eastAsia" w:ascii="宋体" w:hAnsi="宋体" w:cs="宋体"/>
          <w:lang w:val="zh-CN"/>
        </w:rPr>
        <w:t>对招标文件中的技术与商务条款要求逐项作出响应或偏离，并说明原因；</w:t>
      </w:r>
    </w:p>
    <w:p>
      <w:pPr>
        <w:pStyle w:val="29"/>
        <w:widowControl/>
        <w:rPr>
          <w:rFonts w:ascii="宋体" w:hAnsi="宋体" w:cs="宋体"/>
          <w:lang w:val="zh-CN"/>
        </w:rPr>
      </w:pPr>
      <w:r>
        <w:rPr>
          <w:rFonts w:hint="eastAsia" w:ascii="宋体" w:hAnsi="宋体" w:cs="宋体"/>
          <w:lang w:val="zh-CN"/>
        </w:rPr>
        <w:t>13.2详细阐述所投货物的主要组成部分、功能设计、实现思路及关键技术；</w:t>
      </w:r>
    </w:p>
    <w:p>
      <w:pPr>
        <w:pStyle w:val="29"/>
        <w:widowControl/>
        <w:rPr>
          <w:rFonts w:ascii="宋体" w:hAnsi="宋体" w:cs="宋体"/>
          <w:lang w:val="zh-CN"/>
        </w:rPr>
      </w:pPr>
      <w:r>
        <w:rPr>
          <w:rFonts w:hint="eastAsia" w:ascii="宋体" w:hAnsi="宋体" w:cs="宋体"/>
          <w:lang w:val="zh-CN"/>
        </w:rPr>
        <w:t>13.3投标人认为需要的其他技术文件或说明。</w:t>
      </w:r>
    </w:p>
    <w:p>
      <w:pPr>
        <w:pStyle w:val="29"/>
        <w:widowControl/>
        <w:rPr>
          <w:rFonts w:ascii="宋体" w:hAnsi="宋体" w:cs="宋体"/>
          <w:b/>
        </w:rPr>
      </w:pPr>
      <w:r>
        <w:rPr>
          <w:rFonts w:hint="eastAsia" w:ascii="宋体" w:hAnsi="宋体" w:cs="宋体"/>
          <w:b/>
        </w:rPr>
        <w:t>14、服务承诺及售后服务机构、人员的情况介绍</w:t>
      </w:r>
    </w:p>
    <w:p>
      <w:pPr>
        <w:pStyle w:val="29"/>
        <w:widowControl/>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9"/>
        <w:widowControl/>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9"/>
        <w:widowControl/>
        <w:rPr>
          <w:rFonts w:ascii="宋体" w:hAnsi="宋体" w:cs="宋体"/>
          <w:lang w:val="zh-CN"/>
        </w:rPr>
      </w:pPr>
      <w:r>
        <w:rPr>
          <w:rFonts w:hint="eastAsia" w:ascii="宋体" w:hAnsi="宋体" w:cs="宋体"/>
          <w:lang w:val="zh-CN"/>
        </w:rPr>
        <w:t>14.3培训计划；</w:t>
      </w:r>
    </w:p>
    <w:p>
      <w:pPr>
        <w:pStyle w:val="29"/>
        <w:widowControl/>
        <w:rPr>
          <w:rFonts w:ascii="宋体" w:hAnsi="宋体" w:cs="宋体"/>
          <w:lang w:val="zh-CN"/>
        </w:rPr>
      </w:pPr>
      <w:r>
        <w:rPr>
          <w:rFonts w:hint="eastAsia" w:ascii="宋体" w:hAnsi="宋体" w:cs="宋体"/>
          <w:lang w:val="zh-CN"/>
        </w:rPr>
        <w:t>14.4提供参加本项目类似案例；</w:t>
      </w:r>
    </w:p>
    <w:p>
      <w:pPr>
        <w:pStyle w:val="29"/>
        <w:widowControl/>
        <w:rPr>
          <w:rFonts w:ascii="宋体" w:hAnsi="宋体" w:cs="宋体"/>
          <w:b/>
        </w:rPr>
      </w:pPr>
      <w:bookmarkStart w:id="91" w:name="_Toc14577359"/>
      <w:bookmarkStart w:id="92" w:name="_Toc49090510"/>
      <w:r>
        <w:rPr>
          <w:rFonts w:hint="eastAsia" w:ascii="宋体" w:hAnsi="宋体" w:cs="宋体"/>
          <w:b/>
        </w:rPr>
        <w:t>15、投标函和开标一览表</w:t>
      </w:r>
    </w:p>
    <w:p>
      <w:pPr>
        <w:pStyle w:val="29"/>
        <w:widowControl/>
        <w:rPr>
          <w:rFonts w:ascii="宋体" w:hAnsi="宋体" w:cs="宋体"/>
        </w:rPr>
      </w:pPr>
      <w:r>
        <w:rPr>
          <w:rFonts w:hint="eastAsia" w:ascii="宋体" w:hAnsi="宋体" w:cs="宋体"/>
          <w:bCs/>
        </w:rPr>
        <w:t>15.1</w:t>
      </w:r>
      <w:r>
        <w:rPr>
          <w:rFonts w:hint="eastAsia" w:ascii="宋体" w:hAnsi="宋体" w:cs="宋体"/>
        </w:rPr>
        <w:t>投标人应按照招标文件中提供的格式完整、正确填写投标函、开标一览表。</w:t>
      </w:r>
    </w:p>
    <w:p>
      <w:pPr>
        <w:pStyle w:val="29"/>
        <w:widowControl/>
        <w:rPr>
          <w:rFonts w:ascii="宋体" w:hAnsi="宋体" w:cs="宋体"/>
        </w:rPr>
      </w:pPr>
      <w:r>
        <w:rPr>
          <w:rFonts w:hint="eastAsia" w:ascii="宋体" w:hAnsi="宋体" w:cs="宋体"/>
          <w:bCs/>
        </w:rPr>
        <w:t>15.2开标一览表中的价格应与投标文件中投标配置与分项报价表中的价格一致，如不一致，评标时按开标一览表中价格为准</w:t>
      </w:r>
      <w:r>
        <w:rPr>
          <w:rFonts w:hint="eastAsia" w:ascii="宋体" w:hAnsi="宋体" w:cs="宋体"/>
          <w:b/>
          <w:bCs/>
        </w:rPr>
        <w:t>。</w:t>
      </w:r>
    </w:p>
    <w:p>
      <w:pPr>
        <w:pStyle w:val="29"/>
        <w:widowControl/>
        <w:rPr>
          <w:rFonts w:ascii="宋体" w:hAnsi="宋体" w:cs="宋体"/>
          <w:b/>
          <w:i/>
          <w:u w:val="single"/>
        </w:rPr>
      </w:pPr>
      <w:r>
        <w:rPr>
          <w:rFonts w:hint="eastAsia" w:ascii="宋体" w:hAnsi="宋体" w:cs="宋体"/>
          <w:bCs/>
        </w:rPr>
        <w:t>15.3</w:t>
      </w:r>
      <w:r>
        <w:rPr>
          <w:rFonts w:hint="eastAsia" w:ascii="宋体" w:hAnsi="宋体" w:cs="宋体"/>
          <w:b/>
          <w:i/>
          <w:u w:val="single"/>
        </w:rPr>
        <w:t>开标一览表必须加</w:t>
      </w:r>
      <w:r>
        <w:rPr>
          <w:rFonts w:hint="eastAsia" w:ascii="宋体" w:hAnsi="宋体" w:cs="宋体"/>
          <w:b/>
          <w:bCs/>
          <w:i/>
          <w:iCs/>
          <w:u w:val="single"/>
        </w:rPr>
        <w:t>盖投标人公章（复印件无效），必须</w:t>
      </w:r>
      <w:r>
        <w:rPr>
          <w:rFonts w:hint="eastAsia" w:ascii="宋体" w:hAnsi="宋体" w:cs="宋体"/>
          <w:b/>
          <w:i/>
          <w:u w:val="single"/>
        </w:rPr>
        <w:t>单独密封在信封中，在投标截止时间前与投标文件分别递交，否则视为无效投标。</w:t>
      </w:r>
    </w:p>
    <w:p>
      <w:pPr>
        <w:pStyle w:val="29"/>
        <w:widowControl/>
        <w:rPr>
          <w:rFonts w:ascii="宋体" w:hAnsi="宋体" w:cs="宋体"/>
          <w:b/>
        </w:rPr>
      </w:pPr>
      <w:r>
        <w:rPr>
          <w:rFonts w:hint="eastAsia" w:ascii="宋体" w:hAnsi="宋体" w:cs="宋体"/>
          <w:b/>
        </w:rPr>
        <w:t>16、投标保证金</w:t>
      </w:r>
      <w:bookmarkEnd w:id="91"/>
      <w:bookmarkEnd w:id="92"/>
    </w:p>
    <w:p>
      <w:pPr>
        <w:pStyle w:val="29"/>
        <w:widowControl/>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9"/>
        <w:widowControl/>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9"/>
        <w:widowControl/>
        <w:rPr>
          <w:rFonts w:ascii="宋体" w:hAnsi="宋体" w:cs="宋体"/>
          <w:bCs/>
        </w:rPr>
      </w:pPr>
      <w:r>
        <w:rPr>
          <w:rFonts w:hint="eastAsia" w:ascii="宋体" w:hAnsi="宋体" w:cs="宋体"/>
        </w:rPr>
        <w:t>16.3</w:t>
      </w:r>
      <w:r>
        <w:rPr>
          <w:rFonts w:hint="eastAsia" w:ascii="宋体" w:hAnsi="宋体" w:cs="宋体"/>
          <w:bCs/>
        </w:rPr>
        <w:t>下列任何情况发生时，投标保证金将不予退还：</w:t>
      </w:r>
    </w:p>
    <w:p>
      <w:pPr>
        <w:pStyle w:val="29"/>
        <w:widowControl/>
        <w:rPr>
          <w:rFonts w:ascii="宋体" w:hAnsi="宋体" w:cs="宋体"/>
          <w:bCs/>
        </w:rPr>
      </w:pPr>
      <w:r>
        <w:rPr>
          <w:rFonts w:hint="eastAsia" w:ascii="宋体" w:hAnsi="宋体" w:cs="宋体"/>
          <w:bCs/>
        </w:rPr>
        <w:t>（1）投标人在投标有效期内撤回其投标；</w:t>
      </w:r>
    </w:p>
    <w:p>
      <w:pPr>
        <w:pStyle w:val="29"/>
        <w:widowControl/>
        <w:rPr>
          <w:rFonts w:ascii="宋体" w:hAnsi="宋体" w:cs="宋体"/>
          <w:bCs/>
        </w:rPr>
      </w:pPr>
      <w:r>
        <w:rPr>
          <w:rFonts w:hint="eastAsia" w:ascii="宋体" w:hAnsi="宋体" w:cs="宋体"/>
          <w:bCs/>
        </w:rPr>
        <w:t>（2）投标人提供的有关资料、资格证明文件被确认是不真实的；</w:t>
      </w:r>
    </w:p>
    <w:p>
      <w:pPr>
        <w:pStyle w:val="29"/>
        <w:widowControl/>
        <w:rPr>
          <w:rFonts w:ascii="宋体" w:hAnsi="宋体" w:cs="宋体"/>
        </w:rPr>
      </w:pPr>
      <w:r>
        <w:rPr>
          <w:rFonts w:hint="eastAsia" w:ascii="宋体" w:hAnsi="宋体" w:cs="宋体"/>
        </w:rPr>
        <w:t>（3）投标人之间被证实有串通（统一哄抬价格）、欺诈行为；</w:t>
      </w:r>
    </w:p>
    <w:p>
      <w:pPr>
        <w:pStyle w:val="29"/>
        <w:widowControl/>
        <w:rPr>
          <w:rFonts w:ascii="宋体" w:hAnsi="宋体" w:cs="宋体"/>
        </w:rPr>
      </w:pPr>
      <w:r>
        <w:rPr>
          <w:rFonts w:hint="eastAsia" w:ascii="宋体" w:hAnsi="宋体" w:cs="宋体"/>
        </w:rPr>
        <w:t>（4）投标人被证明有妨碍其他人公平竞争、损害采购人或者其他投标人合法权益的；</w:t>
      </w:r>
    </w:p>
    <w:p>
      <w:pPr>
        <w:pStyle w:val="29"/>
        <w:widowControl/>
        <w:rPr>
          <w:rFonts w:ascii="宋体" w:hAnsi="宋体" w:cs="宋体"/>
          <w:b/>
        </w:rPr>
      </w:pPr>
      <w:bookmarkStart w:id="93" w:name="_Hlt26670489"/>
      <w:bookmarkEnd w:id="93"/>
      <w:bookmarkStart w:id="94" w:name="_Hlt26954739"/>
      <w:bookmarkEnd w:id="94"/>
      <w:bookmarkStart w:id="95" w:name="_Hlt26954850"/>
      <w:bookmarkEnd w:id="95"/>
      <w:bookmarkStart w:id="96" w:name="_Hlt26954734"/>
      <w:bookmarkEnd w:id="96"/>
      <w:bookmarkStart w:id="97" w:name="_Hlt26954852"/>
      <w:bookmarkEnd w:id="97"/>
      <w:bookmarkStart w:id="98" w:name="_Toc14577361"/>
      <w:bookmarkStart w:id="99" w:name="_Toc49090512"/>
      <w:r>
        <w:rPr>
          <w:rFonts w:hint="eastAsia" w:ascii="宋体" w:hAnsi="宋体" w:cs="宋体"/>
          <w:b/>
        </w:rPr>
        <w:t>17、投标文件份数和签署</w:t>
      </w:r>
      <w:bookmarkEnd w:id="98"/>
      <w:bookmarkEnd w:id="99"/>
    </w:p>
    <w:p>
      <w:pPr>
        <w:pStyle w:val="29"/>
        <w:widowControl/>
        <w:rPr>
          <w:rFonts w:ascii="宋体" w:hAnsi="宋体" w:cs="宋体"/>
          <w:bCs/>
        </w:rPr>
      </w:pPr>
      <w:r>
        <w:rPr>
          <w:rFonts w:hint="eastAsia" w:ascii="宋体" w:hAnsi="宋体" w:cs="宋体"/>
        </w:rPr>
        <w:t>17.1</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9"/>
        <w:widowControl/>
        <w:rPr>
          <w:rFonts w:ascii="宋体" w:hAnsi="宋体" w:cs="宋体"/>
        </w:rPr>
      </w:pPr>
      <w:r>
        <w:rPr>
          <w:rFonts w:hint="eastAsia" w:ascii="宋体" w:hAnsi="宋体" w:cs="宋体"/>
        </w:rPr>
        <w:t>17.2投标文件的正本须经法定代表人或授权代表签署和加盖投标人公章。</w:t>
      </w:r>
    </w:p>
    <w:p>
      <w:pPr>
        <w:pStyle w:val="29"/>
        <w:widowControl/>
        <w:rPr>
          <w:rFonts w:ascii="宋体" w:hAnsi="宋体" w:cs="宋体"/>
          <w:b/>
        </w:rPr>
      </w:pPr>
      <w:bookmarkStart w:id="100" w:name="_Toc20823296"/>
      <w:bookmarkStart w:id="101" w:name="_Toc120614217"/>
      <w:bookmarkStart w:id="102" w:name="_Toc16938540"/>
      <w:bookmarkStart w:id="103" w:name="_Toc517190885"/>
      <w:bookmarkStart w:id="104" w:name="_Toc513029224"/>
      <w:r>
        <w:rPr>
          <w:rFonts w:hint="eastAsia" w:ascii="宋体" w:hAnsi="宋体" w:cs="宋体"/>
          <w:b/>
        </w:rPr>
        <w:t>四、投标文件的递交</w:t>
      </w:r>
      <w:bookmarkEnd w:id="100"/>
      <w:bookmarkEnd w:id="101"/>
      <w:bookmarkEnd w:id="102"/>
      <w:bookmarkEnd w:id="103"/>
      <w:bookmarkEnd w:id="104"/>
    </w:p>
    <w:p>
      <w:pPr>
        <w:pStyle w:val="29"/>
        <w:widowControl/>
        <w:rPr>
          <w:rFonts w:ascii="宋体" w:hAnsi="宋体" w:cs="宋体"/>
          <w:b/>
        </w:rPr>
      </w:pPr>
      <w:bookmarkStart w:id="105" w:name="_Toc513029225"/>
      <w:bookmarkStart w:id="106" w:name="_Toc16938541"/>
      <w:bookmarkStart w:id="107" w:name="_Toc20823297"/>
      <w:bookmarkStart w:id="108" w:name="_Toc462564084"/>
      <w:r>
        <w:rPr>
          <w:rFonts w:hint="eastAsia" w:ascii="宋体" w:hAnsi="宋体" w:cs="宋体"/>
          <w:b/>
        </w:rPr>
        <w:t>18、投标文件的密封和标记</w:t>
      </w:r>
      <w:bookmarkEnd w:id="105"/>
      <w:bookmarkEnd w:id="106"/>
      <w:bookmarkEnd w:id="107"/>
      <w:bookmarkEnd w:id="108"/>
    </w:p>
    <w:p>
      <w:pPr>
        <w:pStyle w:val="29"/>
        <w:widowControl/>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9"/>
        <w:widowControl/>
        <w:rPr>
          <w:rFonts w:ascii="宋体" w:hAnsi="宋体" w:cs="宋体"/>
          <w:bCs/>
        </w:rPr>
      </w:pPr>
      <w:r>
        <w:rPr>
          <w:rFonts w:hint="eastAsia" w:ascii="宋体" w:hAnsi="宋体" w:cs="宋体"/>
        </w:rPr>
        <w:t>18.2</w:t>
      </w:r>
      <w:r>
        <w:rPr>
          <w:rFonts w:hint="eastAsia" w:ascii="宋体" w:hAnsi="宋体" w:cs="宋体"/>
          <w:bCs/>
        </w:rPr>
        <w:t>密封的投标文件应：</w:t>
      </w:r>
    </w:p>
    <w:p>
      <w:pPr>
        <w:pStyle w:val="29"/>
        <w:widowControl/>
        <w:rPr>
          <w:rFonts w:ascii="宋体" w:hAnsi="宋体" w:cs="宋体"/>
          <w:bCs/>
        </w:rPr>
      </w:pPr>
      <w:r>
        <w:rPr>
          <w:rFonts w:hint="eastAsia" w:ascii="宋体" w:hAnsi="宋体" w:cs="宋体"/>
          <w:bCs/>
        </w:rPr>
        <w:t>（1）注明投标人名称，如因标注不清而产生的后果由投标人自负。</w:t>
      </w:r>
    </w:p>
    <w:p>
      <w:pPr>
        <w:pStyle w:val="29"/>
        <w:widowControl/>
        <w:rPr>
          <w:rFonts w:ascii="宋体" w:hAnsi="宋体" w:cs="宋体"/>
          <w:bCs/>
        </w:rPr>
      </w:pPr>
      <w:r>
        <w:rPr>
          <w:rFonts w:hint="eastAsia" w:ascii="宋体" w:hAnsi="宋体" w:cs="宋体"/>
          <w:bCs/>
        </w:rPr>
        <w:t>（2）注明投标项目名称、标书编号及包号。</w:t>
      </w:r>
    </w:p>
    <w:p>
      <w:pPr>
        <w:pStyle w:val="29"/>
        <w:widowControl/>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9"/>
        <w:widowControl/>
        <w:rPr>
          <w:rFonts w:ascii="宋体" w:hAnsi="宋体" w:cs="宋体"/>
          <w:b/>
        </w:rPr>
      </w:pPr>
      <w:bookmarkStart w:id="109" w:name="_Toc16938542"/>
      <w:bookmarkStart w:id="110" w:name="_Toc513029226"/>
      <w:bookmarkStart w:id="111" w:name="_Toc20823298"/>
      <w:r>
        <w:rPr>
          <w:rFonts w:hint="eastAsia" w:ascii="宋体" w:hAnsi="宋体" w:cs="宋体"/>
          <w:b/>
        </w:rPr>
        <w:t>19、投标截止</w:t>
      </w:r>
      <w:bookmarkEnd w:id="109"/>
      <w:bookmarkEnd w:id="110"/>
      <w:bookmarkEnd w:id="111"/>
      <w:r>
        <w:rPr>
          <w:rFonts w:hint="eastAsia" w:ascii="宋体" w:hAnsi="宋体" w:cs="宋体"/>
          <w:b/>
        </w:rPr>
        <w:t>时间</w:t>
      </w:r>
    </w:p>
    <w:p>
      <w:pPr>
        <w:pStyle w:val="29"/>
        <w:widowControl/>
        <w:rPr>
          <w:rFonts w:ascii="宋体" w:hAnsi="宋体" w:cs="宋体"/>
          <w:bCs/>
        </w:rPr>
      </w:pPr>
      <w:r>
        <w:rPr>
          <w:rFonts w:hint="eastAsia" w:ascii="宋体" w:hAnsi="宋体" w:cs="宋体"/>
        </w:rPr>
        <w:t>19.1</w:t>
      </w:r>
      <w:r>
        <w:rPr>
          <w:rFonts w:hint="eastAsia" w:ascii="宋体" w:hAnsi="宋体" w:cs="宋体"/>
          <w:bCs/>
        </w:rPr>
        <w:t>采购人收到投标文件的时间不得迟于招标公告中规定的截止时间。</w:t>
      </w:r>
    </w:p>
    <w:p>
      <w:pPr>
        <w:pStyle w:val="29"/>
        <w:widowControl/>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9"/>
        <w:widowControl/>
        <w:rPr>
          <w:rFonts w:ascii="宋体" w:hAnsi="宋体" w:cs="宋体"/>
          <w:b/>
        </w:rPr>
      </w:pPr>
      <w:bookmarkStart w:id="112" w:name="_Toc16938543"/>
      <w:bookmarkStart w:id="113" w:name="_Toc513029227"/>
      <w:bookmarkStart w:id="114" w:name="_Toc20823299"/>
      <w:r>
        <w:rPr>
          <w:rFonts w:hint="eastAsia" w:ascii="宋体" w:hAnsi="宋体" w:cs="宋体"/>
          <w:b/>
        </w:rPr>
        <w:t>20、投标文件</w:t>
      </w:r>
      <w:bookmarkEnd w:id="112"/>
      <w:bookmarkEnd w:id="113"/>
      <w:bookmarkEnd w:id="114"/>
      <w:r>
        <w:rPr>
          <w:rFonts w:hint="eastAsia" w:ascii="宋体" w:hAnsi="宋体" w:cs="宋体"/>
          <w:b/>
        </w:rPr>
        <w:t>的递交</w:t>
      </w:r>
    </w:p>
    <w:p>
      <w:pPr>
        <w:pStyle w:val="29"/>
        <w:widowControl/>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9"/>
        <w:widowControl/>
        <w:rPr>
          <w:rFonts w:ascii="宋体" w:hAnsi="宋体" w:cs="宋体"/>
          <w:bCs/>
        </w:rPr>
      </w:pPr>
      <w:r>
        <w:rPr>
          <w:rFonts w:hint="eastAsia" w:ascii="宋体" w:hAnsi="宋体" w:cs="宋体"/>
          <w:bCs/>
        </w:rPr>
        <w:t>20.2未按照招标文件要求的格式编制的投标文件，后果由投标人承担。</w:t>
      </w:r>
    </w:p>
    <w:p>
      <w:pPr>
        <w:pStyle w:val="29"/>
        <w:widowControl/>
        <w:rPr>
          <w:rFonts w:ascii="宋体" w:hAnsi="宋体" w:cs="宋体"/>
          <w:b/>
        </w:rPr>
      </w:pPr>
      <w:bookmarkStart w:id="115" w:name="_Toc16938544"/>
      <w:bookmarkStart w:id="116" w:name="_Toc513029228"/>
      <w:bookmarkStart w:id="117" w:name="_Toc20823300"/>
      <w:r>
        <w:rPr>
          <w:rFonts w:hint="eastAsia" w:ascii="宋体" w:hAnsi="宋体" w:cs="宋体"/>
          <w:b/>
        </w:rPr>
        <w:t>21、投标文件的修改和撤回</w:t>
      </w:r>
      <w:bookmarkEnd w:id="115"/>
      <w:bookmarkEnd w:id="116"/>
      <w:bookmarkEnd w:id="117"/>
    </w:p>
    <w:p>
      <w:pPr>
        <w:pStyle w:val="29"/>
        <w:widowControl/>
        <w:rPr>
          <w:rFonts w:ascii="宋体" w:hAnsi="宋体" w:cs="宋体"/>
        </w:rPr>
      </w:pPr>
      <w:r>
        <w:rPr>
          <w:rFonts w:hint="eastAsia" w:ascii="宋体" w:hAnsi="宋体" w:cs="宋体"/>
        </w:rPr>
        <w:t>21.1</w:t>
      </w:r>
      <w:r>
        <w:rPr>
          <w:rFonts w:hint="eastAsia" w:ascii="宋体" w:hAnsi="宋体" w:cs="宋体"/>
          <w:bCs/>
        </w:rPr>
        <w:t>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9"/>
        <w:widowControl/>
        <w:rPr>
          <w:rFonts w:ascii="宋体" w:hAnsi="宋体" w:cs="宋体"/>
        </w:rPr>
      </w:pPr>
      <w:r>
        <w:rPr>
          <w:rFonts w:hint="eastAsia" w:ascii="宋体" w:hAnsi="宋体" w:cs="宋体"/>
        </w:rPr>
        <w:t>21.2</w:t>
      </w:r>
      <w:r>
        <w:rPr>
          <w:rFonts w:hint="eastAsia" w:ascii="宋体" w:hAnsi="宋体" w:cs="宋体"/>
          <w:bCs/>
        </w:rPr>
        <w:t>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9"/>
        <w:widowControl/>
        <w:rPr>
          <w:rFonts w:ascii="宋体" w:hAnsi="宋体" w:cs="宋体"/>
          <w:bCs/>
        </w:rPr>
      </w:pPr>
      <w:r>
        <w:rPr>
          <w:rFonts w:hint="eastAsia" w:ascii="宋体" w:hAnsi="宋体" w:cs="宋体"/>
        </w:rPr>
        <w:t>21.3</w:t>
      </w:r>
      <w:r>
        <w:rPr>
          <w:rFonts w:hint="eastAsia" w:ascii="宋体" w:hAnsi="宋体" w:cs="宋体"/>
          <w:bCs/>
        </w:rPr>
        <w:t>在投标截止时间之后，投标人不得对其投标文件作任何修改。</w:t>
      </w:r>
    </w:p>
    <w:p>
      <w:pPr>
        <w:pStyle w:val="29"/>
        <w:widowControl/>
        <w:rPr>
          <w:rFonts w:ascii="宋体" w:hAnsi="宋体" w:cs="宋体"/>
          <w:bCs/>
        </w:rPr>
      </w:pPr>
      <w:r>
        <w:rPr>
          <w:rFonts w:hint="eastAsia" w:ascii="宋体" w:hAnsi="宋体" w:cs="宋体"/>
        </w:rPr>
        <w:t>21.4</w:t>
      </w:r>
      <w:r>
        <w:rPr>
          <w:rFonts w:hint="eastAsia" w:ascii="宋体" w:hAnsi="宋体" w:cs="宋体"/>
          <w:bCs/>
        </w:rPr>
        <w:t>在投标截止时间至招标文件中规定的投标有效期满之间的这段时间内，投标人不得撤回其投标，否则其投标保证金将不予退还。</w:t>
      </w:r>
    </w:p>
    <w:p>
      <w:pPr>
        <w:pStyle w:val="29"/>
        <w:widowControl/>
        <w:rPr>
          <w:rFonts w:ascii="宋体" w:hAnsi="宋体" w:cs="宋体"/>
          <w:b/>
        </w:rPr>
      </w:pPr>
      <w:bookmarkStart w:id="118" w:name="_Toc16938545"/>
      <w:bookmarkStart w:id="119" w:name="_Toc517190886"/>
      <w:bookmarkStart w:id="120" w:name="_Toc513029229"/>
      <w:bookmarkStart w:id="121" w:name="_Toc120614218"/>
      <w:bookmarkStart w:id="122" w:name="_Toc20823301"/>
      <w:r>
        <w:rPr>
          <w:rFonts w:hint="eastAsia" w:ascii="宋体" w:hAnsi="宋体" w:cs="宋体"/>
          <w:b/>
        </w:rPr>
        <w:t>五、开标与评标</w:t>
      </w:r>
      <w:bookmarkEnd w:id="118"/>
      <w:bookmarkEnd w:id="119"/>
      <w:bookmarkEnd w:id="120"/>
      <w:bookmarkEnd w:id="121"/>
      <w:bookmarkEnd w:id="122"/>
    </w:p>
    <w:p>
      <w:pPr>
        <w:pStyle w:val="29"/>
        <w:widowControl/>
        <w:rPr>
          <w:rFonts w:ascii="宋体" w:hAnsi="宋体" w:cs="宋体"/>
          <w:b/>
        </w:rPr>
      </w:pPr>
      <w:bookmarkStart w:id="123" w:name="_Toc16938546"/>
      <w:bookmarkStart w:id="124" w:name="_Toc513029230"/>
      <w:bookmarkStart w:id="125" w:name="_Toc20823302"/>
      <w:r>
        <w:rPr>
          <w:rFonts w:hint="eastAsia" w:ascii="宋体" w:hAnsi="宋体" w:cs="宋体"/>
          <w:b/>
        </w:rPr>
        <w:t>22、开标</w:t>
      </w:r>
      <w:bookmarkEnd w:id="123"/>
      <w:bookmarkEnd w:id="124"/>
      <w:bookmarkEnd w:id="125"/>
    </w:p>
    <w:p>
      <w:pPr>
        <w:pStyle w:val="29"/>
        <w:widowControl/>
        <w:rPr>
          <w:rFonts w:ascii="宋体" w:hAnsi="宋体" w:cs="宋体"/>
        </w:rPr>
      </w:pPr>
      <w:r>
        <w:rPr>
          <w:rFonts w:hint="eastAsia" w:ascii="宋体" w:hAnsi="宋体" w:cs="宋体"/>
        </w:rPr>
        <w:t>22.1</w:t>
      </w:r>
      <w:r>
        <w:rPr>
          <w:rFonts w:hint="eastAsia" w:ascii="宋体" w:hAnsi="宋体" w:cs="宋体"/>
          <w:bCs/>
        </w:rPr>
        <w:t>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9"/>
        <w:widowControl/>
        <w:rPr>
          <w:rFonts w:ascii="宋体" w:hAnsi="宋体" w:cs="宋体"/>
          <w:bCs/>
        </w:rPr>
      </w:pPr>
      <w:r>
        <w:rPr>
          <w:rFonts w:hint="eastAsia" w:ascii="宋体" w:hAnsi="宋体" w:cs="宋体"/>
        </w:rPr>
        <w:t>22.2</w:t>
      </w:r>
      <w:r>
        <w:rPr>
          <w:rFonts w:hint="eastAsia" w:ascii="宋体" w:hAnsi="宋体" w:cs="宋体"/>
          <w:bCs/>
        </w:rPr>
        <w:t>按照规定同意撤回的投标将不予开封。</w:t>
      </w:r>
    </w:p>
    <w:p>
      <w:pPr>
        <w:pStyle w:val="29"/>
        <w:widowControl/>
        <w:rPr>
          <w:rFonts w:ascii="宋体" w:hAnsi="宋体" w:cs="宋体"/>
        </w:rPr>
      </w:pPr>
      <w:r>
        <w:rPr>
          <w:rFonts w:hint="eastAsia" w:ascii="宋体" w:hAnsi="宋体" w:cs="宋体"/>
        </w:rPr>
        <w:t>22.3开标时由投标人推选的代表查验投标文件密封情况，确认无误后，采购人当众拆封宣读每份投标文件中“开标一览表”的内容，未列入开标一览表的内容一律不在开标时宣读。</w:t>
      </w:r>
    </w:p>
    <w:p>
      <w:pPr>
        <w:pStyle w:val="29"/>
        <w:widowControl/>
        <w:rPr>
          <w:rFonts w:ascii="宋体" w:hAnsi="宋体" w:cs="宋体"/>
        </w:rPr>
      </w:pPr>
      <w:r>
        <w:rPr>
          <w:rFonts w:hint="eastAsia" w:ascii="宋体" w:hAnsi="宋体" w:cs="宋体"/>
        </w:rPr>
        <w:t>22.4采购人将指定专人负责开标记录并存档备查，各投标人需仔细核对开标记录相关内容并签字确认。</w:t>
      </w:r>
    </w:p>
    <w:p>
      <w:pPr>
        <w:pStyle w:val="29"/>
        <w:widowControl/>
        <w:rPr>
          <w:rFonts w:ascii="宋体" w:hAnsi="宋体" w:cs="宋体"/>
        </w:rPr>
      </w:pPr>
      <w:r>
        <w:rPr>
          <w:rFonts w:hint="eastAsia" w:ascii="宋体" w:hAnsi="宋体" w:cs="宋体"/>
        </w:rPr>
        <w:t>22.5投标人在报价时不允许采用选择性报价，否则将被视为无效投标。</w:t>
      </w:r>
    </w:p>
    <w:p>
      <w:pPr>
        <w:pStyle w:val="29"/>
        <w:widowControl/>
        <w:rPr>
          <w:rFonts w:ascii="宋体" w:hAnsi="宋体" w:cs="宋体"/>
          <w:bCs/>
        </w:rPr>
      </w:pPr>
      <w:r>
        <w:rPr>
          <w:rFonts w:hint="eastAsia" w:ascii="宋体" w:hAnsi="宋体" w:cs="宋体"/>
          <w:bCs/>
        </w:rPr>
        <w:t>22.6投标截止时间结束后参加投标的投标供应商不足三家的，不得开标。</w:t>
      </w:r>
    </w:p>
    <w:p>
      <w:pPr>
        <w:pStyle w:val="29"/>
        <w:widowControl/>
        <w:rPr>
          <w:rFonts w:ascii="宋体" w:hAnsi="宋体" w:cs="宋体"/>
          <w:b/>
        </w:rPr>
      </w:pPr>
      <w:bookmarkStart w:id="126" w:name="_Toc16938547"/>
      <w:bookmarkStart w:id="127" w:name="_Toc20823303"/>
      <w:bookmarkStart w:id="128" w:name="_Toc513029231"/>
      <w:r>
        <w:rPr>
          <w:rFonts w:hint="eastAsia" w:ascii="宋体" w:hAnsi="宋体" w:cs="宋体"/>
          <w:b/>
        </w:rPr>
        <w:t>23、评标</w:t>
      </w:r>
    </w:p>
    <w:p>
      <w:pPr>
        <w:pStyle w:val="29"/>
        <w:widowControl/>
        <w:rPr>
          <w:rFonts w:ascii="宋体" w:hAnsi="宋体" w:cs="宋体"/>
          <w:b/>
        </w:rPr>
      </w:pPr>
      <w:r>
        <w:rPr>
          <w:rFonts w:hint="eastAsia" w:ascii="宋体" w:hAnsi="宋体" w:cs="宋体"/>
        </w:rPr>
        <w:t>23.1开标后，采购人将组织评标委员会（以下简称评委会）进行评标。</w:t>
      </w:r>
    </w:p>
    <w:p>
      <w:pPr>
        <w:pStyle w:val="29"/>
        <w:widowControl/>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9"/>
        <w:widowControl/>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26"/>
    <w:bookmarkEnd w:id="127"/>
    <w:bookmarkEnd w:id="128"/>
    <w:p>
      <w:pPr>
        <w:pStyle w:val="29"/>
        <w:widowControl/>
        <w:rPr>
          <w:rFonts w:ascii="宋体" w:hAnsi="宋体" w:cs="宋体"/>
          <w:b/>
        </w:rPr>
      </w:pPr>
      <w:bookmarkStart w:id="129" w:name="_Toc20823304"/>
      <w:bookmarkStart w:id="130" w:name="_Toc513029232"/>
      <w:bookmarkStart w:id="131" w:name="_Toc16938548"/>
      <w:r>
        <w:rPr>
          <w:rFonts w:hint="eastAsia" w:ascii="宋体" w:hAnsi="宋体" w:cs="宋体"/>
          <w:b/>
        </w:rPr>
        <w:t>24．投标的澄清</w:t>
      </w:r>
      <w:bookmarkEnd w:id="129"/>
      <w:bookmarkEnd w:id="130"/>
      <w:bookmarkEnd w:id="131"/>
    </w:p>
    <w:p>
      <w:pPr>
        <w:pStyle w:val="29"/>
        <w:widowControl/>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9"/>
        <w:widowControl/>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9"/>
        <w:widowControl/>
        <w:rPr>
          <w:rFonts w:ascii="宋体" w:hAnsi="宋体" w:cs="宋体"/>
        </w:rPr>
      </w:pPr>
      <w:r>
        <w:rPr>
          <w:rFonts w:hint="eastAsia" w:ascii="宋体" w:hAnsi="宋体" w:cs="宋体"/>
        </w:rPr>
        <w:t>24.3 接到评委会澄清要求的投标人如未按规定做出澄清，后果由投标人自行承担。</w:t>
      </w:r>
    </w:p>
    <w:p>
      <w:pPr>
        <w:pStyle w:val="29"/>
        <w:widowControl/>
        <w:rPr>
          <w:rFonts w:ascii="宋体" w:hAnsi="宋体" w:cs="宋体"/>
          <w:b/>
        </w:rPr>
      </w:pPr>
      <w:bookmarkStart w:id="132" w:name="_Toc513029234"/>
      <w:bookmarkStart w:id="133" w:name="_Toc20823306"/>
      <w:bookmarkStart w:id="134" w:name="_Toc16938550"/>
      <w:r>
        <w:rPr>
          <w:rFonts w:hint="eastAsia" w:ascii="宋体" w:hAnsi="宋体" w:cs="宋体"/>
          <w:b/>
        </w:rPr>
        <w:t>25、</w:t>
      </w:r>
      <w:bookmarkEnd w:id="132"/>
      <w:bookmarkEnd w:id="133"/>
      <w:bookmarkEnd w:id="134"/>
      <w:r>
        <w:rPr>
          <w:rFonts w:hint="eastAsia" w:ascii="宋体" w:hAnsi="宋体" w:cs="宋体"/>
          <w:b/>
        </w:rPr>
        <w:t>无效投标条款和废标条款</w:t>
      </w:r>
    </w:p>
    <w:p>
      <w:pPr>
        <w:pStyle w:val="29"/>
        <w:widowControl/>
        <w:rPr>
          <w:rFonts w:ascii="宋体" w:hAnsi="宋体" w:cs="宋体"/>
          <w:bCs/>
        </w:rPr>
      </w:pPr>
      <w:bookmarkStart w:id="135" w:name="_Toc20823307"/>
      <w:bookmarkStart w:id="136" w:name="_Toc16938551"/>
      <w:bookmarkStart w:id="137" w:name="_Toc513029235"/>
      <w:r>
        <w:rPr>
          <w:rFonts w:hint="eastAsia" w:ascii="宋体" w:hAnsi="宋体" w:cs="宋体"/>
          <w:bCs/>
        </w:rPr>
        <w:t>25.1无效投标条款</w:t>
      </w:r>
    </w:p>
    <w:p>
      <w:pPr>
        <w:pStyle w:val="29"/>
        <w:widowControl/>
        <w:rPr>
          <w:rFonts w:ascii="宋体" w:hAnsi="宋体" w:cs="宋体"/>
          <w:bCs/>
        </w:rPr>
      </w:pPr>
      <w:r>
        <w:rPr>
          <w:rFonts w:hint="eastAsia" w:ascii="宋体" w:hAnsi="宋体" w:cs="宋体"/>
          <w:bCs/>
        </w:rPr>
        <w:t>（1）未按要求交纳投标保证金的。</w:t>
      </w:r>
    </w:p>
    <w:p>
      <w:pPr>
        <w:pStyle w:val="29"/>
        <w:widowControl/>
        <w:rPr>
          <w:rFonts w:ascii="宋体" w:hAnsi="宋体" w:cs="宋体"/>
          <w:bCs/>
        </w:rPr>
      </w:pPr>
      <w:r>
        <w:rPr>
          <w:rFonts w:hint="eastAsia" w:ascii="宋体" w:hAnsi="宋体" w:cs="宋体"/>
          <w:bCs/>
        </w:rPr>
        <w:t>（2）未按照招标文件规定要求密封、签署、盖章的。</w:t>
      </w:r>
    </w:p>
    <w:p>
      <w:pPr>
        <w:pStyle w:val="29"/>
        <w:widowControl/>
        <w:rPr>
          <w:rFonts w:ascii="宋体" w:hAnsi="宋体" w:cs="宋体"/>
          <w:bCs/>
        </w:rPr>
      </w:pPr>
      <w:r>
        <w:rPr>
          <w:rFonts w:hint="eastAsia" w:ascii="宋体" w:hAnsi="宋体" w:cs="宋体"/>
          <w:bCs/>
        </w:rPr>
        <w:t>（3）投标人在报价时采用选择性报价的。</w:t>
      </w:r>
    </w:p>
    <w:p>
      <w:pPr>
        <w:pStyle w:val="29"/>
        <w:widowControl/>
        <w:rPr>
          <w:rFonts w:ascii="宋体" w:hAnsi="宋体" w:cs="宋体"/>
          <w:bCs/>
        </w:rPr>
      </w:pPr>
      <w:r>
        <w:rPr>
          <w:rFonts w:hint="eastAsia" w:ascii="宋体" w:hAnsi="宋体" w:cs="宋体"/>
          <w:bCs/>
        </w:rPr>
        <w:t>（4）投标人不具备招标文件中规定资格要求的。</w:t>
      </w:r>
    </w:p>
    <w:p>
      <w:pPr>
        <w:pStyle w:val="29"/>
        <w:widowControl/>
        <w:rPr>
          <w:rFonts w:ascii="宋体" w:hAnsi="宋体" w:cs="宋体"/>
          <w:bCs/>
        </w:rPr>
      </w:pPr>
      <w:r>
        <w:rPr>
          <w:rFonts w:hint="eastAsia" w:ascii="宋体" w:hAnsi="宋体" w:cs="宋体"/>
          <w:bCs/>
        </w:rPr>
        <w:t>（5）投标人的报价超过了采购预算或最高限价的。</w:t>
      </w:r>
    </w:p>
    <w:p>
      <w:pPr>
        <w:pStyle w:val="29"/>
        <w:widowControl/>
        <w:rPr>
          <w:rFonts w:ascii="宋体" w:hAnsi="宋体" w:cs="宋体"/>
          <w:bCs/>
          <w:i/>
          <w:u w:val="single"/>
        </w:rPr>
      </w:pPr>
      <w:r>
        <w:rPr>
          <w:rFonts w:hint="eastAsia" w:ascii="宋体" w:hAnsi="宋体" w:cs="宋体"/>
          <w:bCs/>
        </w:rPr>
        <w:t>（6）未通过符合性检查的。</w:t>
      </w:r>
    </w:p>
    <w:p>
      <w:pPr>
        <w:pStyle w:val="29"/>
        <w:widowControl/>
        <w:rPr>
          <w:rFonts w:ascii="宋体" w:hAnsi="宋体" w:cs="宋体"/>
          <w:bCs/>
          <w:i/>
          <w:u w:val="single"/>
        </w:rPr>
      </w:pPr>
      <w:r>
        <w:rPr>
          <w:rFonts w:hint="eastAsia" w:ascii="宋体" w:hAnsi="宋体" w:cs="宋体"/>
          <w:bCs/>
        </w:rPr>
        <w:t>（7）不符合招标文件中规定的其他实质性要求和条件的。</w:t>
      </w:r>
    </w:p>
    <w:p>
      <w:pPr>
        <w:pStyle w:val="29"/>
        <w:widowControl/>
        <w:rPr>
          <w:rFonts w:ascii="宋体" w:hAnsi="宋体" w:cs="宋体"/>
          <w:bCs/>
        </w:rPr>
      </w:pPr>
      <w:r>
        <w:rPr>
          <w:rFonts w:hint="eastAsia" w:ascii="宋体" w:hAnsi="宋体" w:cs="宋体"/>
          <w:bCs/>
        </w:rPr>
        <w:t>（8）投标人被“信用中国”网站（www.creditchina.gov.cn）列入失信被执行人或重大税收违法案件当事人名单或政府采购严重失信行为记录名单。</w:t>
      </w:r>
    </w:p>
    <w:p>
      <w:pPr>
        <w:pStyle w:val="29"/>
        <w:widowControl/>
        <w:rPr>
          <w:rFonts w:ascii="宋体" w:hAnsi="宋体" w:cs="宋体"/>
          <w:bCs/>
        </w:rPr>
      </w:pPr>
      <w:r>
        <w:rPr>
          <w:rFonts w:hint="eastAsia" w:ascii="宋体" w:hAnsi="宋体" w:cs="宋体"/>
          <w:bCs/>
        </w:rPr>
        <w:t>（9）投标文件含有采购人不能接受的附加条件的。</w:t>
      </w:r>
    </w:p>
    <w:p>
      <w:pPr>
        <w:pStyle w:val="29"/>
        <w:widowControl/>
        <w:rPr>
          <w:rFonts w:ascii="宋体" w:hAnsi="宋体" w:cs="宋体"/>
          <w:bCs/>
        </w:rPr>
      </w:pPr>
      <w:r>
        <w:rPr>
          <w:rFonts w:hint="eastAsia" w:ascii="宋体" w:hAnsi="宋体" w:cs="宋体"/>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widowControl/>
        <w:rPr>
          <w:rFonts w:ascii="宋体" w:hAnsi="宋体" w:cs="宋体"/>
          <w:bCs/>
        </w:rPr>
      </w:pPr>
      <w:r>
        <w:rPr>
          <w:rFonts w:hint="eastAsia" w:ascii="宋体" w:hAnsi="宋体" w:cs="宋体"/>
          <w:bCs/>
        </w:rPr>
        <w:t>（11）其他法律、法规及本招标文件规定的属无效投标的情形。</w:t>
      </w:r>
    </w:p>
    <w:p>
      <w:pPr>
        <w:pStyle w:val="29"/>
        <w:widowControl/>
        <w:rPr>
          <w:rFonts w:ascii="宋体" w:hAnsi="宋体" w:cs="宋体"/>
          <w:bCs/>
        </w:rPr>
      </w:pPr>
      <w:r>
        <w:rPr>
          <w:rFonts w:hint="eastAsia" w:ascii="宋体" w:hAnsi="宋体" w:cs="宋体"/>
          <w:bCs/>
        </w:rPr>
        <w:t>25.2废标条款：</w:t>
      </w:r>
    </w:p>
    <w:p>
      <w:pPr>
        <w:pStyle w:val="29"/>
        <w:widowControl/>
        <w:rPr>
          <w:rFonts w:ascii="宋体" w:hAnsi="宋体" w:cs="宋体"/>
          <w:bCs/>
        </w:rPr>
      </w:pPr>
      <w:r>
        <w:rPr>
          <w:rFonts w:hint="eastAsia" w:ascii="宋体" w:hAnsi="宋体" w:cs="宋体"/>
          <w:bCs/>
        </w:rPr>
        <w:t>（1）符合专业条件的投标供应商或者对招标文件作实质响应的投标供应商不足三家的。</w:t>
      </w:r>
    </w:p>
    <w:p>
      <w:pPr>
        <w:pStyle w:val="29"/>
        <w:widowControl/>
        <w:rPr>
          <w:rFonts w:ascii="宋体" w:hAnsi="宋体" w:cs="宋体"/>
          <w:bCs/>
        </w:rPr>
      </w:pPr>
      <w:r>
        <w:rPr>
          <w:rFonts w:hint="eastAsia" w:ascii="宋体" w:hAnsi="宋体" w:cs="宋体"/>
          <w:bCs/>
        </w:rPr>
        <w:t>（2）出现影响采购公正的违法、违规行为的。</w:t>
      </w:r>
    </w:p>
    <w:p>
      <w:pPr>
        <w:pStyle w:val="29"/>
        <w:widowControl/>
        <w:rPr>
          <w:rFonts w:ascii="宋体" w:hAnsi="宋体" w:cs="宋体"/>
          <w:bCs/>
        </w:rPr>
      </w:pPr>
      <w:r>
        <w:rPr>
          <w:rFonts w:hint="eastAsia" w:ascii="宋体" w:hAnsi="宋体" w:cs="宋体"/>
          <w:bCs/>
        </w:rPr>
        <w:t>（3）因重大变故，采购任务取消的。</w:t>
      </w:r>
    </w:p>
    <w:p>
      <w:pPr>
        <w:pStyle w:val="29"/>
        <w:widowControl/>
        <w:rPr>
          <w:rFonts w:ascii="宋体" w:hAnsi="宋体" w:cs="宋体"/>
          <w:bCs/>
        </w:rPr>
      </w:pPr>
      <w:r>
        <w:rPr>
          <w:rFonts w:hint="eastAsia" w:ascii="宋体" w:hAnsi="宋体" w:cs="宋体"/>
          <w:bCs/>
        </w:rPr>
        <w:t>（4）评标委员会认定招标文件存在歧义、重大缺陷导致评审工作无法进行的。</w:t>
      </w:r>
    </w:p>
    <w:p>
      <w:pPr>
        <w:pStyle w:val="29"/>
        <w:widowControl/>
        <w:rPr>
          <w:rFonts w:ascii="宋体" w:hAnsi="宋体" w:cs="宋体"/>
          <w:b/>
        </w:rPr>
      </w:pPr>
      <w:bookmarkStart w:id="138" w:name="_Toc120614219"/>
      <w:bookmarkStart w:id="139" w:name="_Toc517190887"/>
      <w:r>
        <w:rPr>
          <w:rFonts w:hint="eastAsia" w:ascii="宋体" w:hAnsi="宋体" w:cs="宋体"/>
          <w:b/>
        </w:rPr>
        <w:t>六、</w:t>
      </w:r>
      <w:bookmarkEnd w:id="135"/>
      <w:bookmarkEnd w:id="136"/>
      <w:bookmarkEnd w:id="137"/>
      <w:r>
        <w:rPr>
          <w:rFonts w:hint="eastAsia" w:ascii="宋体" w:hAnsi="宋体" w:cs="宋体"/>
          <w:b/>
        </w:rPr>
        <w:t>定标</w:t>
      </w:r>
      <w:bookmarkEnd w:id="138"/>
      <w:bookmarkEnd w:id="139"/>
    </w:p>
    <w:p>
      <w:pPr>
        <w:pStyle w:val="29"/>
        <w:widowControl/>
        <w:rPr>
          <w:rFonts w:ascii="宋体" w:hAnsi="宋体" w:cs="宋体"/>
          <w:b/>
        </w:rPr>
      </w:pPr>
      <w:bookmarkStart w:id="140" w:name="_Toc513029238"/>
      <w:bookmarkStart w:id="141" w:name="_Toc16938554"/>
      <w:bookmarkStart w:id="142" w:name="_Toc20823310"/>
      <w:r>
        <w:rPr>
          <w:rFonts w:hint="eastAsia" w:ascii="宋体" w:hAnsi="宋体" w:cs="宋体"/>
          <w:b/>
        </w:rPr>
        <w:t>26、</w:t>
      </w:r>
      <w:bookmarkEnd w:id="140"/>
      <w:r>
        <w:rPr>
          <w:rFonts w:hint="eastAsia" w:ascii="宋体" w:hAnsi="宋体" w:cs="宋体"/>
          <w:b/>
        </w:rPr>
        <w:t>确定</w:t>
      </w:r>
      <w:bookmarkEnd w:id="141"/>
      <w:bookmarkEnd w:id="142"/>
      <w:r>
        <w:rPr>
          <w:rFonts w:hint="eastAsia" w:ascii="宋体" w:hAnsi="宋体" w:cs="宋体"/>
          <w:b/>
        </w:rPr>
        <w:t>中标单位</w:t>
      </w:r>
    </w:p>
    <w:p>
      <w:pPr>
        <w:pStyle w:val="29"/>
        <w:widowControl/>
        <w:rPr>
          <w:rFonts w:ascii="宋体" w:hAnsi="宋体" w:cs="宋体"/>
          <w:bCs/>
        </w:rPr>
      </w:pPr>
      <w:r>
        <w:rPr>
          <w:rFonts w:hint="eastAsia" w:ascii="宋体" w:hAnsi="宋体" w:cs="宋体"/>
          <w:bCs/>
        </w:rPr>
        <w:t>26.1评委会根据本招标文件规定评分办法与评分标准确定中标人；</w:t>
      </w:r>
    </w:p>
    <w:p>
      <w:pPr>
        <w:pStyle w:val="29"/>
        <w:widowControl/>
        <w:rPr>
          <w:rFonts w:ascii="宋体" w:hAnsi="宋体" w:cs="宋体"/>
        </w:rPr>
      </w:pPr>
      <w:r>
        <w:rPr>
          <w:rFonts w:hint="eastAsia" w:ascii="宋体" w:hAnsi="宋体" w:cs="宋体"/>
          <w:bCs/>
        </w:rPr>
        <w:t>26.2</w:t>
      </w:r>
      <w:r>
        <w:rPr>
          <w:rFonts w:hint="eastAsia" w:ascii="宋体" w:hAnsi="宋体" w:cs="宋体"/>
        </w:rPr>
        <w:t>采购人将在“南京医科大学校园网”发布中标公告，公告期限为1个工作日。</w:t>
      </w:r>
    </w:p>
    <w:p>
      <w:pPr>
        <w:pStyle w:val="29"/>
        <w:widowControl/>
        <w:rPr>
          <w:rFonts w:ascii="宋体" w:hAnsi="宋体" w:cs="宋体"/>
        </w:rPr>
      </w:pPr>
      <w:r>
        <w:rPr>
          <w:rFonts w:hint="eastAsia" w:ascii="宋体" w:hAnsi="宋体" w:cs="宋体"/>
        </w:rPr>
        <w:t>2</w:t>
      </w:r>
      <w:bookmarkStart w:id="143" w:name="OLE_LINK6"/>
      <w:bookmarkStart w:id="144" w:name="OLE_LINK7"/>
      <w:bookmarkStart w:id="145" w:name="OLE_LINK3"/>
      <w:bookmarkStart w:id="146" w:name="OLE_LINK4"/>
      <w:bookmarkStart w:id="147" w:name="OLE_LINK5"/>
      <w:bookmarkStart w:id="148" w:name="OLE_LINK8"/>
      <w:r>
        <w:rPr>
          <w:rFonts w:hint="eastAsia" w:ascii="宋体" w:hAnsi="宋体" w:cs="宋体"/>
        </w:rPr>
        <w:t>6.3</w:t>
      </w:r>
      <w:bookmarkEnd w:id="143"/>
      <w:bookmarkEnd w:id="144"/>
      <w:bookmarkEnd w:id="145"/>
      <w:bookmarkEnd w:id="146"/>
      <w:bookmarkEnd w:id="147"/>
      <w:bookmarkEnd w:id="148"/>
      <w:r>
        <w:rPr>
          <w:rFonts w:hint="eastAsia" w:ascii="宋体" w:hAnsi="宋体" w:cs="宋体"/>
        </w:rPr>
        <w:t>若有充分证据证明，中标人出现下列情况之一的，一经查实，将被取消中标资格：</w:t>
      </w:r>
    </w:p>
    <w:p>
      <w:pPr>
        <w:pStyle w:val="29"/>
        <w:widowControl/>
        <w:rPr>
          <w:rFonts w:ascii="宋体" w:hAnsi="宋体" w:cs="宋体"/>
        </w:rPr>
      </w:pPr>
      <w:r>
        <w:rPr>
          <w:rFonts w:hint="eastAsia" w:ascii="宋体" w:hAnsi="宋体" w:cs="宋体"/>
        </w:rPr>
        <w:t>（1）提供虚假材料谋取中标的；</w:t>
      </w:r>
    </w:p>
    <w:p>
      <w:pPr>
        <w:pStyle w:val="29"/>
        <w:widowControl/>
        <w:rPr>
          <w:rFonts w:ascii="宋体" w:hAnsi="宋体" w:cs="宋体"/>
        </w:rPr>
      </w:pPr>
      <w:r>
        <w:rPr>
          <w:rFonts w:hint="eastAsia" w:ascii="宋体" w:hAnsi="宋体" w:cs="宋体"/>
        </w:rPr>
        <w:t>（2）向采购人、评审专家行贿或者提供其他不正当利益的；</w:t>
      </w:r>
    </w:p>
    <w:p>
      <w:pPr>
        <w:pStyle w:val="29"/>
        <w:widowControl/>
        <w:rPr>
          <w:rFonts w:ascii="宋体" w:hAnsi="宋体" w:cs="宋体"/>
        </w:rPr>
      </w:pPr>
      <w:r>
        <w:rPr>
          <w:rFonts w:hint="eastAsia" w:ascii="宋体" w:hAnsi="宋体" w:cs="宋体"/>
        </w:rPr>
        <w:t>（3）恶意竞争，投标总报价明显低于其自身合理成本且又无法提供证明的；</w:t>
      </w:r>
    </w:p>
    <w:p>
      <w:pPr>
        <w:pStyle w:val="29"/>
        <w:widowControl/>
        <w:rPr>
          <w:rFonts w:ascii="宋体" w:hAnsi="宋体" w:cs="宋体"/>
        </w:rPr>
      </w:pPr>
      <w:r>
        <w:rPr>
          <w:rFonts w:hint="eastAsia" w:ascii="宋体" w:hAnsi="宋体" w:cs="宋体"/>
        </w:rPr>
        <w:t>（4）属于本文件规定的无效条件，但在评标过程中又未被评委会发现的；</w:t>
      </w:r>
    </w:p>
    <w:p>
      <w:pPr>
        <w:pStyle w:val="29"/>
        <w:widowControl/>
        <w:rPr>
          <w:rFonts w:ascii="宋体" w:hAnsi="宋体" w:cs="宋体"/>
        </w:rPr>
      </w:pPr>
      <w:r>
        <w:rPr>
          <w:rFonts w:hint="eastAsia" w:ascii="宋体" w:hAnsi="宋体" w:cs="宋体"/>
        </w:rPr>
        <w:t>（5）与采购人或者其他投标供应商恶意串通的；</w:t>
      </w:r>
    </w:p>
    <w:p>
      <w:pPr>
        <w:pStyle w:val="29"/>
        <w:widowControl/>
        <w:rPr>
          <w:rFonts w:ascii="宋体" w:hAnsi="宋体" w:cs="宋体"/>
        </w:rPr>
      </w:pPr>
      <w:r>
        <w:rPr>
          <w:rFonts w:hint="eastAsia" w:ascii="宋体" w:hAnsi="宋体" w:cs="宋体"/>
        </w:rPr>
        <w:t>（6）采取不正当手段诋毁、排挤其他投标供应商的；</w:t>
      </w:r>
    </w:p>
    <w:p>
      <w:pPr>
        <w:pStyle w:val="29"/>
        <w:widowControl/>
        <w:rPr>
          <w:rFonts w:ascii="宋体" w:hAnsi="宋体" w:cs="宋体"/>
        </w:rPr>
      </w:pPr>
      <w:r>
        <w:rPr>
          <w:rFonts w:hint="eastAsia" w:ascii="宋体" w:hAnsi="宋体" w:cs="宋体"/>
        </w:rPr>
        <w:t>（7）不符合法律、法规的规定的。</w:t>
      </w:r>
      <w:bookmarkStart w:id="149" w:name="_Toc200451960"/>
    </w:p>
    <w:p>
      <w:pPr>
        <w:pStyle w:val="29"/>
        <w:widowControl/>
        <w:rPr>
          <w:rFonts w:ascii="宋体" w:hAnsi="宋体" w:cs="宋体"/>
        </w:rPr>
      </w:pPr>
      <w:r>
        <w:rPr>
          <w:rFonts w:hint="eastAsia" w:ascii="宋体" w:hAnsi="宋体" w:cs="宋体"/>
        </w:rPr>
        <w:t>26.4有下列情形之一的，视为投标人串通投标，投标无效：</w:t>
      </w:r>
    </w:p>
    <w:p>
      <w:pPr>
        <w:pStyle w:val="29"/>
        <w:widowControl/>
        <w:rPr>
          <w:rFonts w:ascii="宋体" w:hAnsi="宋体" w:cs="宋体"/>
        </w:rPr>
      </w:pPr>
      <w:r>
        <w:rPr>
          <w:rFonts w:hint="eastAsia" w:ascii="宋体" w:hAnsi="宋体" w:cs="宋体"/>
        </w:rPr>
        <w:t>（1）不同投标人的投标文件由同一单位或者个人编制；</w:t>
      </w:r>
    </w:p>
    <w:p>
      <w:pPr>
        <w:pStyle w:val="29"/>
        <w:widowControl/>
        <w:rPr>
          <w:rFonts w:ascii="宋体" w:hAnsi="宋体" w:cs="宋体"/>
        </w:rPr>
      </w:pPr>
      <w:r>
        <w:rPr>
          <w:rFonts w:hint="eastAsia" w:ascii="宋体" w:hAnsi="宋体" w:cs="宋体"/>
        </w:rPr>
        <w:t>（2）不同投标人委托同一单位或者个人办理投标事宜；</w:t>
      </w:r>
    </w:p>
    <w:p>
      <w:pPr>
        <w:pStyle w:val="29"/>
        <w:widowControl/>
        <w:rPr>
          <w:rFonts w:ascii="宋体" w:hAnsi="宋体" w:cs="宋体"/>
        </w:rPr>
      </w:pPr>
      <w:r>
        <w:rPr>
          <w:rFonts w:hint="eastAsia" w:ascii="宋体" w:hAnsi="宋体" w:cs="宋体"/>
        </w:rPr>
        <w:t>（3）不同投标人的投标文件载明的项目管理成员或者联系人员为同一人；</w:t>
      </w:r>
    </w:p>
    <w:p>
      <w:pPr>
        <w:pStyle w:val="29"/>
        <w:widowControl/>
        <w:rPr>
          <w:rFonts w:ascii="宋体" w:hAnsi="宋体" w:cs="宋体"/>
        </w:rPr>
      </w:pPr>
      <w:r>
        <w:rPr>
          <w:rFonts w:hint="eastAsia" w:ascii="宋体" w:hAnsi="宋体" w:cs="宋体"/>
        </w:rPr>
        <w:t>（4）不同投标人的投标文件异常一致或者投标报价呈规律性差异；</w:t>
      </w:r>
    </w:p>
    <w:p>
      <w:pPr>
        <w:pStyle w:val="29"/>
        <w:widowControl/>
        <w:rPr>
          <w:rFonts w:ascii="宋体" w:hAnsi="宋体" w:cs="宋体"/>
        </w:rPr>
      </w:pPr>
      <w:r>
        <w:rPr>
          <w:rFonts w:hint="eastAsia" w:ascii="宋体" w:hAnsi="宋体" w:cs="宋体"/>
        </w:rPr>
        <w:t>（5）不同投标人的投标文件相互混装；</w:t>
      </w:r>
    </w:p>
    <w:p>
      <w:pPr>
        <w:pStyle w:val="29"/>
        <w:widowControl/>
        <w:rPr>
          <w:rFonts w:ascii="宋体" w:hAnsi="宋体" w:cs="宋体"/>
        </w:rPr>
      </w:pPr>
      <w:r>
        <w:rPr>
          <w:rFonts w:hint="eastAsia" w:ascii="宋体" w:hAnsi="宋体" w:cs="宋体"/>
        </w:rPr>
        <w:t>（6）不同投标人的投标保证金从同一单位或者个人的账户转出。</w:t>
      </w:r>
    </w:p>
    <w:p>
      <w:pPr>
        <w:pStyle w:val="29"/>
        <w:widowControl/>
        <w:rPr>
          <w:rFonts w:ascii="宋体" w:hAnsi="宋体" w:cs="宋体"/>
          <w:b/>
        </w:rPr>
      </w:pPr>
      <w:r>
        <w:rPr>
          <w:rFonts w:hint="eastAsia" w:ascii="宋体" w:hAnsi="宋体" w:cs="宋体"/>
          <w:b/>
        </w:rPr>
        <w:t>27、质疑处理</w:t>
      </w:r>
      <w:bookmarkEnd w:id="149"/>
    </w:p>
    <w:p>
      <w:pPr>
        <w:pStyle w:val="29"/>
        <w:widowControl/>
        <w:rPr>
          <w:rFonts w:ascii="宋体" w:hAnsi="宋体" w:cs="宋体"/>
        </w:rPr>
      </w:pPr>
      <w:r>
        <w:rPr>
          <w:rFonts w:hint="eastAsia" w:ascii="宋体" w:hAnsi="宋体" w:cs="宋体"/>
        </w:rPr>
        <w:t>投标供应商认为采购文件、采购过程和采购结果使自己的权益受到损害的，可以在知道或应知其权益受到损害之日起七个工作日内，以书面形式向采购人提出质疑。</w:t>
      </w:r>
    </w:p>
    <w:p>
      <w:pPr>
        <w:pStyle w:val="29"/>
        <w:widowControl/>
        <w:rPr>
          <w:rFonts w:ascii="宋体" w:hAnsi="宋体" w:cs="宋体"/>
          <w:b/>
        </w:rPr>
      </w:pPr>
      <w:r>
        <w:rPr>
          <w:rFonts w:hint="eastAsia" w:ascii="宋体" w:hAnsi="宋体" w:cs="宋体"/>
          <w:b/>
        </w:rPr>
        <w:t>28、中标通知书</w:t>
      </w:r>
    </w:p>
    <w:p>
      <w:pPr>
        <w:pStyle w:val="29"/>
        <w:widowControl/>
        <w:rPr>
          <w:rFonts w:ascii="宋体" w:hAnsi="宋体" w:cs="宋体"/>
        </w:rPr>
      </w:pPr>
      <w:r>
        <w:rPr>
          <w:rFonts w:hint="eastAsia" w:ascii="宋体" w:hAnsi="宋体" w:cs="宋体"/>
        </w:rPr>
        <w:t>28.1中标结果确定后，采购人将向中标投标供应商发出中标通知书。</w:t>
      </w:r>
    </w:p>
    <w:p>
      <w:pPr>
        <w:pStyle w:val="29"/>
        <w:widowControl/>
        <w:rPr>
          <w:rFonts w:ascii="宋体" w:hAnsi="宋体" w:cs="宋体"/>
        </w:rPr>
      </w:pPr>
      <w:r>
        <w:rPr>
          <w:rFonts w:hint="eastAsia" w:ascii="宋体" w:hAnsi="宋体" w:cs="宋体"/>
        </w:rPr>
        <w:t>28.2中标通知书将是合同的一个组成部分。对采购人和中标投标供应商均具有法律效力。中标通知书发出后，采购人改变中标结果的，或者中标投标供应商放弃中标项目的，应当依法承担法律责任。</w:t>
      </w:r>
    </w:p>
    <w:p>
      <w:pPr>
        <w:pStyle w:val="29"/>
        <w:widowControl/>
        <w:rPr>
          <w:rFonts w:ascii="宋体" w:hAnsi="宋体" w:cs="宋体"/>
          <w:b/>
        </w:rPr>
      </w:pPr>
      <w:bookmarkStart w:id="150" w:name="_Toc517190888"/>
      <w:bookmarkStart w:id="151" w:name="_Toc120614220"/>
      <w:bookmarkStart w:id="152" w:name="_Toc20823308"/>
      <w:bookmarkStart w:id="153" w:name="_Toc513029236"/>
      <w:bookmarkStart w:id="154" w:name="_Toc16938552"/>
      <w:r>
        <w:rPr>
          <w:rFonts w:hint="eastAsia" w:ascii="宋体" w:hAnsi="宋体" w:cs="宋体"/>
          <w:b/>
        </w:rPr>
        <w:t>七、授予合同</w:t>
      </w:r>
      <w:bookmarkEnd w:id="150"/>
      <w:bookmarkEnd w:id="151"/>
    </w:p>
    <w:bookmarkEnd w:id="152"/>
    <w:bookmarkEnd w:id="153"/>
    <w:bookmarkEnd w:id="154"/>
    <w:p>
      <w:pPr>
        <w:pStyle w:val="29"/>
        <w:widowControl/>
        <w:rPr>
          <w:rFonts w:ascii="宋体" w:hAnsi="宋体" w:cs="宋体"/>
          <w:b/>
        </w:rPr>
      </w:pPr>
      <w:bookmarkStart w:id="155" w:name="_Toc513029237"/>
      <w:bookmarkStart w:id="156" w:name="_Toc20823309"/>
      <w:bookmarkStart w:id="157" w:name="_Toc16938553"/>
      <w:r>
        <w:rPr>
          <w:rFonts w:hint="eastAsia" w:ascii="宋体" w:hAnsi="宋体" w:cs="宋体"/>
          <w:b/>
        </w:rPr>
        <w:t>29. 签订合同</w:t>
      </w:r>
    </w:p>
    <w:p>
      <w:pPr>
        <w:pStyle w:val="29"/>
        <w:widowControl/>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9"/>
        <w:widowControl/>
        <w:rPr>
          <w:rFonts w:ascii="宋体" w:hAnsi="宋体" w:cs="宋体"/>
        </w:rPr>
      </w:pPr>
      <w:r>
        <w:rPr>
          <w:rFonts w:hint="eastAsia" w:ascii="宋体" w:hAnsi="宋体" w:cs="宋体"/>
        </w:rPr>
        <w:t>29.2招标文件、中标人的投标文件及招标过程中有关澄清、承诺文件均应作为合同附件。</w:t>
      </w:r>
    </w:p>
    <w:p>
      <w:pPr>
        <w:pStyle w:val="29"/>
        <w:widowControl/>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55"/>
    <w:bookmarkEnd w:id="156"/>
    <w:bookmarkEnd w:id="157"/>
    <w:p>
      <w:pPr>
        <w:pStyle w:val="29"/>
        <w:widowControl/>
        <w:rPr>
          <w:rFonts w:ascii="宋体" w:hAnsi="宋体" w:cs="宋体"/>
          <w:b/>
        </w:rPr>
      </w:pPr>
      <w:bookmarkStart w:id="158" w:name="_Toc517190889"/>
      <w:r>
        <w:rPr>
          <w:rFonts w:hint="eastAsia" w:ascii="宋体" w:hAnsi="宋体" w:cs="宋体"/>
          <w:b/>
        </w:rPr>
        <w:t>八、其他</w:t>
      </w:r>
      <w:bookmarkEnd w:id="158"/>
    </w:p>
    <w:p>
      <w:pPr>
        <w:pStyle w:val="29"/>
        <w:widowControl/>
        <w:rPr>
          <w:rFonts w:ascii="宋体" w:hAnsi="宋体" w:cs="宋体"/>
          <w:b/>
        </w:rPr>
      </w:pPr>
      <w:r>
        <w:rPr>
          <w:rFonts w:hint="eastAsia" w:ascii="宋体" w:hAnsi="宋体" w:cs="宋体"/>
          <w:b/>
        </w:rPr>
        <w:t>30、样品</w:t>
      </w:r>
    </w:p>
    <w:p>
      <w:pPr>
        <w:pStyle w:val="29"/>
        <w:widowControl/>
        <w:rPr>
          <w:rFonts w:ascii="宋体" w:hAnsi="宋体" w:cs="宋体"/>
          <w:bCs/>
        </w:rPr>
      </w:pPr>
      <w:r>
        <w:rPr>
          <w:rFonts w:hint="eastAsia" w:ascii="宋体" w:hAnsi="宋体" w:cs="宋体"/>
          <w:bCs/>
        </w:rPr>
        <w:t>项目要求提供样品的，中标人的样品由采购人负责保管、封存，并作为履约验收的参考，未中标人的样品将及时退还。</w:t>
      </w:r>
    </w:p>
    <w:p>
      <w:pPr>
        <w:pStyle w:val="29"/>
        <w:widowControl/>
        <w:rPr>
          <w:rFonts w:ascii="宋体" w:hAnsi="宋体" w:cs="宋体"/>
        </w:rPr>
      </w:pPr>
      <w:r>
        <w:rPr>
          <w:rFonts w:hint="eastAsia" w:ascii="宋体" w:hAnsi="宋体" w:cs="宋体"/>
          <w:bCs/>
        </w:rPr>
        <w:t>未中标人自通知之日起一个月内未撤回样品，采购人可自行处理，后果自负。</w:t>
      </w:r>
    </w:p>
    <w:p>
      <w:pPr>
        <w:pStyle w:val="3"/>
        <w:keepNext w:val="0"/>
        <w:pageBreakBefore/>
        <w:rPr>
          <w:rFonts w:ascii="宋体" w:hAnsi="宋体" w:eastAsia="宋体" w:cs="宋体"/>
          <w:b/>
          <w:sz w:val="44"/>
          <w:szCs w:val="44"/>
        </w:rPr>
      </w:pPr>
      <w:bookmarkStart w:id="159" w:name="_Toc136003450"/>
      <w:r>
        <w:rPr>
          <w:rFonts w:hint="eastAsia" w:ascii="宋体" w:hAnsi="宋体" w:eastAsia="宋体" w:cs="宋体"/>
          <w:b/>
          <w:sz w:val="44"/>
          <w:szCs w:val="44"/>
        </w:rPr>
        <w:t>第三章   项目需求</w:t>
      </w:r>
      <w:bookmarkEnd w:id="159"/>
    </w:p>
    <w:p>
      <w:pPr>
        <w:pStyle w:val="29"/>
        <w:numPr>
          <w:ilvl w:val="0"/>
          <w:numId w:val="2"/>
        </w:numPr>
        <w:tabs>
          <w:tab w:val="left" w:pos="312"/>
        </w:tabs>
        <w:rPr>
          <w:rFonts w:ascii="宋体" w:hAnsi="宋体"/>
          <w:b/>
          <w:bCs/>
          <w:sz w:val="28"/>
          <w:szCs w:val="28"/>
        </w:rPr>
      </w:pPr>
      <w:r>
        <w:rPr>
          <w:rFonts w:hint="eastAsia" w:ascii="宋体" w:hAnsi="宋体"/>
          <w:b/>
          <w:bCs/>
          <w:sz w:val="28"/>
          <w:szCs w:val="28"/>
        </w:rPr>
        <w:t>参数需求</w:t>
      </w:r>
    </w:p>
    <w:tbl>
      <w:tblPr>
        <w:tblStyle w:val="24"/>
        <w:tblpPr w:leftFromText="180" w:rightFromText="180" w:vertAnchor="text" w:horzAnchor="page" w:tblpX="1524" w:tblpY="298"/>
        <w:tblOverlap w:val="never"/>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5244"/>
        <w:gridCol w:w="731"/>
        <w:gridCol w:w="600"/>
        <w:gridCol w:w="663"/>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423" w:type="dxa"/>
            <w:gridSpan w:val="7"/>
            <w:vAlign w:val="center"/>
          </w:tcPr>
          <w:p>
            <w:pPr>
              <w:rPr>
                <w:rFonts w:ascii="宋体" w:hAnsi="宋体" w:eastAsia="宋体"/>
                <w:sz w:val="18"/>
                <w:szCs w:val="18"/>
              </w:rPr>
            </w:pPr>
            <w:r>
              <w:rPr>
                <w:rFonts w:hint="eastAsia" w:ascii="宋体" w:hAnsi="宋体" w:eastAsia="宋体"/>
                <w:sz w:val="18"/>
                <w:szCs w:val="18"/>
              </w:rPr>
              <w:t>一、LED显示部分及音响部分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序号</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名称</w:t>
            </w:r>
          </w:p>
        </w:tc>
        <w:tc>
          <w:tcPr>
            <w:tcW w:w="5244" w:type="dxa"/>
            <w:vAlign w:val="center"/>
          </w:tcPr>
          <w:p>
            <w:pPr>
              <w:jc w:val="center"/>
              <w:rPr>
                <w:rFonts w:ascii="宋体" w:hAnsi="宋体" w:eastAsia="宋体"/>
                <w:sz w:val="18"/>
                <w:szCs w:val="18"/>
              </w:rPr>
            </w:pPr>
            <w:r>
              <w:rPr>
                <w:rFonts w:hint="eastAsia" w:ascii="宋体" w:hAnsi="宋体" w:eastAsia="宋体"/>
                <w:sz w:val="18"/>
                <w:szCs w:val="18"/>
              </w:rPr>
              <w:t>技术参数要求</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数量</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单位</w:t>
            </w:r>
          </w:p>
        </w:tc>
        <w:tc>
          <w:tcPr>
            <w:tcW w:w="663" w:type="dxa"/>
            <w:vAlign w:val="center"/>
          </w:tcPr>
          <w:p>
            <w:pPr>
              <w:jc w:val="center"/>
              <w:rPr>
                <w:rFonts w:ascii="宋体" w:hAnsi="宋体" w:eastAsia="宋体"/>
                <w:sz w:val="18"/>
                <w:szCs w:val="18"/>
              </w:rPr>
            </w:pPr>
            <w:r>
              <w:rPr>
                <w:rFonts w:hint="eastAsia" w:ascii="宋体" w:hAnsi="宋体" w:eastAsia="宋体"/>
                <w:sz w:val="18"/>
                <w:szCs w:val="18"/>
              </w:rPr>
              <w:t>单价</w:t>
            </w:r>
          </w:p>
        </w:tc>
        <w:tc>
          <w:tcPr>
            <w:tcW w:w="625" w:type="dxa"/>
            <w:vAlign w:val="center"/>
          </w:tcPr>
          <w:p>
            <w:pPr>
              <w:jc w:val="center"/>
              <w:rPr>
                <w:rFonts w:ascii="宋体" w:hAnsi="宋体" w:eastAsia="宋体"/>
                <w:sz w:val="18"/>
                <w:szCs w:val="18"/>
              </w:rPr>
            </w:pPr>
            <w:r>
              <w:rPr>
                <w:rFonts w:hint="eastAsia" w:ascii="宋体" w:hAnsi="宋体" w:eastAsia="宋体"/>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1</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LED显示屏体</w:t>
            </w:r>
          </w:p>
        </w:tc>
        <w:tc>
          <w:tcPr>
            <w:tcW w:w="5244" w:type="dxa"/>
            <w:vAlign w:val="center"/>
          </w:tcPr>
          <w:p>
            <w:pPr>
              <w:pStyle w:val="32"/>
              <w:ind w:firstLine="0" w:firstLineChars="0"/>
              <w:textAlignment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显示尺寸</w:t>
            </w:r>
            <w:r>
              <w:rPr>
                <w:rFonts w:hint="eastAsia"/>
              </w:rPr>
              <w:t xml:space="preserve"> </w:t>
            </w:r>
            <w:r>
              <w:rPr>
                <w:rFonts w:hint="eastAsia" w:ascii="宋体" w:hAnsi="宋体" w:eastAsia="宋体" w:cs="宋体"/>
                <w:sz w:val="18"/>
                <w:szCs w:val="18"/>
              </w:rPr>
              <w:t>3840mm*2240mm=8.6㎡</w:t>
            </w:r>
          </w:p>
          <w:p>
            <w:pPr>
              <w:pStyle w:val="32"/>
              <w:ind w:firstLine="0" w:firstLineChars="0"/>
              <w:textAlignment w:val="center"/>
              <w:rPr>
                <w:rFonts w:ascii="宋体" w:hAnsi="宋体" w:eastAsia="宋体" w:cs="宋体"/>
                <w:sz w:val="18"/>
                <w:szCs w:val="18"/>
              </w:rPr>
            </w:pP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物理像素点间距：≤2.0</w:t>
            </w:r>
            <w:r>
              <w:rPr>
                <w:rFonts w:ascii="宋体" w:hAnsi="宋体" w:eastAsia="宋体" w:cs="宋体"/>
                <w:sz w:val="18"/>
                <w:szCs w:val="18"/>
              </w:rPr>
              <w:t xml:space="preserve"> mm</w:t>
            </w:r>
          </w:p>
          <w:p>
            <w:pPr>
              <w:textAlignment w:val="center"/>
              <w:rPr>
                <w:rFonts w:ascii="宋体" w:hAnsi="宋体" w:eastAsia="宋体"/>
                <w:sz w:val="18"/>
                <w:szCs w:val="18"/>
              </w:rPr>
            </w:pPr>
            <w:r>
              <w:rPr>
                <w:rFonts w:hint="eastAsia" w:ascii="宋体" w:hAnsi="宋体" w:eastAsia="宋体"/>
                <w:sz w:val="18"/>
                <w:szCs w:val="18"/>
              </w:rPr>
              <w:t>3.可视角度：水平垂直≥150°</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4.★前触发结构：显示屏模组从正面按压可以弹出，可直接从正面进行内部维修(须提供国家广电权威检测机构出具的检测报告复印核查)</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5.★防火：为减小引燃和火焰蔓延的危险，要求屏的发热量达到合格要求，要求防火防护外壳的零部件(须提供国家广电权威检测机构出具的检测报告复印核查)</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6.像素失控率：0，无失控率</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7.★为保证材料质量，LED显示屏机械强度达到合格要，要求10N的力施加在内部元件上，无危险，250N的力施加在外部外壳上，无危险(须提供国家广电权威检测机构出具的检测报告复印核查)</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8.功率因数：≥95%</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9.LED显示屏通过低温工作试验，低温贮存试验，高温工作试验，高温贮存试验</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10.LED显示屏通过防护等级试验，正面防尘防水等级达到IP53</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11.LED显示屏通过盐雾试验</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12.★非贴纸LOGO：整机箱体、后壳、套件、模组应有生产商非贴纸LOGO(须提供国家广电权威检测机构出具的检测报告复印核查)</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13.色温：3000K-9500K连续可调</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14.灰度等级：16bits（65536级）</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15.刷新频率：3840HZ</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16.★为保护观看人的视力LED显示屏已通过蓝光危害检测（具有CNAS认可的检测机构出具蓝光危害检测报告复印件核查）</w:t>
            </w:r>
          </w:p>
          <w:p>
            <w:pPr>
              <w:pStyle w:val="6"/>
              <w:ind w:left="0" w:firstLine="0"/>
              <w:rPr>
                <w:rFonts w:ascii="宋体" w:hAnsi="宋体" w:eastAsia="宋体"/>
                <w:b w:val="0"/>
                <w:bCs w:val="0"/>
                <w:color w:val="000000"/>
                <w:sz w:val="18"/>
                <w:szCs w:val="18"/>
              </w:rPr>
            </w:pPr>
            <w:r>
              <w:rPr>
                <w:rFonts w:hint="eastAsia" w:ascii="宋体" w:hAnsi="宋体" w:eastAsia="宋体"/>
                <w:b w:val="0"/>
                <w:bCs w:val="0"/>
                <w:color w:val="000000"/>
                <w:sz w:val="18"/>
                <w:szCs w:val="18"/>
              </w:rPr>
              <w:t>17.★LED显示屏是节能产品，必须通过CQC节能认证并提供认证(具有CQC节能产品认证证书以供核查）</w:t>
            </w:r>
          </w:p>
          <w:p>
            <w:pPr>
              <w:pStyle w:val="6"/>
              <w:ind w:left="0" w:firstLine="0"/>
              <w:rPr>
                <w:rFonts w:ascii="宋体" w:hAnsi="宋体" w:eastAsia="宋体" w:cs="Times New Roman"/>
                <w:b w:val="0"/>
                <w:bCs w:val="0"/>
                <w:snapToGrid/>
                <w:color w:val="000000"/>
                <w:kern w:val="2"/>
                <w:sz w:val="18"/>
                <w:szCs w:val="18"/>
              </w:rPr>
            </w:pPr>
            <w:r>
              <w:rPr>
                <w:rFonts w:hint="eastAsia" w:ascii="宋体" w:hAnsi="宋体" w:eastAsia="宋体"/>
                <w:b w:val="0"/>
                <w:bCs w:val="0"/>
                <w:color w:val="000000"/>
                <w:sz w:val="18"/>
                <w:szCs w:val="18"/>
              </w:rPr>
              <w:t>18.★LED显示屏制造商具有AAA企业综合信用等级评价证书（须提供AAA企业综合信用等级评价证书复印件核查）</w:t>
            </w:r>
          </w:p>
        </w:tc>
        <w:tc>
          <w:tcPr>
            <w:tcW w:w="731" w:type="dxa"/>
            <w:vAlign w:val="center"/>
          </w:tcPr>
          <w:p>
            <w:pPr>
              <w:jc w:val="center"/>
              <w:rPr>
                <w:rFonts w:ascii="宋体" w:hAnsi="宋体" w:eastAsia="宋体"/>
                <w:sz w:val="18"/>
                <w:szCs w:val="18"/>
              </w:rPr>
            </w:pPr>
            <w:r>
              <w:rPr>
                <w:rFonts w:ascii="宋体" w:hAnsi="宋体" w:eastAsia="宋体"/>
                <w:sz w:val="18"/>
                <w:szCs w:val="18"/>
              </w:rPr>
              <w:t>8.</w:t>
            </w:r>
            <w:r>
              <w:rPr>
                <w:rFonts w:hint="eastAsia" w:ascii="宋体" w:hAnsi="宋体" w:eastAsia="宋体"/>
                <w:sz w:val="18"/>
                <w:szCs w:val="18"/>
              </w:rPr>
              <w:t>6</w:t>
            </w:r>
          </w:p>
        </w:tc>
        <w:tc>
          <w:tcPr>
            <w:tcW w:w="600" w:type="dxa"/>
            <w:vAlign w:val="center"/>
          </w:tcPr>
          <w:p>
            <w:pPr>
              <w:pStyle w:val="32"/>
              <w:tabs>
                <w:tab w:val="left" w:pos="312"/>
              </w:tabs>
              <w:ind w:firstLine="0" w:firstLineChars="0"/>
              <w:jc w:val="center"/>
              <w:textAlignment w:val="center"/>
              <w:rPr>
                <w:rFonts w:ascii="宋体" w:hAnsi="宋体" w:eastAsia="宋体" w:cs="宋体"/>
                <w:color w:val="000000"/>
                <w:sz w:val="18"/>
                <w:szCs w:val="18"/>
              </w:rPr>
            </w:pPr>
            <w:r>
              <w:rPr>
                <w:rFonts w:hint="eastAsia" w:ascii="宋体" w:hAnsi="宋体" w:eastAsia="宋体"/>
                <w:sz w:val="18"/>
                <w:szCs w:val="18"/>
              </w:rPr>
              <w:t>㎡</w:t>
            </w:r>
          </w:p>
        </w:tc>
        <w:tc>
          <w:tcPr>
            <w:tcW w:w="663" w:type="dxa"/>
            <w:vAlign w:val="center"/>
          </w:tcPr>
          <w:p>
            <w:pPr>
              <w:pStyle w:val="32"/>
              <w:tabs>
                <w:tab w:val="left" w:pos="312"/>
              </w:tabs>
              <w:ind w:firstLine="0" w:firstLineChars="0"/>
              <w:jc w:val="center"/>
              <w:textAlignment w:val="center"/>
              <w:rPr>
                <w:rFonts w:ascii="宋体" w:hAnsi="宋体" w:eastAsia="宋体" w:cs="宋体"/>
                <w:color w:val="000000"/>
                <w:sz w:val="18"/>
                <w:szCs w:val="18"/>
              </w:rPr>
            </w:pPr>
          </w:p>
        </w:tc>
        <w:tc>
          <w:tcPr>
            <w:tcW w:w="625" w:type="dxa"/>
            <w:vAlign w:val="center"/>
          </w:tcPr>
          <w:p>
            <w:pPr>
              <w:pStyle w:val="32"/>
              <w:tabs>
                <w:tab w:val="left" w:pos="312"/>
              </w:tabs>
              <w:ind w:firstLine="0" w:firstLineChars="0"/>
              <w:jc w:val="center"/>
              <w:textAlignment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2</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控制系统</w:t>
            </w:r>
          </w:p>
        </w:tc>
        <w:tc>
          <w:tcPr>
            <w:tcW w:w="5244" w:type="dxa"/>
            <w:vAlign w:val="center"/>
          </w:tcPr>
          <w:p>
            <w:pPr>
              <w:rPr>
                <w:rFonts w:ascii="宋体" w:hAnsi="宋体" w:eastAsia="宋体"/>
                <w:sz w:val="18"/>
                <w:szCs w:val="18"/>
              </w:rPr>
            </w:pPr>
            <w:r>
              <w:rPr>
                <w:rFonts w:hint="eastAsia" w:ascii="宋体" w:hAnsi="宋体" w:eastAsia="宋体"/>
                <w:sz w:val="18"/>
                <w:szCs w:val="18"/>
              </w:rPr>
              <w:t>含接收卡</w:t>
            </w:r>
          </w:p>
        </w:tc>
        <w:tc>
          <w:tcPr>
            <w:tcW w:w="731" w:type="dxa"/>
            <w:vAlign w:val="center"/>
          </w:tcPr>
          <w:p>
            <w:pPr>
              <w:jc w:val="center"/>
              <w:rPr>
                <w:rFonts w:ascii="宋体" w:hAnsi="宋体" w:eastAsia="宋体"/>
                <w:color w:val="000000"/>
                <w:sz w:val="18"/>
                <w:szCs w:val="18"/>
              </w:rPr>
            </w:pPr>
            <w:r>
              <w:rPr>
                <w:rFonts w:ascii="宋体" w:hAnsi="宋体" w:eastAsia="宋体"/>
                <w:color w:val="000000"/>
                <w:sz w:val="18"/>
                <w:szCs w:val="18"/>
              </w:rPr>
              <w:t>24</w:t>
            </w:r>
          </w:p>
        </w:tc>
        <w:tc>
          <w:tcPr>
            <w:tcW w:w="600" w:type="dxa"/>
            <w:vAlign w:val="center"/>
          </w:tcPr>
          <w:p>
            <w:pPr>
              <w:textAlignment w:val="center"/>
              <w:rPr>
                <w:rFonts w:ascii="宋体" w:hAnsi="宋体" w:eastAsia="宋体"/>
                <w:color w:val="000000"/>
                <w:sz w:val="18"/>
                <w:szCs w:val="18"/>
              </w:rPr>
            </w:pPr>
            <w:r>
              <w:rPr>
                <w:rFonts w:hint="eastAsia" w:ascii="宋体" w:hAnsi="宋体" w:eastAsia="宋体"/>
                <w:color w:val="000000"/>
                <w:sz w:val="18"/>
                <w:szCs w:val="18"/>
              </w:rPr>
              <w:t>张</w:t>
            </w:r>
          </w:p>
        </w:tc>
        <w:tc>
          <w:tcPr>
            <w:tcW w:w="663" w:type="dxa"/>
            <w:vAlign w:val="center"/>
          </w:tcPr>
          <w:p>
            <w:pPr>
              <w:jc w:val="center"/>
              <w:textAlignment w:val="center"/>
              <w:rPr>
                <w:rFonts w:ascii="宋体" w:hAnsi="宋体" w:eastAsia="宋体"/>
                <w:color w:val="000000"/>
                <w:sz w:val="18"/>
                <w:szCs w:val="18"/>
              </w:rPr>
            </w:pPr>
          </w:p>
        </w:tc>
        <w:tc>
          <w:tcPr>
            <w:tcW w:w="625" w:type="dxa"/>
            <w:vAlign w:val="center"/>
          </w:tcPr>
          <w:p>
            <w:pPr>
              <w:jc w:val="center"/>
              <w:textAlignment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3</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显示屏播放控制软件</w:t>
            </w:r>
          </w:p>
        </w:tc>
        <w:tc>
          <w:tcPr>
            <w:tcW w:w="5244" w:type="dxa"/>
            <w:vAlign w:val="center"/>
          </w:tcPr>
          <w:p>
            <w:pPr>
              <w:rPr>
                <w:rFonts w:ascii="宋体" w:hAnsi="宋体" w:eastAsia="宋体"/>
                <w:sz w:val="18"/>
                <w:szCs w:val="18"/>
              </w:rPr>
            </w:pPr>
            <w:r>
              <w:rPr>
                <w:rFonts w:hint="eastAsia" w:ascii="宋体" w:hAnsi="宋体" w:eastAsia="宋体"/>
                <w:sz w:val="18"/>
                <w:szCs w:val="18"/>
              </w:rPr>
              <w:t>软件兼容Windows</w:t>
            </w:r>
            <w:r>
              <w:rPr>
                <w:rFonts w:ascii="宋体" w:hAnsi="宋体" w:eastAsia="宋体"/>
                <w:sz w:val="18"/>
                <w:szCs w:val="18"/>
              </w:rPr>
              <w:t>10，</w:t>
            </w:r>
            <w:r>
              <w:rPr>
                <w:rFonts w:hint="eastAsia" w:ascii="宋体" w:hAnsi="宋体" w:eastAsia="宋体"/>
                <w:sz w:val="18"/>
                <w:szCs w:val="18"/>
              </w:rPr>
              <w:t>Windows7,界面友善、功能强大、操作方便。可显示各种图文信息、动画、FLASH文件、视频信息。实时显示用户需要显示的信息，系统具有远程控制和播放能力。γ校正由计算机设置γ校正曲线，完成数据的非线性调整。单点亮度和色度校正显示屏具有单点的亮度和色度校正功能，系统具备逐点一致化校正及补偿技术。通过软件可以远程直播。</w:t>
            </w:r>
          </w:p>
          <w:p>
            <w:pPr>
              <w:pStyle w:val="6"/>
              <w:ind w:left="0" w:firstLine="0"/>
              <w:rPr>
                <w:rFonts w:ascii="宋体" w:hAnsi="宋体" w:eastAsia="宋体" w:cs="Times New Roman"/>
                <w:b w:val="0"/>
                <w:bCs w:val="0"/>
                <w:snapToGrid/>
                <w:color w:val="000000"/>
                <w:kern w:val="2"/>
                <w:sz w:val="18"/>
                <w:szCs w:val="18"/>
              </w:rPr>
            </w:pPr>
            <w:r>
              <w:rPr>
                <w:rFonts w:hint="eastAsia" w:ascii="宋体" w:hAnsi="宋体" w:eastAsia="宋体" w:cs="Times New Roman"/>
                <w:b w:val="0"/>
                <w:bCs w:val="0"/>
                <w:snapToGrid/>
                <w:color w:val="000000"/>
                <w:kern w:val="2"/>
                <w:sz w:val="18"/>
                <w:szCs w:val="18"/>
              </w:rPr>
              <w:t>★LED显示屏具有智能亮度调节和自动逐点校正软件著作权证书（须提供LED显示屏智能亮度调节和自动逐点校正计算机软件著作权证书复印件核查）</w:t>
            </w:r>
          </w:p>
          <w:p>
            <w:pPr>
              <w:pStyle w:val="6"/>
              <w:ind w:left="0" w:firstLine="0"/>
              <w:rPr>
                <w:rFonts w:ascii="宋体" w:hAnsi="宋体" w:eastAsia="宋体" w:cs="Times New Roman"/>
                <w:b w:val="0"/>
                <w:bCs w:val="0"/>
                <w:snapToGrid/>
                <w:color w:val="000000"/>
                <w:kern w:val="2"/>
                <w:sz w:val="18"/>
                <w:szCs w:val="18"/>
              </w:rPr>
            </w:pPr>
            <w:r>
              <w:rPr>
                <w:rFonts w:hint="eastAsia" w:ascii="宋体" w:hAnsi="宋体" w:eastAsia="宋体" w:cs="Times New Roman"/>
                <w:b w:val="0"/>
                <w:bCs w:val="0"/>
                <w:snapToGrid/>
                <w:color w:val="000000"/>
                <w:kern w:val="2"/>
                <w:sz w:val="18"/>
                <w:szCs w:val="18"/>
              </w:rPr>
              <w:t>★LED显示屏具有图像优化节能处理系统软件著作证书（须提供LED显示屏图像优化节能处理系统计算机软件著作权证书复印件核查）</w:t>
            </w:r>
          </w:p>
          <w:p>
            <w:pPr>
              <w:pStyle w:val="6"/>
              <w:ind w:left="0" w:firstLine="0"/>
              <w:rPr>
                <w:rFonts w:ascii="宋体" w:hAnsi="宋体" w:eastAsia="宋体" w:cs="Times New Roman"/>
                <w:b w:val="0"/>
                <w:bCs w:val="0"/>
                <w:snapToGrid/>
                <w:color w:val="000000"/>
                <w:kern w:val="2"/>
                <w:sz w:val="18"/>
                <w:szCs w:val="18"/>
              </w:rPr>
            </w:pPr>
            <w:r>
              <w:rPr>
                <w:rFonts w:hint="eastAsia" w:ascii="宋体" w:hAnsi="宋体" w:eastAsia="宋体" w:cs="Times New Roman"/>
                <w:b w:val="0"/>
                <w:bCs w:val="0"/>
                <w:snapToGrid/>
                <w:color w:val="000000"/>
                <w:kern w:val="2"/>
                <w:sz w:val="18"/>
                <w:szCs w:val="18"/>
              </w:rPr>
              <w:t>★LED显示屏具有远程安全监控系统计算机软件著作权证书（须提供LED显示屏远程安全监控系统计算机软件著作权证书复印件核查）。</w:t>
            </w:r>
          </w:p>
        </w:tc>
        <w:tc>
          <w:tcPr>
            <w:tcW w:w="731"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600" w:type="dxa"/>
            <w:vAlign w:val="center"/>
          </w:tcPr>
          <w:p>
            <w:pPr>
              <w:jc w:val="center"/>
              <w:textAlignment w:val="center"/>
              <w:rPr>
                <w:rFonts w:ascii="宋体" w:hAnsi="宋体" w:eastAsia="宋体"/>
                <w:sz w:val="18"/>
                <w:szCs w:val="18"/>
              </w:rPr>
            </w:pPr>
            <w:r>
              <w:rPr>
                <w:rFonts w:hint="eastAsia" w:ascii="宋体" w:hAnsi="宋体" w:eastAsia="宋体"/>
                <w:color w:val="000000"/>
                <w:sz w:val="18"/>
                <w:szCs w:val="18"/>
              </w:rPr>
              <w:t>套</w:t>
            </w:r>
          </w:p>
        </w:tc>
        <w:tc>
          <w:tcPr>
            <w:tcW w:w="663" w:type="dxa"/>
            <w:vAlign w:val="center"/>
          </w:tcPr>
          <w:p>
            <w:pPr>
              <w:jc w:val="center"/>
              <w:textAlignment w:val="center"/>
              <w:rPr>
                <w:rFonts w:ascii="宋体" w:hAnsi="宋体" w:eastAsia="宋体"/>
                <w:sz w:val="18"/>
                <w:szCs w:val="18"/>
              </w:rPr>
            </w:pPr>
          </w:p>
        </w:tc>
        <w:tc>
          <w:tcPr>
            <w:tcW w:w="625" w:type="dxa"/>
            <w:vAlign w:val="center"/>
          </w:tcPr>
          <w:p>
            <w:pPr>
              <w:jc w:val="center"/>
              <w:textAlignment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4</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视频拼接处理器</w:t>
            </w:r>
          </w:p>
        </w:tc>
        <w:tc>
          <w:tcPr>
            <w:tcW w:w="5244" w:type="dxa"/>
            <w:vAlign w:val="center"/>
          </w:tcPr>
          <w:p>
            <w:pPr>
              <w:rPr>
                <w:rFonts w:ascii="宋体" w:hAnsi="宋体" w:eastAsia="宋体"/>
                <w:sz w:val="18"/>
                <w:szCs w:val="18"/>
              </w:rPr>
            </w:pPr>
            <w:r>
              <w:rPr>
                <w:rFonts w:hint="eastAsia" w:ascii="宋体" w:hAnsi="宋体" w:eastAsia="宋体"/>
                <w:sz w:val="18"/>
                <w:szCs w:val="18"/>
              </w:rPr>
              <w:t>处理器发送卡二合一</w:t>
            </w:r>
          </w:p>
          <w:p>
            <w:pPr>
              <w:rPr>
                <w:rFonts w:ascii="宋体" w:hAnsi="宋体" w:eastAsia="宋体"/>
                <w:sz w:val="18"/>
                <w:szCs w:val="18"/>
              </w:rPr>
            </w:pPr>
            <w:r>
              <w:rPr>
                <w:rFonts w:hint="eastAsia" w:ascii="宋体" w:hAnsi="宋体" w:eastAsia="宋体"/>
                <w:sz w:val="18"/>
                <w:szCs w:val="18"/>
              </w:rPr>
              <w:t>支持4K超高清信号处理</w:t>
            </w:r>
          </w:p>
          <w:p>
            <w:pPr>
              <w:rPr>
                <w:rFonts w:ascii="宋体" w:hAnsi="宋体" w:eastAsia="宋体"/>
                <w:sz w:val="18"/>
                <w:szCs w:val="18"/>
              </w:rPr>
            </w:pPr>
            <w:r>
              <w:rPr>
                <w:rFonts w:hint="eastAsia" w:ascii="宋体" w:hAnsi="宋体" w:eastAsia="宋体"/>
                <w:sz w:val="18"/>
                <w:szCs w:val="18"/>
              </w:rPr>
              <w:t>支持信号及模式无缝切换，提供十余种过渡特效</w:t>
            </w:r>
          </w:p>
          <w:p>
            <w:pPr>
              <w:rPr>
                <w:rFonts w:ascii="宋体" w:hAnsi="宋体" w:eastAsia="宋体"/>
                <w:sz w:val="18"/>
                <w:szCs w:val="18"/>
              </w:rPr>
            </w:pPr>
            <w:r>
              <w:rPr>
                <w:rFonts w:hint="eastAsia" w:ascii="宋体" w:hAnsi="宋体" w:eastAsia="宋体"/>
                <w:sz w:val="18"/>
                <w:szCs w:val="18"/>
              </w:rPr>
              <w:t>支持信号回显，可通过软件实时查看信号输入输出情况</w:t>
            </w:r>
          </w:p>
          <w:p>
            <w:pPr>
              <w:rPr>
                <w:rFonts w:ascii="宋体" w:hAnsi="宋体" w:eastAsia="宋体"/>
                <w:sz w:val="18"/>
                <w:szCs w:val="18"/>
              </w:rPr>
            </w:pPr>
            <w:r>
              <w:rPr>
                <w:rFonts w:hint="eastAsia" w:ascii="宋体" w:hAnsi="宋体" w:eastAsia="宋体"/>
                <w:sz w:val="18"/>
                <w:szCs w:val="18"/>
              </w:rPr>
              <w:t>可同时进行多花面输入预览及输出监视</w:t>
            </w:r>
          </w:p>
          <w:p>
            <w:pPr>
              <w:rPr>
                <w:rFonts w:ascii="宋体" w:hAnsi="宋体" w:eastAsia="宋体"/>
                <w:sz w:val="18"/>
                <w:szCs w:val="18"/>
              </w:rPr>
            </w:pPr>
            <w:r>
              <w:rPr>
                <w:rFonts w:hint="eastAsia" w:ascii="宋体" w:hAnsi="宋体" w:eastAsia="宋体"/>
                <w:sz w:val="18"/>
                <w:szCs w:val="18"/>
              </w:rPr>
              <w:t>支持多级输入信号热备份</w:t>
            </w:r>
          </w:p>
          <w:p>
            <w:pPr>
              <w:rPr>
                <w:rFonts w:ascii="宋体" w:hAnsi="宋体" w:eastAsia="宋体"/>
                <w:sz w:val="18"/>
                <w:szCs w:val="18"/>
              </w:rPr>
            </w:pPr>
            <w:r>
              <w:rPr>
                <w:rFonts w:hint="eastAsia" w:ascii="宋体" w:hAnsi="宋体" w:eastAsia="宋体"/>
                <w:sz w:val="18"/>
                <w:szCs w:val="18"/>
              </w:rPr>
              <w:t>支持多机级联同步输出</w:t>
            </w:r>
          </w:p>
        </w:tc>
        <w:tc>
          <w:tcPr>
            <w:tcW w:w="731"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color w:val="000000"/>
                <w:sz w:val="18"/>
                <w:szCs w:val="18"/>
              </w:rPr>
              <w:t>套</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5</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钢结构</w:t>
            </w:r>
          </w:p>
        </w:tc>
        <w:tc>
          <w:tcPr>
            <w:tcW w:w="5244" w:type="dxa"/>
            <w:vAlign w:val="center"/>
          </w:tcPr>
          <w:p>
            <w:pPr>
              <w:rPr>
                <w:rFonts w:ascii="宋体" w:hAnsi="宋体" w:eastAsia="宋体"/>
                <w:sz w:val="18"/>
                <w:szCs w:val="18"/>
              </w:rPr>
            </w:pPr>
            <w:r>
              <w:rPr>
                <w:rFonts w:hint="eastAsia" w:ascii="宋体" w:hAnsi="宋体" w:eastAsia="宋体"/>
                <w:sz w:val="18"/>
                <w:szCs w:val="18"/>
              </w:rPr>
              <w:t>钢结构尺寸为：</w:t>
            </w:r>
            <w:r>
              <w:rPr>
                <w:rFonts w:hint="eastAsia"/>
              </w:rPr>
              <w:t xml:space="preserve"> </w:t>
            </w:r>
            <w:r>
              <w:rPr>
                <w:rFonts w:hint="eastAsia" w:ascii="宋体" w:hAnsi="宋体" w:eastAsia="宋体"/>
                <w:sz w:val="18"/>
                <w:szCs w:val="18"/>
              </w:rPr>
              <w:t>3940mm*2340mm=9.22㎡，背条采用4*2镀锌方管制作，外框采用</w:t>
            </w:r>
            <w:r>
              <w:rPr>
                <w:rFonts w:ascii="宋体" w:hAnsi="宋体" w:eastAsia="宋体"/>
                <w:sz w:val="18"/>
                <w:szCs w:val="18"/>
              </w:rPr>
              <w:t>4*4</w:t>
            </w:r>
            <w:r>
              <w:rPr>
                <w:rFonts w:hint="eastAsia" w:ascii="宋体" w:hAnsi="宋体" w:eastAsia="宋体"/>
                <w:sz w:val="18"/>
                <w:szCs w:val="18"/>
              </w:rPr>
              <w:t>镀锌方管制作，整体平整性好，稳固性好，双立柱安装。</w:t>
            </w:r>
          </w:p>
        </w:tc>
        <w:tc>
          <w:tcPr>
            <w:tcW w:w="731" w:type="dxa"/>
            <w:vAlign w:val="center"/>
          </w:tcPr>
          <w:p>
            <w:pPr>
              <w:jc w:val="center"/>
              <w:rPr>
                <w:rFonts w:ascii="宋体" w:hAnsi="宋体" w:eastAsia="宋体"/>
                <w:sz w:val="18"/>
                <w:szCs w:val="18"/>
              </w:rPr>
            </w:pPr>
            <w:r>
              <w:rPr>
                <w:rFonts w:ascii="宋体" w:hAnsi="宋体" w:eastAsia="宋体"/>
                <w:sz w:val="18"/>
                <w:szCs w:val="18"/>
              </w:rPr>
              <w:t>9.22</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6</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智能配电箱</w:t>
            </w:r>
          </w:p>
        </w:tc>
        <w:tc>
          <w:tcPr>
            <w:tcW w:w="5244" w:type="dxa"/>
            <w:vAlign w:val="center"/>
          </w:tcPr>
          <w:p>
            <w:pPr>
              <w:rPr>
                <w:rFonts w:ascii="宋体" w:hAnsi="宋体" w:eastAsia="宋体"/>
                <w:sz w:val="18"/>
                <w:szCs w:val="18"/>
              </w:rPr>
            </w:pPr>
            <w:r>
              <w:rPr>
                <w:rFonts w:hint="eastAsia" w:ascii="宋体" w:hAnsi="宋体" w:eastAsia="宋体"/>
                <w:sz w:val="18"/>
                <w:szCs w:val="18"/>
              </w:rPr>
              <w:t>开关电、延时供电、手自动切换等，内置：多路空气开关、继电器、接触器、延时器、漏电保护器、浪涌保护等；</w:t>
            </w:r>
          </w:p>
          <w:p>
            <w:pPr>
              <w:pStyle w:val="6"/>
              <w:ind w:left="0" w:firstLine="0"/>
              <w:rPr>
                <w:rFonts w:ascii="宋体" w:hAnsi="宋体" w:eastAsia="宋体" w:cs="Times New Roman"/>
                <w:b w:val="0"/>
                <w:bCs w:val="0"/>
                <w:snapToGrid/>
                <w:color w:val="000000"/>
                <w:kern w:val="2"/>
                <w:sz w:val="18"/>
                <w:szCs w:val="18"/>
              </w:rPr>
            </w:pPr>
            <w:r>
              <w:rPr>
                <w:rFonts w:hint="eastAsia" w:ascii="宋体" w:hAnsi="宋体" w:eastAsia="宋体" w:cs="Times New Roman"/>
                <w:b w:val="0"/>
                <w:bCs w:val="0"/>
                <w:snapToGrid/>
                <w:color w:val="000000"/>
                <w:kern w:val="2"/>
                <w:sz w:val="18"/>
                <w:szCs w:val="18"/>
              </w:rPr>
              <w:t>★配电柜具有LED显示屏远程智能PLC配电及无线物联系统软件著作权证书（须提供LED显示屏远程智能PLC配电及无线物联系统软件著作权证书复印件核查）</w:t>
            </w:r>
          </w:p>
        </w:tc>
        <w:tc>
          <w:tcPr>
            <w:tcW w:w="731"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color w:val="000000"/>
                <w:sz w:val="18"/>
                <w:szCs w:val="18"/>
              </w:rPr>
              <w:t>套</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7</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控制电脑</w:t>
            </w:r>
          </w:p>
        </w:tc>
        <w:tc>
          <w:tcPr>
            <w:tcW w:w="5244" w:type="dxa"/>
            <w:vAlign w:val="center"/>
          </w:tcPr>
          <w:p>
            <w:pPr>
              <w:rPr>
                <w:rFonts w:ascii="宋体" w:hAnsi="宋体" w:eastAsia="宋体"/>
                <w:sz w:val="18"/>
                <w:szCs w:val="18"/>
              </w:rPr>
            </w:pPr>
            <w:r>
              <w:rPr>
                <w:rFonts w:hint="eastAsia" w:ascii="宋体" w:hAnsi="宋体" w:eastAsia="宋体"/>
                <w:sz w:val="18"/>
                <w:szCs w:val="18"/>
              </w:rPr>
              <w:t>显示器：</w:t>
            </w:r>
            <w:r>
              <w:rPr>
                <w:rFonts w:ascii="宋体" w:hAnsi="宋体" w:eastAsia="宋体"/>
                <w:sz w:val="18"/>
                <w:szCs w:val="18"/>
              </w:rPr>
              <w:t>23英寸；CPU：i7；硬盘：1T；内存：DDR4 8G；</w:t>
            </w:r>
            <w:r>
              <w:rPr>
                <w:rFonts w:hint="eastAsia" w:ascii="宋体" w:hAnsi="宋体" w:eastAsia="宋体"/>
                <w:sz w:val="18"/>
                <w:szCs w:val="18"/>
              </w:rPr>
              <w:t>独立</w:t>
            </w:r>
            <w:r>
              <w:rPr>
                <w:rFonts w:ascii="宋体" w:hAnsi="宋体" w:eastAsia="宋体"/>
                <w:sz w:val="18"/>
                <w:szCs w:val="18"/>
              </w:rPr>
              <w:t>显卡，含显示器</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套</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ascii="宋体" w:hAnsi="宋体" w:eastAsia="宋体"/>
                <w:sz w:val="18"/>
                <w:szCs w:val="18"/>
              </w:rPr>
              <w:t>8</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配电电缆</w:t>
            </w:r>
          </w:p>
        </w:tc>
        <w:tc>
          <w:tcPr>
            <w:tcW w:w="5244" w:type="dxa"/>
            <w:vAlign w:val="center"/>
          </w:tcPr>
          <w:p>
            <w:pPr>
              <w:rPr>
                <w:rFonts w:ascii="宋体" w:hAnsi="宋体" w:eastAsia="宋体"/>
                <w:sz w:val="18"/>
                <w:szCs w:val="18"/>
              </w:rPr>
            </w:pPr>
            <w:r>
              <w:rPr>
                <w:rFonts w:ascii="宋体" w:hAnsi="宋体" w:eastAsia="宋体"/>
                <w:sz w:val="18"/>
                <w:szCs w:val="18"/>
              </w:rPr>
              <w:t>ZR-YJVV5*6mm2</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米</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sz w:val="18"/>
                <w:szCs w:val="18"/>
              </w:rPr>
            </w:pPr>
            <w:r>
              <w:rPr>
                <w:rFonts w:ascii="宋体" w:hAnsi="宋体" w:eastAsia="宋体"/>
                <w:sz w:val="18"/>
                <w:szCs w:val="18"/>
              </w:rPr>
              <w:t>9</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网络线</w:t>
            </w:r>
          </w:p>
        </w:tc>
        <w:tc>
          <w:tcPr>
            <w:tcW w:w="5244" w:type="dxa"/>
            <w:vAlign w:val="center"/>
          </w:tcPr>
          <w:p>
            <w:pPr>
              <w:rPr>
                <w:rFonts w:ascii="宋体" w:hAnsi="宋体" w:eastAsia="宋体"/>
                <w:sz w:val="18"/>
                <w:szCs w:val="18"/>
              </w:rPr>
            </w:pPr>
            <w:r>
              <w:rPr>
                <w:rFonts w:hint="eastAsia" w:ascii="宋体" w:hAnsi="宋体" w:eastAsia="宋体"/>
                <w:sz w:val="18"/>
                <w:szCs w:val="18"/>
              </w:rPr>
              <w:t>超六类</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箱</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09" w:type="dxa"/>
            <w:vAlign w:val="center"/>
          </w:tcPr>
          <w:p>
            <w:pPr>
              <w:jc w:val="center"/>
              <w:textAlignment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851" w:type="dxa"/>
            <w:vAlign w:val="center"/>
          </w:tcPr>
          <w:p>
            <w:pPr>
              <w:jc w:val="center"/>
              <w:textAlignment w:val="center"/>
              <w:rPr>
                <w:rFonts w:ascii="宋体" w:hAnsi="宋体" w:eastAsia="宋体"/>
                <w:sz w:val="18"/>
                <w:szCs w:val="18"/>
              </w:rPr>
            </w:pPr>
            <w:r>
              <w:rPr>
                <w:rFonts w:hint="eastAsia" w:ascii="宋体" w:hAnsi="宋体" w:eastAsia="宋体"/>
                <w:sz w:val="18"/>
                <w:szCs w:val="18"/>
              </w:rPr>
              <w:t>配件辅材</w:t>
            </w:r>
          </w:p>
        </w:tc>
        <w:tc>
          <w:tcPr>
            <w:tcW w:w="5244" w:type="dxa"/>
            <w:vAlign w:val="center"/>
          </w:tcPr>
          <w:p>
            <w:pPr>
              <w:rPr>
                <w:rFonts w:ascii="宋体" w:hAnsi="宋体" w:eastAsia="宋体"/>
                <w:sz w:val="18"/>
                <w:szCs w:val="18"/>
              </w:rPr>
            </w:pPr>
            <w:r>
              <w:rPr>
                <w:rFonts w:hint="eastAsia" w:ascii="宋体" w:hAnsi="宋体" w:eastAsia="宋体"/>
                <w:sz w:val="18"/>
                <w:szCs w:val="18"/>
              </w:rPr>
              <w:t xml:space="preserve">开关接插件 </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批</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1</w:t>
            </w:r>
            <w:r>
              <w:rPr>
                <w:rFonts w:ascii="宋体" w:hAnsi="宋体" w:eastAsia="宋体"/>
                <w:bCs/>
                <w:sz w:val="18"/>
                <w:szCs w:val="18"/>
              </w:rPr>
              <w:t>1</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天花扬声器</w:t>
            </w:r>
          </w:p>
        </w:tc>
        <w:tc>
          <w:tcPr>
            <w:tcW w:w="5244" w:type="dxa"/>
            <w:vAlign w:val="center"/>
          </w:tcPr>
          <w:p>
            <w:pPr>
              <w:rPr>
                <w:rFonts w:ascii="宋体" w:hAnsi="宋体" w:eastAsia="宋体"/>
                <w:sz w:val="18"/>
                <w:szCs w:val="18"/>
              </w:rPr>
            </w:pPr>
            <w:r>
              <w:rPr>
                <w:rFonts w:hint="eastAsia" w:ascii="宋体" w:hAnsi="宋体" w:eastAsia="宋体"/>
                <w:sz w:val="18"/>
                <w:szCs w:val="18"/>
              </w:rPr>
              <w:t>额定功率：70W</w:t>
            </w:r>
          </w:p>
          <w:p>
            <w:pPr>
              <w:rPr>
                <w:rFonts w:ascii="宋体" w:hAnsi="宋体" w:eastAsia="宋体"/>
                <w:sz w:val="18"/>
                <w:szCs w:val="18"/>
              </w:rPr>
            </w:pPr>
            <w:r>
              <w:rPr>
                <w:rFonts w:hint="eastAsia" w:ascii="宋体" w:hAnsi="宋体" w:eastAsia="宋体"/>
                <w:sz w:val="18"/>
                <w:szCs w:val="18"/>
              </w:rPr>
              <w:t>阻抗：8Ω</w:t>
            </w:r>
          </w:p>
          <w:p>
            <w:pPr>
              <w:rPr>
                <w:rFonts w:ascii="宋体" w:hAnsi="宋体" w:eastAsia="宋体"/>
                <w:sz w:val="18"/>
                <w:szCs w:val="18"/>
              </w:rPr>
            </w:pPr>
            <w:r>
              <w:rPr>
                <w:rFonts w:hint="eastAsia" w:ascii="宋体" w:hAnsi="宋体" w:eastAsia="宋体"/>
                <w:sz w:val="18"/>
                <w:szCs w:val="18"/>
              </w:rPr>
              <w:t>灵敏度：90±3dB</w:t>
            </w:r>
          </w:p>
          <w:p>
            <w:pPr>
              <w:rPr>
                <w:rFonts w:ascii="宋体" w:hAnsi="宋体" w:eastAsia="宋体"/>
                <w:sz w:val="18"/>
                <w:szCs w:val="18"/>
              </w:rPr>
            </w:pPr>
            <w:r>
              <w:rPr>
                <w:rFonts w:hint="eastAsia" w:ascii="宋体" w:hAnsi="宋体" w:eastAsia="宋体"/>
                <w:sz w:val="18"/>
                <w:szCs w:val="18"/>
              </w:rPr>
              <w:t>频响：90~20KHz</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8</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套</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12</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双通道专业功放</w:t>
            </w:r>
          </w:p>
        </w:tc>
        <w:tc>
          <w:tcPr>
            <w:tcW w:w="5244" w:type="dxa"/>
            <w:vAlign w:val="center"/>
          </w:tcPr>
          <w:p>
            <w:pPr>
              <w:rPr>
                <w:rFonts w:ascii="宋体" w:hAnsi="宋体" w:eastAsia="宋体"/>
                <w:sz w:val="18"/>
                <w:szCs w:val="18"/>
              </w:rPr>
            </w:pPr>
            <w:r>
              <w:rPr>
                <w:rFonts w:hint="eastAsia" w:ascii="宋体" w:hAnsi="宋体" w:eastAsia="宋体"/>
                <w:sz w:val="18"/>
                <w:szCs w:val="18"/>
              </w:rPr>
              <w:t>高档铝合金面板，电路采用了贴片技术，简单实用</w:t>
            </w:r>
          </w:p>
          <w:p>
            <w:pPr>
              <w:rPr>
                <w:rFonts w:ascii="宋体" w:hAnsi="宋体" w:eastAsia="宋体"/>
                <w:sz w:val="18"/>
                <w:szCs w:val="18"/>
              </w:rPr>
            </w:pPr>
            <w:r>
              <w:rPr>
                <w:rFonts w:hint="eastAsia" w:ascii="宋体" w:hAnsi="宋体" w:eastAsia="宋体"/>
                <w:sz w:val="18"/>
                <w:szCs w:val="18"/>
              </w:rPr>
              <w:t>独特的H类放大电路设计，效率高，使机器更加稳定</w:t>
            </w:r>
          </w:p>
          <w:p>
            <w:pPr>
              <w:rPr>
                <w:rFonts w:ascii="宋体" w:hAnsi="宋体" w:eastAsia="宋体"/>
                <w:sz w:val="18"/>
                <w:szCs w:val="18"/>
              </w:rPr>
            </w:pPr>
            <w:r>
              <w:rPr>
                <w:rFonts w:hint="eastAsia" w:ascii="宋体" w:hAnsi="宋体" w:eastAsia="宋体"/>
                <w:sz w:val="18"/>
                <w:szCs w:val="18"/>
              </w:rPr>
              <w:t>散热风扇采用了只能无级变速电路</w:t>
            </w:r>
          </w:p>
          <w:p>
            <w:pPr>
              <w:rPr>
                <w:rFonts w:ascii="宋体" w:hAnsi="宋体" w:eastAsia="宋体"/>
                <w:sz w:val="18"/>
                <w:szCs w:val="18"/>
              </w:rPr>
            </w:pPr>
            <w:r>
              <w:rPr>
                <w:rFonts w:hint="eastAsia" w:ascii="宋体" w:hAnsi="宋体" w:eastAsia="宋体"/>
                <w:sz w:val="18"/>
                <w:szCs w:val="18"/>
              </w:rPr>
              <w:t>防浪冲设计，更好的保护了后级电路</w:t>
            </w:r>
          </w:p>
          <w:p>
            <w:pPr>
              <w:rPr>
                <w:rFonts w:ascii="宋体" w:hAnsi="宋体" w:eastAsia="宋体"/>
                <w:sz w:val="18"/>
                <w:szCs w:val="18"/>
              </w:rPr>
            </w:pPr>
            <w:r>
              <w:rPr>
                <w:rFonts w:hint="eastAsia" w:ascii="宋体" w:hAnsi="宋体" w:eastAsia="宋体"/>
                <w:sz w:val="18"/>
                <w:szCs w:val="18"/>
              </w:rPr>
              <w:t>内设压限电路，对末端音箱起到了更好的保护作用</w:t>
            </w:r>
          </w:p>
          <w:p>
            <w:pPr>
              <w:rPr>
                <w:rFonts w:ascii="宋体" w:hAnsi="宋体" w:eastAsia="宋体"/>
                <w:sz w:val="18"/>
                <w:szCs w:val="18"/>
              </w:rPr>
            </w:pPr>
            <w:r>
              <w:rPr>
                <w:rFonts w:hint="eastAsia" w:ascii="宋体" w:hAnsi="宋体" w:eastAsia="宋体"/>
                <w:sz w:val="18"/>
                <w:szCs w:val="18"/>
              </w:rPr>
              <w:t>完善的保护电路，多热保护，短路保护，直流保护，射频干扰滤波保护</w:t>
            </w:r>
          </w:p>
          <w:p>
            <w:pPr>
              <w:rPr>
                <w:rFonts w:ascii="宋体" w:hAnsi="宋体" w:eastAsia="宋体"/>
                <w:sz w:val="18"/>
                <w:szCs w:val="18"/>
              </w:rPr>
            </w:pPr>
            <w:r>
              <w:rPr>
                <w:rFonts w:hint="eastAsia" w:ascii="宋体" w:hAnsi="宋体" w:eastAsia="宋体"/>
                <w:sz w:val="18"/>
                <w:szCs w:val="18"/>
              </w:rPr>
              <w:t>输出功率/Power 8Ω 350W×2</w:t>
            </w:r>
          </w:p>
          <w:p>
            <w:pPr>
              <w:rPr>
                <w:rFonts w:ascii="宋体" w:hAnsi="宋体" w:eastAsia="宋体"/>
                <w:sz w:val="18"/>
                <w:szCs w:val="18"/>
              </w:rPr>
            </w:pPr>
            <w:r>
              <w:rPr>
                <w:rFonts w:hint="eastAsia" w:ascii="宋体" w:hAnsi="宋体" w:eastAsia="宋体"/>
                <w:sz w:val="18"/>
                <w:szCs w:val="18"/>
              </w:rPr>
              <w:t xml:space="preserve">输出功率/Power 4Ω 475W×2 </w:t>
            </w:r>
          </w:p>
          <w:p>
            <w:pPr>
              <w:rPr>
                <w:rFonts w:ascii="宋体" w:hAnsi="宋体" w:eastAsia="宋体"/>
                <w:sz w:val="18"/>
                <w:szCs w:val="18"/>
              </w:rPr>
            </w:pPr>
            <w:r>
              <w:rPr>
                <w:rFonts w:hint="eastAsia" w:ascii="宋体" w:hAnsi="宋体" w:eastAsia="宋体"/>
                <w:sz w:val="18"/>
                <w:szCs w:val="18"/>
              </w:rPr>
              <w:t xml:space="preserve">频率响应/Frequency response  20Hz-20KHz(±0.5dB) </w:t>
            </w:r>
          </w:p>
          <w:p>
            <w:pPr>
              <w:rPr>
                <w:rFonts w:ascii="宋体" w:hAnsi="宋体" w:eastAsia="宋体"/>
                <w:sz w:val="18"/>
                <w:szCs w:val="18"/>
              </w:rPr>
            </w:pPr>
            <w:r>
              <w:rPr>
                <w:rFonts w:hint="eastAsia" w:ascii="宋体" w:hAnsi="宋体" w:eastAsia="宋体"/>
                <w:sz w:val="18"/>
                <w:szCs w:val="18"/>
              </w:rPr>
              <w:t>信噪比/Signal to noise  89dB</w:t>
            </w:r>
          </w:p>
          <w:p>
            <w:pPr>
              <w:rPr>
                <w:rFonts w:ascii="宋体" w:hAnsi="宋体" w:eastAsia="宋体"/>
                <w:sz w:val="18"/>
                <w:szCs w:val="18"/>
              </w:rPr>
            </w:pPr>
            <w:r>
              <w:rPr>
                <w:rFonts w:hint="eastAsia" w:ascii="宋体" w:hAnsi="宋体" w:eastAsia="宋体"/>
                <w:sz w:val="18"/>
                <w:szCs w:val="18"/>
              </w:rPr>
              <w:t xml:space="preserve">输入灵敏度/Input sensitivity   0.7V   </w:t>
            </w:r>
          </w:p>
          <w:p>
            <w:pPr>
              <w:rPr>
                <w:rFonts w:ascii="宋体" w:hAnsi="宋体" w:eastAsia="宋体"/>
                <w:sz w:val="18"/>
                <w:szCs w:val="18"/>
              </w:rPr>
            </w:pPr>
            <w:r>
              <w:rPr>
                <w:rFonts w:hint="eastAsia" w:ascii="宋体" w:hAnsi="宋体" w:eastAsia="宋体"/>
                <w:sz w:val="18"/>
                <w:szCs w:val="18"/>
              </w:rPr>
              <w:t xml:space="preserve">总谐波失真/THD  ≤0.05%  </w:t>
            </w:r>
          </w:p>
          <w:p>
            <w:pPr>
              <w:rPr>
                <w:rFonts w:ascii="宋体" w:hAnsi="宋体" w:eastAsia="宋体"/>
                <w:sz w:val="18"/>
                <w:szCs w:val="18"/>
              </w:rPr>
            </w:pPr>
            <w:r>
              <w:rPr>
                <w:rFonts w:hint="eastAsia" w:ascii="宋体" w:hAnsi="宋体" w:eastAsia="宋体"/>
                <w:sz w:val="18"/>
                <w:szCs w:val="18"/>
              </w:rPr>
              <w:t xml:space="preserve">输入阻抗/Input impendance   20KΩ   </w:t>
            </w:r>
          </w:p>
          <w:p>
            <w:pPr>
              <w:rPr>
                <w:rFonts w:ascii="宋体" w:hAnsi="宋体" w:eastAsia="宋体"/>
                <w:sz w:val="18"/>
                <w:szCs w:val="18"/>
              </w:rPr>
            </w:pPr>
            <w:r>
              <w:rPr>
                <w:rFonts w:hint="eastAsia" w:ascii="宋体" w:hAnsi="宋体" w:eastAsia="宋体"/>
                <w:sz w:val="18"/>
                <w:szCs w:val="18"/>
              </w:rPr>
              <w:t>外型尺寸/Size   480×396×88mm</w:t>
            </w:r>
          </w:p>
          <w:p>
            <w:pPr>
              <w:rPr>
                <w:rFonts w:ascii="宋体" w:hAnsi="宋体" w:eastAsia="宋体"/>
                <w:sz w:val="18"/>
                <w:szCs w:val="18"/>
              </w:rPr>
            </w:pPr>
            <w:r>
              <w:rPr>
                <w:rFonts w:hint="eastAsia" w:ascii="宋体" w:hAnsi="宋体" w:eastAsia="宋体"/>
                <w:sz w:val="18"/>
                <w:szCs w:val="18"/>
              </w:rPr>
              <w:t xml:space="preserve">包装尺寸/Package size  545×470×160mm </w:t>
            </w:r>
          </w:p>
          <w:p>
            <w:pPr>
              <w:rPr>
                <w:rFonts w:ascii="宋体" w:hAnsi="宋体" w:eastAsia="宋体"/>
                <w:sz w:val="18"/>
                <w:szCs w:val="18"/>
              </w:rPr>
            </w:pPr>
            <w:r>
              <w:rPr>
                <w:rFonts w:hint="eastAsia" w:ascii="宋体" w:hAnsi="宋体" w:eastAsia="宋体"/>
                <w:sz w:val="18"/>
                <w:szCs w:val="18"/>
              </w:rPr>
              <w:t>重量：14 kgs</w:t>
            </w:r>
          </w:p>
        </w:tc>
        <w:tc>
          <w:tcPr>
            <w:tcW w:w="731" w:type="dxa"/>
            <w:vAlign w:val="center"/>
          </w:tcPr>
          <w:p>
            <w:pPr>
              <w:jc w:val="center"/>
              <w:rPr>
                <w:rFonts w:ascii="宋体" w:hAnsi="宋体" w:eastAsia="宋体"/>
                <w:sz w:val="18"/>
                <w:szCs w:val="18"/>
              </w:rPr>
            </w:pPr>
            <w:r>
              <w:rPr>
                <w:rFonts w:ascii="宋体" w:hAnsi="宋体" w:eastAsia="宋体"/>
                <w:sz w:val="18"/>
                <w:szCs w:val="18"/>
              </w:rPr>
              <w:t>2</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台</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13</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8进8出数字音频处理器</w:t>
            </w:r>
          </w:p>
        </w:tc>
        <w:tc>
          <w:tcPr>
            <w:tcW w:w="5244" w:type="dxa"/>
            <w:vAlign w:val="center"/>
          </w:tcPr>
          <w:p>
            <w:pPr>
              <w:rPr>
                <w:rFonts w:ascii="宋体" w:hAnsi="宋体" w:eastAsia="宋体"/>
                <w:sz w:val="18"/>
                <w:szCs w:val="18"/>
              </w:rPr>
            </w:pPr>
            <w:r>
              <w:rPr>
                <w:rFonts w:hint="eastAsia" w:ascii="宋体" w:hAnsi="宋体" w:eastAsia="宋体"/>
                <w:sz w:val="18"/>
                <w:szCs w:val="18"/>
              </w:rPr>
              <w:t xml:space="preserve">1、40 bit SHARC DSP芯片处理，96kHz采样率，24 bit AD/DA转换。 </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2、18x16通道的全混音矩阵设计，其中包含8个Dante网络输入通道和8个Dante网络输出通道、8个本地模拟输入通道、8个本地模拟输出通道、1个双效果器内部编组通道、1个AUX内部混音通道（提供检测报告说明佐证加盖厂家公章）。</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3、全面支持可扩展的DANTE数字网络音频卡和AEC自动回声噪声消除卡，用户可根据需求自由配置及选择使用（提供检测报告说明佐证加盖厂家公章）。</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4、Dante数字网络音频卡配置为双标准网络接口，全面支持级联交换及热备份功能，硬件系统自动识别、即插即用。软件内部与本地模拟信号可实现全混音矩阵处理，每通道都具有独立的DSP处理功能（提供检测报告说明佐证加盖厂家公章）。</w:t>
            </w:r>
          </w:p>
          <w:p>
            <w:pPr>
              <w:rPr>
                <w:rFonts w:ascii="宋体" w:hAnsi="宋体" w:eastAsia="宋体"/>
                <w:sz w:val="18"/>
                <w:szCs w:val="18"/>
              </w:rPr>
            </w:pPr>
            <w:r>
              <w:rPr>
                <w:rFonts w:hint="eastAsia" w:ascii="宋体" w:hAnsi="宋体" w:eastAsia="宋体"/>
                <w:sz w:val="18"/>
                <w:szCs w:val="18"/>
              </w:rPr>
              <w:t>5、AEC自动回声噪声消除卡具有强大的自动回声消除、 自动声反馈消除以及系统环境噪声消除功能。 其可有效降低在远程会议环境中由于话筒的二次拾音产生的声学回声问题，同时还可以有效消除现场话筒的声反馈以及空调、风扇等固有的环境噪声。可保证在任何环境中都可实现无噪音、高清晰的现场音频会议及远程视频会议。</w:t>
            </w:r>
          </w:p>
          <w:p>
            <w:pPr>
              <w:rPr>
                <w:rFonts w:ascii="宋体" w:hAnsi="宋体" w:eastAsia="宋体"/>
                <w:sz w:val="18"/>
                <w:szCs w:val="18"/>
              </w:rPr>
            </w:pPr>
            <w:r>
              <w:rPr>
                <w:rFonts w:hint="eastAsia" w:ascii="宋体" w:hAnsi="宋体" w:eastAsia="宋体"/>
                <w:sz w:val="18"/>
                <w:szCs w:val="18"/>
              </w:rPr>
              <w:t>6、功能强大的AUX通道具有三种自动混音处理模块，分别为“自动增益控制混音” “同时发言人数限制”、“自动避音”，混音的阀值、幅度、启动时间、恢复时间等参数连续可调。同时具有自动摄像跟踪触发功能，触发的阀值、幅度、启动时间、恢复时间等参数连续可调。并具有独立的 PEQ均衡处理功能。</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7、独特的EFX通道设计，具有专业的ECHO和REVERB双引擎多重立体声效果器 以实现会议中针对不同的人声 ，可进行个性化的美化及修饰（提供检测报告说明佐证加盖厂家公章）。</w:t>
            </w:r>
          </w:p>
          <w:p>
            <w:pPr>
              <w:rPr>
                <w:rFonts w:ascii="宋体" w:hAnsi="宋体" w:eastAsia="宋体"/>
                <w:sz w:val="18"/>
                <w:szCs w:val="18"/>
              </w:rPr>
            </w:pPr>
            <w:r>
              <w:rPr>
                <w:rFonts w:hint="eastAsia" w:ascii="宋体" w:hAnsi="宋体" w:eastAsia="宋体"/>
                <w:sz w:val="18"/>
                <w:szCs w:val="18"/>
              </w:rPr>
              <w:t>8、每路模拟输入通道具有+48V幻象电源，话筒和线性输入增益可切换，话筒的输入的灵敏度可调。</w:t>
            </w:r>
          </w:p>
          <w:p>
            <w:pPr>
              <w:rPr>
                <w:rFonts w:ascii="宋体" w:hAnsi="宋体" w:eastAsia="宋体"/>
                <w:sz w:val="18"/>
                <w:szCs w:val="18"/>
              </w:rPr>
            </w:pPr>
            <w:r>
              <w:rPr>
                <w:rFonts w:hint="eastAsia" w:ascii="宋体" w:hAnsi="宋体" w:eastAsia="宋体"/>
                <w:sz w:val="18"/>
                <w:szCs w:val="18"/>
              </w:rPr>
              <w:t>9、输入通道处理部分包含低切，独立反馈抑制参量均衡，噪声门，增益，静音，相位，连动调节，音量编组调节等处理功能。</w:t>
            </w:r>
          </w:p>
          <w:p>
            <w:pPr>
              <w:rPr>
                <w:rFonts w:ascii="宋体" w:hAnsi="宋体" w:eastAsia="宋体"/>
                <w:sz w:val="18"/>
                <w:szCs w:val="18"/>
              </w:rPr>
            </w:pPr>
            <w:r>
              <w:rPr>
                <w:rFonts w:hint="eastAsia" w:ascii="宋体" w:hAnsi="宋体" w:eastAsia="宋体"/>
                <w:sz w:val="18"/>
                <w:szCs w:val="18"/>
              </w:rPr>
              <w:t>10、输出通道处理部分包含分频，参量均衡，增益，静音，压缩/限幅器，相位，延时，连动调节，音量编组调节等处理单元。</w:t>
            </w:r>
          </w:p>
          <w:p>
            <w:pPr>
              <w:rPr>
                <w:rFonts w:ascii="宋体" w:hAnsi="宋体" w:eastAsia="宋体"/>
                <w:sz w:val="18"/>
                <w:szCs w:val="18"/>
              </w:rPr>
            </w:pPr>
            <w:r>
              <w:rPr>
                <w:rFonts w:hint="eastAsia" w:ascii="宋体" w:hAnsi="宋体" w:eastAsia="宋体"/>
                <w:sz w:val="18"/>
                <w:szCs w:val="18"/>
              </w:rPr>
              <w:t>11、所有通道的PEQ增益、带宽、频率连续可调，类型可选择: 参量均衡、低架滤波、高架滤波、低切滤波、高切滤波、1阶移相、2阶移相。</w:t>
            </w:r>
          </w:p>
          <w:p>
            <w:pPr>
              <w:rPr>
                <w:rFonts w:ascii="宋体" w:hAnsi="宋体" w:eastAsia="宋体"/>
                <w:sz w:val="18"/>
                <w:szCs w:val="18"/>
              </w:rPr>
            </w:pPr>
            <w:r>
              <w:rPr>
                <w:rFonts w:hint="eastAsia" w:ascii="宋体" w:hAnsi="宋体" w:eastAsia="宋体"/>
                <w:sz w:val="18"/>
                <w:szCs w:val="18"/>
              </w:rPr>
              <w:t>12、所有高切、低切滤波器的类型可选择：巴特沃斯、林奎瑞利、贝塞尔，斜率连续可选。</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13、输入通道噪声门的门限值、启动时间、恢复时间连续可调。输出通道的压缩/限幅器的阀值，比率，启动时间，恢复时间连续可调。所有输出通道的延时模块都具有高达680ms的延时时间（提供检测报告说明佐证加盖厂家公章）。</w:t>
            </w:r>
          </w:p>
          <w:p>
            <w:pPr>
              <w:rPr>
                <w:rFonts w:ascii="宋体" w:hAnsi="宋体" w:eastAsia="宋体"/>
                <w:sz w:val="18"/>
                <w:szCs w:val="18"/>
              </w:rPr>
            </w:pPr>
            <w:r>
              <w:rPr>
                <w:rFonts w:hint="eastAsia" w:ascii="宋体" w:hAnsi="宋体" w:eastAsia="宋体"/>
                <w:sz w:val="18"/>
                <w:szCs w:val="18"/>
              </w:rPr>
              <w:t>14、任意通道之间参数设置可以自由复制，以及任意通道可以进行连动调节。</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15、内置测试信号发生器，输出方式可选粉红噪声，白噪声及20Hz-20kHz正弦波可调，信号幅度可调（提供检测报告说明佐证加盖厂家公章）.</w:t>
            </w:r>
          </w:p>
          <w:p>
            <w:pPr>
              <w:rPr>
                <w:rFonts w:ascii="宋体" w:hAnsi="宋体" w:eastAsia="宋体"/>
                <w:sz w:val="18"/>
                <w:szCs w:val="18"/>
              </w:rPr>
            </w:pPr>
            <w:r>
              <w:rPr>
                <w:rFonts w:hint="eastAsia" w:ascii="宋体" w:hAnsi="宋体" w:eastAsia="宋体"/>
                <w:sz w:val="18"/>
                <w:szCs w:val="18"/>
              </w:rPr>
              <w:t>16、前面板支持蓝牙4.2播放、U盘播放（WAVA、 APE 、FLAC、 MP3等格式）、以及U盘录音功能。 带有精确的输入输出电平指示灯、 以及USB联机控制端口。后面板具有标准以太网远程控制RJ45端口、RS232&amp;RS485控制端口、以及GPIO输入和输出控制端口。 IP地址及ID地址可设置，网络及级联管理可实现多达255台机器的控制，并具有远程登录密码保护功能，使系统更稳定、更安全。</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17、设计具有完善的控制代码库，全面支持第三方中控的控制及管理，包括所有音量的控制、预设场景调用、参数查询及回码、当前电平值回显、任意输入及输出通道的编组控制（提供检测报告说明佐证加盖厂家公章）。</w:t>
            </w:r>
          </w:p>
          <w:p>
            <w:pPr>
              <w:rPr>
                <w:rFonts w:ascii="宋体" w:hAnsi="宋体" w:eastAsia="宋体"/>
                <w:sz w:val="18"/>
                <w:szCs w:val="18"/>
              </w:rPr>
            </w:pPr>
            <w:r>
              <w:rPr>
                <w:rFonts w:hint="eastAsia" w:ascii="宋体" w:hAnsi="宋体" w:eastAsia="宋体"/>
                <w:color w:val="000000"/>
                <w:sz w:val="18"/>
                <w:szCs w:val="18"/>
              </w:rPr>
              <w:t>★</w:t>
            </w:r>
            <w:r>
              <w:rPr>
                <w:rFonts w:hint="eastAsia" w:ascii="宋体" w:hAnsi="宋体" w:eastAsia="宋体"/>
                <w:sz w:val="18"/>
                <w:szCs w:val="18"/>
              </w:rPr>
              <w:t>18、12个用户场景预设，整机状态和每个预设都可以单独存储和调用，系统工作在断电记忆状态，确保数据不会丢失（提供检测报告说明佐证加盖厂家公章）。</w:t>
            </w:r>
          </w:p>
          <w:p>
            <w:pPr>
              <w:rPr>
                <w:rFonts w:ascii="宋体" w:hAnsi="宋体" w:eastAsia="宋体"/>
                <w:sz w:val="18"/>
                <w:szCs w:val="18"/>
              </w:rPr>
            </w:pPr>
            <w:r>
              <w:rPr>
                <w:rFonts w:hint="eastAsia" w:ascii="宋体" w:hAnsi="宋体" w:eastAsia="宋体"/>
                <w:sz w:val="18"/>
                <w:szCs w:val="18"/>
              </w:rPr>
              <w:t>设备能配备我司多种控制终端，有GPIO墙面中控面板、RS485液晶触摸中控面板、安卓无线平板控制软件Windows系统控制软件。</w:t>
            </w:r>
          </w:p>
          <w:p>
            <w:pPr>
              <w:rPr>
                <w:rFonts w:ascii="宋体" w:hAnsi="宋体" w:eastAsia="宋体"/>
                <w:sz w:val="18"/>
                <w:szCs w:val="18"/>
              </w:rPr>
            </w:pPr>
            <w:r>
              <w:rPr>
                <w:rFonts w:hint="eastAsia" w:ascii="宋体" w:hAnsi="宋体" w:eastAsia="宋体"/>
                <w:sz w:val="18"/>
                <w:szCs w:val="18"/>
              </w:rPr>
              <w:t>技术参数：</w:t>
            </w:r>
          </w:p>
          <w:p>
            <w:pPr>
              <w:rPr>
                <w:rFonts w:ascii="宋体" w:hAnsi="宋体" w:eastAsia="宋体"/>
                <w:sz w:val="18"/>
                <w:szCs w:val="18"/>
              </w:rPr>
            </w:pPr>
            <w:r>
              <w:rPr>
                <w:rFonts w:hint="eastAsia" w:ascii="宋体" w:hAnsi="宋体" w:eastAsia="宋体"/>
                <w:sz w:val="18"/>
                <w:szCs w:val="18"/>
              </w:rPr>
              <w:t>频率响应：20Hz-20kHz,-0.3dB</w:t>
            </w:r>
          </w:p>
          <w:p>
            <w:pPr>
              <w:rPr>
                <w:rFonts w:ascii="宋体" w:hAnsi="宋体" w:eastAsia="宋体"/>
                <w:sz w:val="18"/>
                <w:szCs w:val="18"/>
              </w:rPr>
            </w:pPr>
            <w:r>
              <w:rPr>
                <w:rFonts w:hint="eastAsia" w:ascii="宋体" w:hAnsi="宋体" w:eastAsia="宋体"/>
                <w:sz w:val="18"/>
                <w:szCs w:val="18"/>
              </w:rPr>
              <w:t>动态范围：&gt;115dBu</w:t>
            </w:r>
          </w:p>
          <w:p>
            <w:pPr>
              <w:rPr>
                <w:rFonts w:ascii="宋体" w:hAnsi="宋体" w:eastAsia="宋体"/>
                <w:sz w:val="18"/>
                <w:szCs w:val="18"/>
              </w:rPr>
            </w:pPr>
            <w:r>
              <w:rPr>
                <w:rFonts w:hint="eastAsia" w:ascii="宋体" w:hAnsi="宋体" w:eastAsia="宋体"/>
                <w:sz w:val="18"/>
                <w:szCs w:val="18"/>
              </w:rPr>
              <w:t>失真度：&lt;0.005% at 1kHz（0dBu）</w:t>
            </w:r>
          </w:p>
          <w:p>
            <w:pPr>
              <w:rPr>
                <w:rFonts w:ascii="宋体" w:hAnsi="宋体" w:eastAsia="宋体"/>
                <w:sz w:val="18"/>
                <w:szCs w:val="18"/>
              </w:rPr>
            </w:pPr>
            <w:r>
              <w:rPr>
                <w:rFonts w:hint="eastAsia" w:ascii="宋体" w:hAnsi="宋体" w:eastAsia="宋体"/>
                <w:sz w:val="18"/>
                <w:szCs w:val="18"/>
              </w:rPr>
              <w:t>串音：&gt;70dBu 20Hz-20kHz</w:t>
            </w:r>
          </w:p>
          <w:p>
            <w:pPr>
              <w:rPr>
                <w:rFonts w:ascii="宋体" w:hAnsi="宋体" w:eastAsia="宋体"/>
                <w:sz w:val="18"/>
                <w:szCs w:val="18"/>
              </w:rPr>
            </w:pPr>
            <w:r>
              <w:rPr>
                <w:rFonts w:hint="eastAsia" w:ascii="宋体" w:hAnsi="宋体" w:eastAsia="宋体"/>
                <w:sz w:val="18"/>
                <w:szCs w:val="18"/>
              </w:rPr>
              <w:t>共模拟制比：&gt;75dBu 1KHz</w:t>
            </w:r>
          </w:p>
          <w:p>
            <w:pPr>
              <w:rPr>
                <w:rFonts w:ascii="宋体" w:hAnsi="宋体" w:eastAsia="宋体"/>
                <w:sz w:val="18"/>
                <w:szCs w:val="18"/>
              </w:rPr>
            </w:pPr>
            <w:r>
              <w:rPr>
                <w:rFonts w:hint="eastAsia" w:ascii="宋体" w:hAnsi="宋体" w:eastAsia="宋体"/>
                <w:sz w:val="18"/>
                <w:szCs w:val="18"/>
              </w:rPr>
              <w:t>话筒输入类型：平衡式连接，幻象电源：+48V DC，增益：50dBu，阻抗：2k ohm</w:t>
            </w:r>
          </w:p>
          <w:p>
            <w:pPr>
              <w:rPr>
                <w:rFonts w:ascii="宋体" w:hAnsi="宋体" w:eastAsia="宋体"/>
                <w:sz w:val="18"/>
                <w:szCs w:val="18"/>
              </w:rPr>
            </w:pPr>
            <w:r>
              <w:rPr>
                <w:rFonts w:hint="eastAsia" w:ascii="宋体" w:hAnsi="宋体" w:eastAsia="宋体"/>
                <w:sz w:val="18"/>
                <w:szCs w:val="18"/>
              </w:rPr>
              <w:t>音乐输入类型：平衡式连接，增益：35dBu，阻抗：&gt;10k ohm</w:t>
            </w:r>
          </w:p>
          <w:p>
            <w:pPr>
              <w:rPr>
                <w:rFonts w:ascii="宋体" w:hAnsi="宋体" w:eastAsia="宋体"/>
                <w:sz w:val="18"/>
                <w:szCs w:val="18"/>
              </w:rPr>
            </w:pPr>
            <w:r>
              <w:rPr>
                <w:rFonts w:hint="eastAsia" w:ascii="宋体" w:hAnsi="宋体" w:eastAsia="宋体"/>
                <w:sz w:val="18"/>
                <w:szCs w:val="18"/>
              </w:rPr>
              <w:t>输出类型：平衡式连接，最大输出电平：+18dBu，阻抗：&lt; 500Ω</w:t>
            </w:r>
          </w:p>
          <w:p>
            <w:pPr>
              <w:rPr>
                <w:rFonts w:ascii="宋体" w:hAnsi="宋体" w:eastAsia="宋体"/>
                <w:sz w:val="18"/>
                <w:szCs w:val="18"/>
              </w:rPr>
            </w:pPr>
            <w:r>
              <w:rPr>
                <w:rFonts w:hint="eastAsia" w:ascii="宋体" w:hAnsi="宋体" w:eastAsia="宋体"/>
                <w:sz w:val="18"/>
                <w:szCs w:val="18"/>
              </w:rPr>
              <w:t>数字处理：24 bit sigma-delta A/D、D/A转换，40 bit浮点 DSP 96kHz采样率</w:t>
            </w:r>
          </w:p>
          <w:p>
            <w:pPr>
              <w:rPr>
                <w:rFonts w:ascii="宋体" w:hAnsi="宋体" w:eastAsia="宋体"/>
                <w:sz w:val="18"/>
                <w:szCs w:val="18"/>
              </w:rPr>
            </w:pPr>
            <w:r>
              <w:rPr>
                <w:rFonts w:hint="eastAsia" w:ascii="宋体" w:hAnsi="宋体" w:eastAsia="宋体"/>
                <w:sz w:val="18"/>
                <w:szCs w:val="18"/>
              </w:rPr>
              <w:t>电源:AC 95V-264V 50/60Hz</w:t>
            </w:r>
          </w:p>
          <w:p>
            <w:pPr>
              <w:rPr>
                <w:rFonts w:ascii="宋体" w:hAnsi="宋体" w:eastAsia="宋体"/>
                <w:sz w:val="18"/>
                <w:szCs w:val="18"/>
              </w:rPr>
            </w:pPr>
            <w:r>
              <w:rPr>
                <w:rFonts w:hint="eastAsia" w:ascii="宋体" w:hAnsi="宋体" w:eastAsia="宋体"/>
                <w:sz w:val="18"/>
                <w:szCs w:val="18"/>
              </w:rPr>
              <w:t>尺寸(长*宽*高):482*253*88MM</w:t>
            </w:r>
          </w:p>
          <w:p>
            <w:pPr>
              <w:rPr>
                <w:rFonts w:ascii="宋体" w:hAnsi="宋体" w:eastAsia="宋体"/>
                <w:sz w:val="18"/>
                <w:szCs w:val="18"/>
              </w:rPr>
            </w:pPr>
            <w:r>
              <w:rPr>
                <w:rFonts w:hint="eastAsia" w:ascii="宋体" w:hAnsi="宋体" w:eastAsia="宋体"/>
                <w:sz w:val="18"/>
                <w:szCs w:val="18"/>
              </w:rPr>
              <w:t>重量:5.18KG</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台</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14</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8路2编组调音台</w:t>
            </w:r>
          </w:p>
        </w:tc>
        <w:tc>
          <w:tcPr>
            <w:tcW w:w="5244" w:type="dxa"/>
            <w:vAlign w:val="center"/>
          </w:tcPr>
          <w:p>
            <w:pPr>
              <w:rPr>
                <w:rFonts w:ascii="宋体" w:hAnsi="宋体" w:eastAsia="宋体"/>
                <w:sz w:val="18"/>
                <w:szCs w:val="18"/>
              </w:rPr>
            </w:pPr>
            <w:r>
              <w:rPr>
                <w:rFonts w:hint="eastAsia" w:ascii="宋体" w:hAnsi="宋体" w:eastAsia="宋体"/>
                <w:sz w:val="18"/>
                <w:szCs w:val="18"/>
              </w:rPr>
              <w:t>通道： 8Mono</w:t>
            </w:r>
          </w:p>
          <w:p>
            <w:pPr>
              <w:rPr>
                <w:rFonts w:ascii="宋体" w:hAnsi="宋体" w:eastAsia="宋体"/>
                <w:sz w:val="18"/>
                <w:szCs w:val="18"/>
              </w:rPr>
            </w:pPr>
            <w:r>
              <w:rPr>
                <w:rFonts w:hint="eastAsia" w:ascii="宋体" w:hAnsi="宋体" w:eastAsia="宋体"/>
                <w:sz w:val="18"/>
                <w:szCs w:val="18"/>
              </w:rPr>
              <w:t>辅助输出： 3</w:t>
            </w:r>
          </w:p>
          <w:p>
            <w:pPr>
              <w:rPr>
                <w:rFonts w:ascii="宋体" w:hAnsi="宋体" w:eastAsia="宋体"/>
                <w:sz w:val="18"/>
                <w:szCs w:val="18"/>
              </w:rPr>
            </w:pPr>
            <w:r>
              <w:rPr>
                <w:rFonts w:hint="eastAsia" w:ascii="宋体" w:hAnsi="宋体" w:eastAsia="宋体"/>
                <w:sz w:val="18"/>
                <w:szCs w:val="18"/>
              </w:rPr>
              <w:t>返回： 1</w:t>
            </w:r>
          </w:p>
          <w:p>
            <w:pPr>
              <w:rPr>
                <w:rFonts w:ascii="宋体" w:hAnsi="宋体" w:eastAsia="宋体"/>
                <w:sz w:val="18"/>
                <w:szCs w:val="18"/>
              </w:rPr>
            </w:pPr>
            <w:r>
              <w:rPr>
                <w:rFonts w:hint="eastAsia" w:ascii="宋体" w:hAnsi="宋体" w:eastAsia="宋体"/>
                <w:sz w:val="18"/>
                <w:szCs w:val="18"/>
              </w:rPr>
              <w:t>效果器： 256/24Bit DSP</w:t>
            </w:r>
          </w:p>
          <w:p>
            <w:pPr>
              <w:rPr>
                <w:rFonts w:ascii="宋体" w:hAnsi="宋体" w:eastAsia="宋体"/>
                <w:sz w:val="18"/>
                <w:szCs w:val="18"/>
              </w:rPr>
            </w:pPr>
            <w:r>
              <w:rPr>
                <w:rFonts w:hint="eastAsia" w:ascii="宋体" w:hAnsi="宋体" w:eastAsia="宋体"/>
                <w:sz w:val="18"/>
                <w:szCs w:val="18"/>
              </w:rPr>
              <w:t>主控均衡： 9Band</w:t>
            </w:r>
          </w:p>
          <w:p>
            <w:pPr>
              <w:rPr>
                <w:rFonts w:ascii="宋体" w:hAnsi="宋体" w:eastAsia="宋体"/>
                <w:sz w:val="18"/>
                <w:szCs w:val="18"/>
              </w:rPr>
            </w:pPr>
            <w:r>
              <w:rPr>
                <w:rFonts w:hint="eastAsia" w:ascii="宋体" w:hAnsi="宋体" w:eastAsia="宋体"/>
                <w:sz w:val="18"/>
                <w:szCs w:val="18"/>
              </w:rPr>
              <w:t>主输出： 1 Stereo</w:t>
            </w:r>
          </w:p>
          <w:p>
            <w:pPr>
              <w:rPr>
                <w:rFonts w:ascii="宋体" w:hAnsi="宋体" w:eastAsia="宋体"/>
                <w:sz w:val="18"/>
                <w:szCs w:val="18"/>
              </w:rPr>
            </w:pPr>
            <w:r>
              <w:rPr>
                <w:rFonts w:hint="eastAsia" w:ascii="宋体" w:hAnsi="宋体" w:eastAsia="宋体"/>
                <w:sz w:val="18"/>
                <w:szCs w:val="18"/>
              </w:rPr>
              <w:t>编组输出： 2</w:t>
            </w:r>
          </w:p>
          <w:p>
            <w:pPr>
              <w:rPr>
                <w:rFonts w:ascii="宋体" w:hAnsi="宋体" w:eastAsia="宋体"/>
                <w:sz w:val="18"/>
                <w:szCs w:val="18"/>
              </w:rPr>
            </w:pPr>
            <w:r>
              <w:rPr>
                <w:rFonts w:hint="eastAsia" w:ascii="宋体" w:hAnsi="宋体" w:eastAsia="宋体"/>
                <w:sz w:val="18"/>
                <w:szCs w:val="18"/>
              </w:rPr>
              <w:t>幻象电源： 48V DC</w:t>
            </w:r>
          </w:p>
          <w:p>
            <w:pPr>
              <w:rPr>
                <w:rFonts w:ascii="宋体" w:hAnsi="宋体" w:eastAsia="宋体"/>
                <w:sz w:val="18"/>
                <w:szCs w:val="18"/>
              </w:rPr>
            </w:pPr>
            <w:r>
              <w:rPr>
                <w:rFonts w:ascii="宋体" w:hAnsi="宋体" w:eastAsia="宋体"/>
                <w:sz w:val="18"/>
                <w:szCs w:val="18"/>
              </w:rPr>
              <w:t>USB/REC</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台</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15</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一拖八无线会议麦克风</w:t>
            </w:r>
          </w:p>
        </w:tc>
        <w:tc>
          <w:tcPr>
            <w:tcW w:w="5244" w:type="dxa"/>
            <w:vAlign w:val="center"/>
          </w:tcPr>
          <w:p>
            <w:pPr>
              <w:rPr>
                <w:rFonts w:ascii="宋体" w:hAnsi="宋体" w:eastAsia="宋体"/>
                <w:sz w:val="18"/>
                <w:szCs w:val="18"/>
              </w:rPr>
            </w:pPr>
            <w:r>
              <w:rPr>
                <w:rFonts w:hint="eastAsia" w:ascii="宋体" w:hAnsi="宋体" w:eastAsia="宋体"/>
                <w:sz w:val="18"/>
                <w:szCs w:val="18"/>
              </w:rPr>
              <w:t xml:space="preserve">◆ 发射功率：10dBm </w:t>
            </w:r>
          </w:p>
          <w:p>
            <w:pPr>
              <w:rPr>
                <w:rFonts w:ascii="宋体" w:hAnsi="宋体" w:eastAsia="宋体"/>
                <w:sz w:val="18"/>
                <w:szCs w:val="18"/>
              </w:rPr>
            </w:pPr>
            <w:r>
              <w:rPr>
                <w:rFonts w:hint="eastAsia" w:ascii="宋体" w:hAnsi="宋体" w:eastAsia="宋体"/>
                <w:sz w:val="18"/>
                <w:szCs w:val="18"/>
              </w:rPr>
              <w:t xml:space="preserve">◆ 输入音频调制信号选择：MIC IN电容咪输入(内供电)、LINE IN音频线路输入 </w:t>
            </w:r>
          </w:p>
          <w:p>
            <w:pPr>
              <w:rPr>
                <w:rFonts w:ascii="宋体" w:hAnsi="宋体" w:eastAsia="宋体"/>
                <w:sz w:val="18"/>
                <w:szCs w:val="18"/>
              </w:rPr>
            </w:pPr>
            <w:r>
              <w:rPr>
                <w:rFonts w:hint="eastAsia" w:ascii="宋体" w:hAnsi="宋体" w:eastAsia="宋体"/>
                <w:sz w:val="18"/>
                <w:szCs w:val="18"/>
              </w:rPr>
              <w:t xml:space="preserve">◆ 调制方式：宽带FM </w:t>
            </w:r>
          </w:p>
          <w:p>
            <w:pPr>
              <w:rPr>
                <w:rFonts w:ascii="宋体" w:hAnsi="宋体" w:eastAsia="宋体"/>
                <w:sz w:val="18"/>
                <w:szCs w:val="18"/>
              </w:rPr>
            </w:pPr>
            <w:r>
              <w:rPr>
                <w:rFonts w:hint="eastAsia" w:ascii="宋体" w:hAnsi="宋体" w:eastAsia="宋体"/>
                <w:sz w:val="18"/>
                <w:szCs w:val="18"/>
              </w:rPr>
              <w:t xml:space="preserve">◆ 最大调制度：±45kHz </w:t>
            </w:r>
          </w:p>
          <w:p>
            <w:pPr>
              <w:rPr>
                <w:rFonts w:ascii="宋体" w:hAnsi="宋体" w:eastAsia="宋体"/>
                <w:sz w:val="18"/>
                <w:szCs w:val="18"/>
              </w:rPr>
            </w:pPr>
            <w:r>
              <w:rPr>
                <w:rFonts w:hint="eastAsia" w:ascii="宋体" w:hAnsi="宋体" w:eastAsia="宋体"/>
                <w:sz w:val="18"/>
                <w:szCs w:val="18"/>
              </w:rPr>
              <w:t xml:space="preserve">◆ 高次谐波：低于主波基准60dB以上 </w:t>
            </w:r>
          </w:p>
          <w:p>
            <w:pPr>
              <w:rPr>
                <w:rFonts w:ascii="宋体" w:hAnsi="宋体" w:eastAsia="宋体"/>
                <w:sz w:val="18"/>
                <w:szCs w:val="18"/>
              </w:rPr>
            </w:pPr>
            <w:r>
              <w:rPr>
                <w:rFonts w:hint="eastAsia" w:ascii="宋体" w:hAnsi="宋体" w:eastAsia="宋体"/>
                <w:sz w:val="18"/>
                <w:szCs w:val="18"/>
              </w:rPr>
              <w:t xml:space="preserve">◆ 供电：2节5号1.5V碱性电池 </w:t>
            </w:r>
          </w:p>
          <w:p>
            <w:pPr>
              <w:rPr>
                <w:rFonts w:ascii="宋体" w:hAnsi="宋体" w:eastAsia="宋体"/>
                <w:sz w:val="18"/>
                <w:szCs w:val="18"/>
              </w:rPr>
            </w:pPr>
            <w:r>
              <w:rPr>
                <w:rFonts w:hint="eastAsia" w:ascii="宋体" w:hAnsi="宋体" w:eastAsia="宋体"/>
                <w:sz w:val="18"/>
                <w:szCs w:val="18"/>
              </w:rPr>
              <w:t xml:space="preserve">◆ 连续使用时间：8小时 </w:t>
            </w:r>
          </w:p>
          <w:p>
            <w:pPr>
              <w:rPr>
                <w:rFonts w:ascii="宋体" w:hAnsi="宋体" w:eastAsia="宋体"/>
                <w:sz w:val="18"/>
                <w:szCs w:val="18"/>
              </w:rPr>
            </w:pPr>
            <w:r>
              <w:rPr>
                <w:rFonts w:hint="eastAsia" w:ascii="宋体" w:hAnsi="宋体" w:eastAsia="宋体"/>
                <w:sz w:val="18"/>
                <w:szCs w:val="18"/>
              </w:rPr>
              <w:t>接收机</w:t>
            </w:r>
          </w:p>
          <w:p>
            <w:pPr>
              <w:rPr>
                <w:rFonts w:ascii="宋体" w:hAnsi="宋体" w:eastAsia="宋体"/>
                <w:sz w:val="18"/>
                <w:szCs w:val="18"/>
              </w:rPr>
            </w:pPr>
            <w:r>
              <w:rPr>
                <w:rFonts w:hint="eastAsia" w:ascii="宋体" w:hAnsi="宋体" w:eastAsia="宋体"/>
                <w:sz w:val="18"/>
                <w:szCs w:val="18"/>
              </w:rPr>
              <w:t>◆ 载波频率：610MHz～669.7MHz / 790MHz～864.7MHz</w:t>
            </w:r>
          </w:p>
          <w:p>
            <w:pPr>
              <w:rPr>
                <w:rFonts w:ascii="宋体" w:hAnsi="宋体" w:eastAsia="宋体"/>
                <w:sz w:val="18"/>
                <w:szCs w:val="18"/>
              </w:rPr>
            </w:pPr>
            <w:r>
              <w:rPr>
                <w:rFonts w:hint="eastAsia" w:ascii="宋体" w:hAnsi="宋体" w:eastAsia="宋体"/>
                <w:sz w:val="18"/>
                <w:szCs w:val="18"/>
              </w:rPr>
              <w:t>◆ 电源适配器使用电压：AC110V-230V 50Hz/60Hz（按标注使用）</w:t>
            </w:r>
          </w:p>
          <w:p>
            <w:pPr>
              <w:rPr>
                <w:rFonts w:ascii="宋体" w:hAnsi="宋体" w:eastAsia="宋体"/>
                <w:sz w:val="18"/>
                <w:szCs w:val="18"/>
              </w:rPr>
            </w:pPr>
            <w:r>
              <w:rPr>
                <w:rFonts w:hint="eastAsia" w:ascii="宋体" w:hAnsi="宋体" w:eastAsia="宋体"/>
                <w:sz w:val="18"/>
                <w:szCs w:val="18"/>
              </w:rPr>
              <w:t xml:space="preserve">◆ 直流输入电压：DC12—DC15V   1500mA </w:t>
            </w:r>
          </w:p>
          <w:p>
            <w:pPr>
              <w:rPr>
                <w:rFonts w:ascii="宋体" w:hAnsi="宋体" w:eastAsia="宋体"/>
                <w:sz w:val="18"/>
                <w:szCs w:val="18"/>
              </w:rPr>
            </w:pPr>
            <w:r>
              <w:rPr>
                <w:rFonts w:hint="eastAsia" w:ascii="宋体" w:hAnsi="宋体" w:eastAsia="宋体"/>
                <w:sz w:val="18"/>
                <w:szCs w:val="18"/>
              </w:rPr>
              <w:t>◆ 消耗功率：13W</w:t>
            </w:r>
          </w:p>
          <w:p>
            <w:pPr>
              <w:rPr>
                <w:rFonts w:ascii="宋体" w:hAnsi="宋体" w:eastAsia="宋体"/>
                <w:sz w:val="18"/>
                <w:szCs w:val="18"/>
              </w:rPr>
            </w:pPr>
            <w:r>
              <w:rPr>
                <w:rFonts w:hint="eastAsia" w:ascii="宋体" w:hAnsi="宋体" w:eastAsia="宋体"/>
                <w:sz w:val="18"/>
                <w:szCs w:val="18"/>
              </w:rPr>
              <w:t>◆ S/N信噪比：≥95dB</w:t>
            </w:r>
          </w:p>
          <w:p>
            <w:pPr>
              <w:rPr>
                <w:rFonts w:ascii="宋体" w:hAnsi="宋体" w:eastAsia="宋体"/>
                <w:sz w:val="18"/>
                <w:szCs w:val="18"/>
              </w:rPr>
            </w:pPr>
            <w:r>
              <w:rPr>
                <w:rFonts w:hint="eastAsia" w:ascii="宋体" w:hAnsi="宋体" w:eastAsia="宋体"/>
                <w:sz w:val="18"/>
                <w:szCs w:val="18"/>
              </w:rPr>
              <w:t>◆ T.H.D失真：＜0.5%</w:t>
            </w:r>
          </w:p>
          <w:p>
            <w:pPr>
              <w:rPr>
                <w:rFonts w:ascii="宋体" w:hAnsi="宋体" w:eastAsia="宋体"/>
                <w:sz w:val="18"/>
                <w:szCs w:val="18"/>
              </w:rPr>
            </w:pPr>
            <w:r>
              <w:rPr>
                <w:rFonts w:hint="eastAsia" w:ascii="宋体" w:hAnsi="宋体" w:eastAsia="宋体"/>
                <w:sz w:val="18"/>
                <w:szCs w:val="18"/>
              </w:rPr>
              <w:t>◆ 频率响应：60Hz -16kHz</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套</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16</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电源管理器</w:t>
            </w:r>
          </w:p>
        </w:tc>
        <w:tc>
          <w:tcPr>
            <w:tcW w:w="5244" w:type="dxa"/>
            <w:vAlign w:val="center"/>
          </w:tcPr>
          <w:p>
            <w:pPr>
              <w:rPr>
                <w:rFonts w:ascii="宋体" w:hAnsi="宋体" w:eastAsia="宋体"/>
                <w:sz w:val="18"/>
                <w:szCs w:val="18"/>
              </w:rPr>
            </w:pPr>
            <w:r>
              <w:rPr>
                <w:rFonts w:hint="eastAsia" w:ascii="宋体" w:hAnsi="宋体" w:eastAsia="宋体"/>
                <w:sz w:val="18"/>
                <w:szCs w:val="18"/>
              </w:rPr>
              <w:t>8路20A电源管理器</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台</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17</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机柜</w:t>
            </w:r>
          </w:p>
        </w:tc>
        <w:tc>
          <w:tcPr>
            <w:tcW w:w="5244" w:type="dxa"/>
            <w:vAlign w:val="center"/>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r>
              <w:rPr>
                <w:rFonts w:hint="eastAsia" w:ascii="宋体" w:hAnsi="宋体" w:eastAsia="宋体"/>
                <w:sz w:val="18"/>
                <w:szCs w:val="18"/>
              </w:rPr>
              <w:t>米</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个</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18</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专业音箱线</w:t>
            </w:r>
          </w:p>
        </w:tc>
        <w:tc>
          <w:tcPr>
            <w:tcW w:w="5244" w:type="dxa"/>
            <w:vAlign w:val="center"/>
          </w:tcPr>
          <w:p>
            <w:pPr>
              <w:rPr>
                <w:rFonts w:ascii="宋体" w:hAnsi="宋体" w:eastAsia="宋体"/>
                <w:sz w:val="18"/>
                <w:szCs w:val="18"/>
              </w:rPr>
            </w:pPr>
            <w:r>
              <w:rPr>
                <w:rFonts w:hint="eastAsia" w:ascii="宋体" w:hAnsi="宋体" w:eastAsia="宋体"/>
                <w:sz w:val="18"/>
                <w:szCs w:val="18"/>
              </w:rPr>
              <w:t>2*200支无氧铜音响线</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批</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19</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音频线</w:t>
            </w:r>
          </w:p>
        </w:tc>
        <w:tc>
          <w:tcPr>
            <w:tcW w:w="5244" w:type="dxa"/>
            <w:vAlign w:val="center"/>
          </w:tcPr>
          <w:p>
            <w:pPr>
              <w:rPr>
                <w:rFonts w:ascii="宋体" w:hAnsi="宋体" w:eastAsia="宋体"/>
                <w:sz w:val="18"/>
                <w:szCs w:val="18"/>
              </w:rPr>
            </w:pPr>
            <w:r>
              <w:rPr>
                <w:rFonts w:hint="eastAsia" w:ascii="宋体" w:hAnsi="宋体" w:eastAsia="宋体"/>
                <w:sz w:val="18"/>
                <w:szCs w:val="18"/>
              </w:rPr>
              <w:t>128编无氧铜音频线</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卷</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2</w:t>
            </w:r>
            <w:r>
              <w:rPr>
                <w:rFonts w:ascii="宋体" w:hAnsi="宋体" w:eastAsia="宋体"/>
                <w:bCs/>
                <w:sz w:val="18"/>
                <w:szCs w:val="18"/>
              </w:rPr>
              <w:t>0</w:t>
            </w:r>
          </w:p>
        </w:tc>
        <w:tc>
          <w:tcPr>
            <w:tcW w:w="851" w:type="dxa"/>
            <w:vAlign w:val="center"/>
          </w:tcPr>
          <w:p>
            <w:pPr>
              <w:jc w:val="center"/>
              <w:textAlignment w:val="center"/>
              <w:rPr>
                <w:rFonts w:ascii="宋体" w:hAnsi="宋体" w:eastAsia="宋体"/>
                <w:bCs/>
                <w:sz w:val="18"/>
                <w:szCs w:val="18"/>
              </w:rPr>
            </w:pPr>
            <w:r>
              <w:rPr>
                <w:rFonts w:ascii="宋体" w:hAnsi="宋体" w:eastAsia="宋体"/>
                <w:color w:val="262626"/>
                <w:sz w:val="18"/>
                <w:szCs w:val="18"/>
                <w:shd w:val="clear" w:color="auto" w:fill="FFFFFF"/>
              </w:rPr>
              <w:t>HDMI线数字高清线</w:t>
            </w:r>
          </w:p>
        </w:tc>
        <w:tc>
          <w:tcPr>
            <w:tcW w:w="5244" w:type="dxa"/>
            <w:vAlign w:val="center"/>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r>
              <w:rPr>
                <w:rFonts w:hint="eastAsia" w:ascii="宋体" w:hAnsi="宋体" w:eastAsia="宋体"/>
                <w:sz w:val="18"/>
                <w:szCs w:val="18"/>
              </w:rPr>
              <w:t xml:space="preserve">米 </w:t>
            </w:r>
            <w:r>
              <w:rPr>
                <w:rFonts w:ascii="宋体" w:hAnsi="宋体" w:eastAsia="宋体"/>
                <w:sz w:val="18"/>
                <w:szCs w:val="18"/>
              </w:rPr>
              <w:t xml:space="preserve"> </w:t>
            </w:r>
            <w:r>
              <w:rPr>
                <w:rFonts w:hint="eastAsia" w:ascii="宋体" w:hAnsi="宋体" w:eastAsia="宋体"/>
                <w:sz w:val="18"/>
                <w:szCs w:val="18"/>
              </w:rPr>
              <w:t>含延长线转接头</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根</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jc w:val="center"/>
              <w:textAlignment w:val="center"/>
              <w:rPr>
                <w:rFonts w:ascii="宋体" w:hAnsi="宋体" w:eastAsia="宋体"/>
                <w:bCs/>
                <w:sz w:val="18"/>
                <w:szCs w:val="18"/>
              </w:rPr>
            </w:pPr>
            <w:r>
              <w:rPr>
                <w:rFonts w:ascii="宋体" w:hAnsi="宋体" w:eastAsia="宋体"/>
                <w:bCs/>
                <w:sz w:val="18"/>
                <w:szCs w:val="18"/>
              </w:rPr>
              <w:t>21</w:t>
            </w:r>
          </w:p>
        </w:tc>
        <w:tc>
          <w:tcPr>
            <w:tcW w:w="851" w:type="dxa"/>
            <w:vAlign w:val="center"/>
          </w:tcPr>
          <w:p>
            <w:pPr>
              <w:jc w:val="center"/>
              <w:textAlignment w:val="center"/>
              <w:rPr>
                <w:rFonts w:ascii="宋体" w:hAnsi="宋体" w:eastAsia="宋体"/>
                <w:bCs/>
                <w:sz w:val="18"/>
                <w:szCs w:val="18"/>
              </w:rPr>
            </w:pPr>
            <w:r>
              <w:rPr>
                <w:rFonts w:hint="eastAsia" w:ascii="宋体" w:hAnsi="宋体" w:eastAsia="宋体"/>
                <w:bCs/>
                <w:sz w:val="18"/>
                <w:szCs w:val="18"/>
              </w:rPr>
              <w:t>安装费</w:t>
            </w:r>
          </w:p>
        </w:tc>
        <w:tc>
          <w:tcPr>
            <w:tcW w:w="5244" w:type="dxa"/>
            <w:vAlign w:val="center"/>
          </w:tcPr>
          <w:p>
            <w:pPr>
              <w:rPr>
                <w:rFonts w:ascii="宋体" w:hAnsi="宋体" w:eastAsia="宋体"/>
                <w:sz w:val="18"/>
                <w:szCs w:val="18"/>
              </w:rPr>
            </w:pPr>
            <w:r>
              <w:rPr>
                <w:rFonts w:hint="eastAsia" w:ascii="宋体" w:hAnsi="宋体" w:eastAsia="宋体"/>
                <w:sz w:val="18"/>
                <w:szCs w:val="18"/>
              </w:rPr>
              <w:t>含人工及运输费 安装调试费、培训费</w:t>
            </w:r>
          </w:p>
        </w:tc>
        <w:tc>
          <w:tcPr>
            <w:tcW w:w="731"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600" w:type="dxa"/>
            <w:vAlign w:val="center"/>
          </w:tcPr>
          <w:p>
            <w:pPr>
              <w:jc w:val="center"/>
              <w:rPr>
                <w:rFonts w:ascii="宋体" w:hAnsi="宋体" w:eastAsia="宋体"/>
                <w:sz w:val="18"/>
                <w:szCs w:val="18"/>
              </w:rPr>
            </w:pPr>
            <w:r>
              <w:rPr>
                <w:rFonts w:hint="eastAsia" w:ascii="宋体" w:hAnsi="宋体" w:eastAsia="宋体"/>
                <w:sz w:val="18"/>
                <w:szCs w:val="18"/>
              </w:rPr>
              <w:t>批</w:t>
            </w:r>
          </w:p>
        </w:tc>
        <w:tc>
          <w:tcPr>
            <w:tcW w:w="663" w:type="dxa"/>
            <w:vAlign w:val="center"/>
          </w:tcPr>
          <w:p>
            <w:pPr>
              <w:jc w:val="center"/>
              <w:rPr>
                <w:rFonts w:ascii="宋体" w:hAnsi="宋体" w:eastAsia="宋体"/>
                <w:sz w:val="18"/>
                <w:szCs w:val="18"/>
              </w:rPr>
            </w:pPr>
          </w:p>
        </w:tc>
        <w:tc>
          <w:tcPr>
            <w:tcW w:w="625" w:type="dxa"/>
            <w:vAlign w:val="center"/>
          </w:tcPr>
          <w:p>
            <w:pPr>
              <w:jc w:val="center"/>
              <w:rPr>
                <w:rFonts w:ascii="宋体" w:hAnsi="宋体" w:eastAsia="宋体"/>
                <w:sz w:val="18"/>
                <w:szCs w:val="18"/>
                <w:highlight w:val="yellow"/>
              </w:rPr>
            </w:pPr>
          </w:p>
        </w:tc>
      </w:tr>
    </w:tbl>
    <w:p>
      <w:pPr>
        <w:spacing w:line="360" w:lineRule="auto"/>
        <w:rPr>
          <w:rFonts w:ascii="宋体" w:hAnsi="宋体" w:eastAsia="宋体"/>
          <w:b/>
          <w:bCs/>
          <w:sz w:val="24"/>
          <w:szCs w:val="24"/>
        </w:rPr>
      </w:pPr>
      <w:r>
        <w:rPr>
          <w:rFonts w:hint="eastAsia" w:ascii="宋体" w:hAnsi="宋体" w:eastAsia="宋体"/>
          <w:b/>
          <w:bCs/>
          <w:sz w:val="24"/>
          <w:szCs w:val="24"/>
        </w:rPr>
        <w:t>二、服务要求</w:t>
      </w:r>
    </w:p>
    <w:p>
      <w:pPr>
        <w:pStyle w:val="29"/>
      </w:pPr>
      <w:r>
        <w:rPr>
          <w:rFonts w:hint="eastAsia"/>
        </w:rPr>
        <w:t>1、质保期：整个项目提供不低于</w:t>
      </w:r>
      <w:r>
        <w:t>1</w:t>
      </w:r>
      <w:r>
        <w:rPr>
          <w:rFonts w:hint="eastAsia"/>
        </w:rPr>
        <w:t>年的原厂质保服务（提供原厂针对该项目的质保函）。自验收合格次日起算。质保期内发生任何设备损坏，所需要的维修费用（包括零部件费用、维修费用）均由卖方承担（人为操作不当造成的损坏除外）。</w:t>
      </w:r>
    </w:p>
    <w:p>
      <w:pPr>
        <w:pStyle w:val="29"/>
      </w:pPr>
      <w:r>
        <w:rPr>
          <w:rFonts w:hint="eastAsia"/>
        </w:rPr>
        <w:t>2.安装要求：须确保所提供设备的技术参数必须满足标书的技术要求，从而能够及时投入正常运行；须确保在合同规定的时间内，保质保量完成所提供全部设备的安装、调试及投入运行，且在项目实施前提供详细的方案，并获得用户方认可；</w:t>
      </w:r>
    </w:p>
    <w:p>
      <w:pPr>
        <w:pStyle w:val="29"/>
      </w:pPr>
      <w:r>
        <w:rPr>
          <w:rFonts w:hint="eastAsia"/>
        </w:rPr>
        <w:t>3.供应商应为采购方进行人员培训，提供每年不少于1次的设备操作培训，对人员培训不低于2人。</w:t>
      </w:r>
    </w:p>
    <w:p>
      <w:pPr>
        <w:pStyle w:val="29"/>
      </w:pPr>
      <w:r>
        <w:rPr>
          <w:rFonts w:hint="eastAsia"/>
        </w:rPr>
        <w:t>4.售后技术服务要求：在接到报修电话后</w:t>
      </w:r>
      <w:r>
        <w:t>1</w:t>
      </w:r>
      <w:r>
        <w:rPr>
          <w:rFonts w:hint="eastAsia"/>
        </w:rPr>
        <w:t>5分钟内响应，</w:t>
      </w:r>
      <w:r>
        <w:t>2</w:t>
      </w:r>
      <w:r>
        <w:rPr>
          <w:rFonts w:hint="eastAsia"/>
        </w:rPr>
        <w:t>小时内到位，及时排除故障，维修时长若大于2周，提供备用板</w:t>
      </w:r>
      <w:r>
        <w:t>3</w:t>
      </w:r>
      <w:r>
        <w:rPr>
          <w:rFonts w:hint="eastAsia"/>
        </w:rPr>
        <w:t>块。质保期满后，如设备出现故障报修，仍应在上述时间内响应，派人赶到甲方现场，免费帮助甲方排除故障、修复或者更换零部件；若需购买零部件，乙方可酌情收取成本费，但需免收上门费、人工费等费用。</w:t>
      </w:r>
    </w:p>
    <w:p>
      <w:pPr>
        <w:adjustRightInd/>
        <w:snapToGrid/>
        <w:spacing w:before="100" w:beforeAutospacing="1" w:after="100" w:afterAutospacing="1"/>
        <w:rPr>
          <w:rFonts w:ascii="宋体" w:hAnsi="宋体" w:eastAsia="宋体" w:cs="宋体"/>
          <w:b/>
          <w:bCs/>
          <w:sz w:val="24"/>
          <w:szCs w:val="24"/>
        </w:rPr>
      </w:pPr>
      <w:r>
        <w:rPr>
          <w:rFonts w:hint="eastAsia" w:ascii="宋体" w:hAnsi="宋体" w:eastAsia="宋体" w:cs="宋体"/>
          <w:b/>
          <w:bCs/>
          <w:sz w:val="24"/>
          <w:szCs w:val="24"/>
        </w:rPr>
        <w:t>三、安装要求</w:t>
      </w:r>
    </w:p>
    <w:p>
      <w:pPr>
        <w:pStyle w:val="29"/>
      </w:pPr>
      <w:r>
        <w:rPr>
          <w:rFonts w:hint="eastAsia"/>
        </w:rPr>
        <w:t>1、按照国家现行行业规范标准进行安装，符合国家或行业质量检验评定标准，没有行业标准的产品，投标人应提供相关制造商标准。</w:t>
      </w:r>
    </w:p>
    <w:p>
      <w:pPr>
        <w:pStyle w:val="29"/>
      </w:pPr>
      <w:r>
        <w:rPr>
          <w:rFonts w:hint="eastAsia"/>
        </w:rPr>
        <w:t>2、设备安装调试：设备到货后，卖方在接到通知的</w:t>
      </w:r>
      <w:r>
        <w:t>1</w:t>
      </w:r>
      <w:r>
        <w:rPr>
          <w:rFonts w:hint="eastAsia"/>
        </w:rPr>
        <w:t>个工作日内派人前往负责该设备的安装、调试和操作培训，直至达到各项验收指标合格。</w:t>
      </w:r>
    </w:p>
    <w:p>
      <w:pPr>
        <w:adjustRightInd/>
        <w:snapToGrid/>
        <w:spacing w:before="100" w:beforeAutospacing="1" w:after="100" w:afterAutospacing="1"/>
        <w:rPr>
          <w:rFonts w:ascii="宋体" w:hAnsi="宋体" w:eastAsia="宋体" w:cs="宋体"/>
          <w:b/>
          <w:bCs/>
          <w:sz w:val="24"/>
          <w:szCs w:val="24"/>
        </w:rPr>
      </w:pPr>
      <w:r>
        <w:rPr>
          <w:rFonts w:hint="eastAsia" w:ascii="宋体" w:hAnsi="宋体" w:eastAsia="宋体" w:cs="宋体"/>
          <w:b/>
          <w:bCs/>
          <w:sz w:val="24"/>
          <w:szCs w:val="24"/>
        </w:rPr>
        <w:t>四、交货期、交货方式及交货地点</w:t>
      </w:r>
    </w:p>
    <w:p>
      <w:pPr>
        <w:pStyle w:val="29"/>
      </w:pPr>
      <w:r>
        <w:rPr>
          <w:rFonts w:hint="eastAsia"/>
        </w:rPr>
        <w:t>1. 交货期：合同签订生效后，</w:t>
      </w:r>
      <w:r>
        <w:t>2</w:t>
      </w:r>
      <w:r>
        <w:rPr>
          <w:rFonts w:hint="eastAsia"/>
        </w:rPr>
        <w:t>日内完成供货、部署安装、系统调试、系统试运行等工作。</w:t>
      </w:r>
    </w:p>
    <w:p>
      <w:pPr>
        <w:pStyle w:val="29"/>
      </w:pPr>
      <w:r>
        <w:rPr>
          <w:rFonts w:hint="eastAsia"/>
        </w:rPr>
        <w:t>2. 交货方式：中标人在买方指定地点交货，并完成安装、调试。</w:t>
      </w:r>
    </w:p>
    <w:p>
      <w:pPr>
        <w:pStyle w:val="29"/>
      </w:pPr>
      <w:r>
        <w:rPr>
          <w:rFonts w:hint="eastAsia"/>
        </w:rPr>
        <w:t>3. 交货地点：南京医科大学。</w:t>
      </w:r>
    </w:p>
    <w:p>
      <w:pPr>
        <w:pStyle w:val="29"/>
      </w:pPr>
      <w:r>
        <w:rPr>
          <w:rFonts w:hint="eastAsia"/>
        </w:rPr>
        <w:t>4、交付使用要同时向采购人提供详细的技术文件、安装记录等，同时提供两份产品使用说明书。</w:t>
      </w:r>
    </w:p>
    <w:p>
      <w:pPr>
        <w:pStyle w:val="20"/>
        <w:spacing w:line="0" w:lineRule="atLeast"/>
        <w:rPr>
          <w:b/>
          <w:bCs/>
        </w:rPr>
      </w:pPr>
      <w:r>
        <w:rPr>
          <w:rFonts w:hint="eastAsia"/>
          <w:b/>
          <w:bCs/>
        </w:rPr>
        <w:t>五、其他技术服务需求：</w:t>
      </w:r>
    </w:p>
    <w:p>
      <w:pPr>
        <w:pStyle w:val="20"/>
        <w:spacing w:line="0" w:lineRule="atLeast"/>
        <w:ind w:firstLine="480" w:firstLineChars="200"/>
        <w:rPr>
          <w:rFonts w:cs="Times New Roman"/>
          <w:kern w:val="2"/>
        </w:rPr>
      </w:pPr>
      <w:r>
        <w:rPr>
          <w:rFonts w:hint="eastAsia" w:cs="Times New Roman"/>
          <w:kern w:val="2"/>
        </w:rPr>
        <w:t>1、供应商须保证本次投标产品系优质材料和先进工艺制成新出厂的产品，且完全与投标文件所述相符。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cs="宋体"/>
          <w:sz w:val="24"/>
          <w:szCs w:val="24"/>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新宋体" w:hAnsi="新宋体" w:eastAsia="新宋体" w:cs="新宋体"/>
          <w:b/>
          <w:bCs/>
          <w:sz w:val="24"/>
          <w:szCs w:val="24"/>
        </w:rPr>
      </w:pPr>
      <w:r>
        <w:rPr>
          <w:rFonts w:hint="eastAsia" w:ascii="新宋体" w:hAnsi="新宋体" w:eastAsia="新宋体" w:cs="新宋体"/>
          <w:b/>
          <w:bCs/>
          <w:sz w:val="24"/>
          <w:szCs w:val="24"/>
        </w:rPr>
        <w:t>六、</w:t>
      </w:r>
      <w:r>
        <w:rPr>
          <w:rFonts w:ascii="新宋体" w:hAnsi="新宋体" w:eastAsia="新宋体" w:cs="新宋体"/>
          <w:b/>
          <w:bCs/>
          <w:sz w:val="24"/>
          <w:szCs w:val="24"/>
        </w:rPr>
        <w:t>货款支付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货到安装完毕，正常运行后以15天为验收期限，验收期满或验收合格后付全款。</w:t>
      </w:r>
    </w:p>
    <w:p>
      <w:pPr>
        <w:pStyle w:val="4"/>
        <w:jc w:val="center"/>
        <w:rPr>
          <w:rFonts w:ascii="宋体" w:hAnsi="宋体" w:eastAsia="宋体"/>
          <w:bCs w:val="0"/>
          <w:sz w:val="44"/>
          <w:szCs w:val="44"/>
        </w:rPr>
      </w:pPr>
      <w:bookmarkStart w:id="160" w:name="_Toc136003451"/>
      <w:r>
        <w:rPr>
          <w:rFonts w:hint="eastAsia" w:ascii="宋体" w:hAnsi="宋体" w:eastAsia="宋体"/>
          <w:bCs w:val="0"/>
          <w:sz w:val="44"/>
          <w:szCs w:val="44"/>
        </w:rPr>
        <w:t>第四章  评标方法与评标标准</w:t>
      </w:r>
      <w:bookmarkEnd w:id="160"/>
    </w:p>
    <w:p>
      <w:pPr>
        <w:spacing w:line="360" w:lineRule="auto"/>
        <w:ind w:firstLine="480" w:firstLineChars="200"/>
        <w:rPr>
          <w:rFonts w:ascii="宋体" w:hAnsi="宋体"/>
          <w:b/>
          <w:sz w:val="24"/>
          <w:szCs w:val="24"/>
        </w:rPr>
      </w:pPr>
      <w:r>
        <w:rPr>
          <w:rFonts w:hint="eastAsia" w:ascii="宋体" w:hAnsi="宋体"/>
          <w:b/>
          <w:sz w:val="24"/>
          <w:szCs w:val="24"/>
        </w:rPr>
        <w:t>一、评标方法与定标原则</w:t>
      </w:r>
    </w:p>
    <w:p>
      <w:pPr>
        <w:pStyle w:val="29"/>
        <w:ind w:firstLineChars="200"/>
        <w:rPr>
          <w:rFonts w:ascii="宋体" w:hAnsi="宋体"/>
          <w:b/>
        </w:rPr>
      </w:pPr>
      <w:r>
        <w:rPr>
          <w:rFonts w:hint="eastAsia" w:ascii="宋体" w:hAnsi="宋体"/>
          <w:bCs/>
        </w:rPr>
        <w:t>评委会将对确定为实质性响应招标文件要求的投标文件进行评价和比较，评标采用综合评分法。</w:t>
      </w:r>
      <w:r>
        <w:rPr>
          <w:rFonts w:ascii="宋体" w:hAnsi="宋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eastAsia="宋体" w:cs="宋体"/>
        </w:rPr>
      </w:pPr>
      <w:r>
        <w:rPr>
          <w:rFonts w:hint="eastAsia" w:ascii="宋体" w:hAnsi="宋体"/>
          <w:b/>
          <w:sz w:val="24"/>
          <w:szCs w:val="24"/>
        </w:rPr>
        <w:t>二、评标标准</w:t>
      </w:r>
    </w:p>
    <w:bookmarkEnd w:id="8"/>
    <w:p>
      <w:pPr>
        <w:spacing w:line="360" w:lineRule="auto"/>
        <w:ind w:firstLine="480" w:firstLineChars="200"/>
        <w:rPr>
          <w:rFonts w:ascii="宋体" w:hAnsi="宋体" w:eastAsia="宋体" w:cs="Arial"/>
          <w:sz w:val="24"/>
          <w:szCs w:val="24"/>
          <w:lang w:val="en-US" w:eastAsia="zh-CN" w:bidi="ar-SA"/>
        </w:rPr>
      </w:pPr>
      <w:r>
        <w:rPr>
          <w:rFonts w:ascii="宋体" w:hAnsi="宋体" w:eastAsia="宋体" w:cs="Arial"/>
          <w:sz w:val="24"/>
          <w:szCs w:val="24"/>
          <w:lang w:val="en-US" w:eastAsia="zh-CN" w:bidi="ar-SA"/>
        </w:rPr>
        <w:t>本项目采用综合评分法确定中标候选人。评标委员会将按下列评分办法和标准进行评分，总分值为100分。</w:t>
      </w:r>
    </w:p>
    <w:p>
      <w:pPr>
        <w:spacing w:line="360" w:lineRule="auto"/>
        <w:ind w:firstLine="480" w:firstLineChars="200"/>
        <w:rPr>
          <w:rFonts w:ascii="宋体" w:hAnsi="宋体" w:eastAsia="宋体" w:cs="Arial"/>
          <w:sz w:val="24"/>
          <w:szCs w:val="24"/>
          <w:lang w:val="en-US" w:eastAsia="zh-CN" w:bidi="ar-SA"/>
        </w:rPr>
      </w:pPr>
      <w:r>
        <w:rPr>
          <w:rFonts w:hint="eastAsia" w:ascii="宋体" w:hAnsi="宋体" w:eastAsia="宋体" w:cs="Arial"/>
          <w:sz w:val="24"/>
          <w:szCs w:val="24"/>
          <w:lang w:val="en-US" w:eastAsia="zh-CN" w:bidi="ar-SA"/>
        </w:rPr>
        <w:t>投标人在投标文件中必须对产品的“技术参数及性能（★）要求”中的所有条款进行逐条应答，原件备查。并在技术规格偏表中标明是满足、正偏离或负偏离。</w:t>
      </w:r>
    </w:p>
    <w:tbl>
      <w:tblPr>
        <w:tblStyle w:val="24"/>
        <w:tblW w:w="864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77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eastAsia="宋体" w:cs="宋体"/>
              </w:rPr>
              <w:t>投标报价    (30分)</w:t>
            </w:r>
          </w:p>
        </w:tc>
        <w:tc>
          <w:tcPr>
            <w:tcW w:w="68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Cs w:val="21"/>
              </w:rPr>
            </w:pPr>
            <w:r>
              <w:rPr>
                <w:rFonts w:hint="eastAsia" w:ascii="宋体" w:hAnsi="宋体" w:eastAsia="宋体" w:cs="宋体"/>
              </w:rPr>
              <w:t>价格分采用低价优先法计算，即满足采购文件要求且报价最低的供应商报价为评标基准价，其价格分为满分30分，其它投标人的价格分统一按照以下公式计算：投标报价得分=（评标基准价/该投标人的投标报价）×30分。（分值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7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pStyle w:val="23"/>
              <w:rPr>
                <w:rFonts w:ascii="宋体" w:hAnsi="宋体"/>
              </w:rPr>
            </w:pPr>
          </w:p>
          <w:p/>
          <w:p>
            <w:pPr>
              <w:spacing w:line="360" w:lineRule="auto"/>
              <w:jc w:val="center"/>
              <w:rPr>
                <w:rFonts w:ascii="宋体" w:hAnsi="宋体" w:eastAsia="宋体"/>
                <w:szCs w:val="21"/>
              </w:rPr>
            </w:pPr>
            <w:r>
              <w:rPr>
                <w:rFonts w:hint="eastAsia" w:ascii="宋体" w:hAnsi="宋体" w:eastAsia="宋体" w:cs="宋体"/>
              </w:rPr>
              <w:t>技术参数及性能   （30分）</w:t>
            </w:r>
          </w:p>
        </w:tc>
        <w:tc>
          <w:tcPr>
            <w:tcW w:w="68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Cs w:val="21"/>
              </w:rPr>
            </w:pPr>
            <w:r>
              <w:rPr>
                <w:rFonts w:hint="eastAsia" w:ascii="宋体" w:hAnsi="宋体" w:eastAsia="宋体"/>
              </w:rPr>
              <w:t>投标产品对招标文件具体需求的响应程度能够满足招标文件技术要求的得30分，其中加★项技术要求如有负偏离每一项扣5分，超过三项不满足的本项不得分，其他一般性技术要求每有一项负偏离扣2分，直至扣完为止（加★的参数需提供</w:t>
            </w:r>
            <w:r>
              <w:rPr>
                <w:rFonts w:hint="eastAsia" w:ascii="宋体" w:hAnsi="宋体" w:eastAsia="宋体" w:cs="Times New Roman"/>
              </w:rPr>
              <w:t>CNAS、CMA认证的检测机构出具的检测报告</w:t>
            </w:r>
            <w:r>
              <w:rPr>
                <w:rFonts w:hint="eastAsia" w:ascii="宋体" w:hAnsi="宋体" w:eastAsia="宋体"/>
              </w:rPr>
              <w:t>复印件核查）。（投标人需按照本采购文件规定的具体技术要求和商务要求等，在“技术参数响应及偏离表”以及“商务条款响应及偏离表”中如实详细填列所投产品的参数及商务承诺，并按采购文件要求提供相应证明材料并在偏离表中标明所在页码，否则评标委员会有权做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77" w:type="dxa"/>
            <w:tcBorders>
              <w:top w:val="single" w:color="auto" w:sz="4" w:space="0"/>
              <w:left w:val="single" w:color="auto" w:sz="4" w:space="0"/>
              <w:bottom w:val="single" w:color="auto" w:sz="4" w:space="0"/>
              <w:right w:val="single" w:color="auto" w:sz="4" w:space="0"/>
            </w:tcBorders>
          </w:tcPr>
          <w:p>
            <w:pPr>
              <w:pStyle w:val="9"/>
              <w:jc w:val="center"/>
            </w:pPr>
          </w:p>
          <w:p>
            <w:pPr>
              <w:pStyle w:val="9"/>
              <w:jc w:val="both"/>
            </w:pPr>
          </w:p>
          <w:p>
            <w:pPr>
              <w:pStyle w:val="9"/>
              <w:jc w:val="center"/>
            </w:pPr>
          </w:p>
          <w:p>
            <w:pPr>
              <w:pStyle w:val="9"/>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制造商技术和服务能力</w:t>
            </w:r>
          </w:p>
          <w:p>
            <w:pPr>
              <w:spacing w:line="360" w:lineRule="auto"/>
              <w:jc w:val="center"/>
              <w:rPr>
                <w:rFonts w:ascii="宋体" w:hAnsi="宋体" w:eastAsia="宋体" w:cs="宋体"/>
              </w:rPr>
            </w:pPr>
            <w:r>
              <w:rPr>
                <w:rFonts w:hint="eastAsia" w:ascii="宋体" w:hAnsi="宋体" w:eastAsia="宋体" w:cs="宋体"/>
                <w:sz w:val="22"/>
                <w:szCs w:val="22"/>
                <w:lang w:val="en-US" w:eastAsia="zh-CN" w:bidi="ar-SA"/>
              </w:rPr>
              <w:t>（20分）</w:t>
            </w:r>
          </w:p>
        </w:tc>
        <w:tc>
          <w:tcPr>
            <w:tcW w:w="687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rPr>
            </w:pPr>
            <w:r>
              <w:rPr>
                <w:rFonts w:hint="eastAsia" w:ascii="宋体" w:hAnsi="宋体" w:eastAsia="宋体" w:cs="宋体"/>
              </w:rPr>
              <w:t>1、LED显示单元须是节能产品（由LED显示屏厂家提供CQC中国节能产品认证证书）且必须在中国质量认证中心网站（http://www.ccgp.gov.cn））的节能产品政府采购清单中公示。有的得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2、LED显示屏具有远程安全监控系统计算机软件著作权证书。得2分，没有不得分。评审依据：标书中提供复印件并加盖制造商公章。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3、LED显示屏具有智能亮度调节和自动逐点校正软件著作权证书，得2分，没有不得分。评审依据：标书中提供复印件并加盖制造商公章。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4、LED显示屏具有图像优化节能处理系统软件著作证书，得 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5、配电柜具有LED显示屏远程智能PLC配电及无线物联系统软件著作权证书，得2分，没有不得分。评审依据：标书中提供复印件并加盖制造商公章。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6、LED显示屏制造商获得GB/T19001质量、GB/T45001职业健康、GB/T24001环境管理体系 ，得2分，缺一不得分。评审依据：标书中提供复印件并加盖制造商公章。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7、LED显示屏制造商满足获得CE认证，FCC认证，IC认证，ROHS认证中的3项或以上，得2分；不足3项，不得分。 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8、LED显示屏制造商具有3C认证证书，有的得2分，否则不得分。评审依据：标书中提供复印件并加盖制造商公章。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9、LED显示屏制造商具有AAA企业综合信用等级评价证书得2分，评审依据：标书中提供复印件并加盖制造商公章。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10、LED显示屏具有蓝光危害检测报告的得2分，没有不得分。评审依据：标书中提供复印件并加盖制造商公章。</w:t>
            </w:r>
          </w:p>
          <w:p>
            <w:pPr>
              <w:spacing w:line="360" w:lineRule="auto"/>
              <w:rPr>
                <w:rFonts w:hint="eastAsia" w:ascii="宋体" w:hAnsi="宋体" w:eastAsia="宋体" w:cs="宋体"/>
              </w:rPr>
            </w:pPr>
            <w:r>
              <w:rPr>
                <w:rFonts w:hint="eastAsia" w:ascii="宋体" w:hAnsi="宋体" w:eastAsia="宋体" w:cs="宋体"/>
              </w:rPr>
              <w:t>注：未提供或未按要求提供的不得分。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77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spacing w:line="360" w:lineRule="auto"/>
              <w:jc w:val="center"/>
              <w:rPr>
                <w:rFonts w:ascii="宋体" w:hAnsi="宋体" w:eastAsia="宋体" w:cs="宋体"/>
              </w:rPr>
            </w:pPr>
            <w:r>
              <w:rPr>
                <w:rFonts w:hint="eastAsia" w:ascii="宋体" w:hAnsi="宋体" w:eastAsia="宋体" w:cs="宋体"/>
              </w:rPr>
              <w:t>业绩</w:t>
            </w:r>
          </w:p>
          <w:p>
            <w:pPr>
              <w:spacing w:line="360" w:lineRule="auto"/>
              <w:jc w:val="center"/>
              <w:rPr>
                <w:rFonts w:ascii="宋体" w:hAnsi="宋体"/>
                <w:szCs w:val="21"/>
              </w:rPr>
            </w:pPr>
            <w:r>
              <w:rPr>
                <w:rFonts w:hint="eastAsia" w:ascii="宋体" w:hAnsi="宋体" w:eastAsia="宋体" w:cs="宋体"/>
              </w:rPr>
              <w:t>(6分)</w:t>
            </w:r>
          </w:p>
        </w:tc>
        <w:tc>
          <w:tcPr>
            <w:tcW w:w="687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rPr>
            </w:pPr>
            <w:r>
              <w:rPr>
                <w:rFonts w:hint="eastAsia" w:ascii="宋体" w:hAnsi="宋体" w:eastAsia="宋体" w:cs="宋体"/>
              </w:rPr>
              <w:t>所投同类产品近三年(2019年1</w:t>
            </w:r>
            <w:r>
              <w:rPr>
                <w:rFonts w:hint="eastAsia" w:ascii="宋体" w:hAnsi="宋体" w:eastAsia="宋体" w:cs="宋体"/>
              </w:rPr>
              <w:t>月-2022</w:t>
            </w:r>
            <w:r>
              <w:rPr>
                <w:rFonts w:hint="eastAsia" w:ascii="宋体" w:hAnsi="宋体" w:eastAsia="宋体" w:cs="宋体"/>
              </w:rPr>
              <w:t>年12</w:t>
            </w:r>
            <w:r>
              <w:rPr>
                <w:rFonts w:hint="eastAsia" w:ascii="宋体" w:hAnsi="宋体" w:eastAsia="宋体" w:cs="宋体"/>
              </w:rPr>
              <w:t>月)的销售业绩。每提供一份有效合同复印件及对应发票扫描件得2分，最多得6分。（原件备查。合同需清晰展示盖章签字部分所在页，并提供用户联系人及联系方式，以便验证。否则不得分）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rPr>
            </w:pPr>
            <w:r>
              <w:rPr>
                <w:rFonts w:hint="eastAsia" w:ascii="宋体" w:hAnsi="宋体" w:eastAsia="宋体" w:cs="宋体"/>
              </w:rPr>
              <w:t xml:space="preserve">服务     </w:t>
            </w:r>
          </w:p>
          <w:p>
            <w:pPr>
              <w:spacing w:line="360" w:lineRule="auto"/>
              <w:jc w:val="center"/>
              <w:rPr>
                <w:rFonts w:ascii="宋体" w:hAnsi="宋体"/>
                <w:szCs w:val="21"/>
              </w:rPr>
            </w:pPr>
            <w:r>
              <w:rPr>
                <w:rFonts w:hint="eastAsia" w:ascii="宋体" w:hAnsi="宋体" w:eastAsia="宋体" w:cs="宋体"/>
              </w:rPr>
              <w:t>（1</w:t>
            </w:r>
            <w:r>
              <w:rPr>
                <w:rFonts w:ascii="宋体" w:hAnsi="宋体" w:eastAsia="宋体" w:cs="宋体"/>
              </w:rPr>
              <w:t>2</w:t>
            </w:r>
            <w:r>
              <w:rPr>
                <w:rFonts w:hint="eastAsia" w:ascii="宋体" w:hAnsi="宋体" w:eastAsia="宋体" w:cs="宋体"/>
              </w:rPr>
              <w:t>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售后服务方案：售后服务体系、售后服务承诺、质保期内的售后服务范围、质保期满后的售后服务范围和收费情况、备品备件的承诺。</w:t>
            </w:r>
          </w:p>
          <w:p>
            <w:pPr>
              <w:spacing w:line="360" w:lineRule="auto"/>
              <w:rPr>
                <w:rFonts w:hint="eastAsia" w:ascii="宋体" w:hAnsi="宋体" w:eastAsia="宋体" w:cs="宋体"/>
              </w:rPr>
            </w:pPr>
            <w:r>
              <w:rPr>
                <w:rFonts w:hint="eastAsia" w:ascii="宋体" w:hAnsi="宋体" w:eastAsia="宋体" w:cs="宋体"/>
              </w:rPr>
              <w:t>服务体系完整、详细、提供的故障解决方案合理可行得4分；服务体系较完整、较详细、较合理可行得2分；方案基本完整、基本合理可行得1分。无方案不得分。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dxa"/>
            <w:vMerge w:val="continue"/>
            <w:tcBorders>
              <w:left w:val="single" w:color="auto" w:sz="4" w:space="0"/>
              <w:right w:val="single" w:color="auto" w:sz="4" w:space="0"/>
            </w:tcBorders>
          </w:tcPr>
          <w:p>
            <w:pPr>
              <w:rPr>
                <w:rFonts w:ascii="宋体" w:hAnsi="宋体"/>
                <w:bCs/>
                <w:szCs w:val="21"/>
              </w:rPr>
            </w:pPr>
          </w:p>
        </w:tc>
        <w:tc>
          <w:tcPr>
            <w:tcW w:w="6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培训：对买方操作、维护人员的培训方案及计划。</w:t>
            </w:r>
          </w:p>
          <w:p>
            <w:pPr>
              <w:spacing w:line="360" w:lineRule="auto"/>
              <w:rPr>
                <w:rFonts w:hint="eastAsia" w:ascii="宋体" w:hAnsi="宋体" w:eastAsia="宋体" w:cs="宋体"/>
              </w:rPr>
            </w:pPr>
            <w:r>
              <w:rPr>
                <w:rFonts w:hint="eastAsia" w:ascii="宋体" w:hAnsi="宋体" w:eastAsia="宋体" w:cs="宋体"/>
              </w:rPr>
              <w:t>方案完整、合理可行，针对性强的得4分；方案较完整、较合理可行，针对性不强的得2分；方案基本完整、有一定可行性，无针对性的得1分。无方案不得分。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dxa"/>
            <w:vMerge w:val="continue"/>
            <w:tcBorders>
              <w:left w:val="single" w:color="auto" w:sz="4" w:space="0"/>
              <w:right w:val="single" w:color="auto" w:sz="4" w:space="0"/>
            </w:tcBorders>
          </w:tcPr>
          <w:p>
            <w:pPr>
              <w:rPr>
                <w:rFonts w:ascii="宋体" w:hAnsi="宋体"/>
                <w:bCs/>
                <w:szCs w:val="21"/>
              </w:rPr>
            </w:pPr>
          </w:p>
        </w:tc>
        <w:tc>
          <w:tcPr>
            <w:tcW w:w="6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项目整体及所有设备满足招标文件免费质保期要求的得1分，在此基础上整机免费质保每增加1年加1分，最高得4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dxa"/>
            <w:tcBorders>
              <w:left w:val="single" w:color="auto" w:sz="4" w:space="0"/>
              <w:right w:val="single" w:color="auto" w:sz="4" w:space="0"/>
            </w:tcBorders>
            <w:vAlign w:val="center"/>
          </w:tcPr>
          <w:p>
            <w:pPr>
              <w:spacing w:line="360" w:lineRule="auto"/>
              <w:jc w:val="center"/>
              <w:rPr>
                <w:rFonts w:ascii="宋体" w:hAnsi="宋体" w:eastAsia="宋体" w:cs="宋体"/>
              </w:rPr>
            </w:pPr>
            <w:r>
              <w:rPr>
                <w:rFonts w:hint="eastAsia" w:ascii="宋体" w:hAnsi="宋体" w:eastAsia="宋体" w:cs="宋体"/>
              </w:rPr>
              <w:t>国家政策</w:t>
            </w:r>
          </w:p>
          <w:p>
            <w:pPr>
              <w:spacing w:line="360" w:lineRule="auto"/>
              <w:jc w:val="center"/>
              <w:rPr>
                <w:rFonts w:ascii="宋体" w:hAnsi="宋体" w:eastAsia="宋体" w:cs="宋体"/>
              </w:rPr>
            </w:pPr>
            <w:r>
              <w:rPr>
                <w:rFonts w:hint="eastAsia" w:ascii="宋体" w:hAnsi="宋体" w:eastAsia="宋体" w:cs="宋体"/>
              </w:rPr>
              <w:t>（2分）</w:t>
            </w:r>
          </w:p>
        </w:tc>
        <w:tc>
          <w:tcPr>
            <w:tcW w:w="687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rPr>
            </w:pPr>
            <w:r>
              <w:rPr>
                <w:rFonts w:hint="eastAsia" w:ascii="宋体" w:hAnsi="宋体" w:eastAsia="宋体" w:cs="宋体"/>
              </w:rPr>
              <w:t>节能产品：根据财政部、发展改革委 财库[2019]19号文件精神，投标人所投产品在节能产品政府采购品目清单范围内并提供相应认证机构发放的认证证书的得2分。（提供证书复印件并加盖公章，原件备查）</w:t>
            </w:r>
          </w:p>
        </w:tc>
      </w:tr>
    </w:tbl>
    <w:p>
      <w:pPr>
        <w:pStyle w:val="3"/>
        <w:pageBreakBefore/>
        <w:rPr>
          <w:rFonts w:ascii="宋体" w:hAnsi="宋体" w:eastAsia="宋体"/>
          <w:b/>
          <w:bCs/>
          <w:sz w:val="44"/>
        </w:rPr>
      </w:pPr>
      <w:bookmarkStart w:id="161" w:name="_Toc136003452"/>
      <w:r>
        <w:rPr>
          <w:rFonts w:hint="eastAsia" w:ascii="宋体" w:hAnsi="宋体" w:eastAsia="宋体"/>
          <w:b/>
          <w:bCs/>
          <w:sz w:val="44"/>
        </w:rPr>
        <w:t>第五章  投标文件格式</w:t>
      </w:r>
      <w:bookmarkEnd w:id="161"/>
    </w:p>
    <w:p>
      <w:pPr>
        <w:jc w:val="center"/>
        <w:rPr>
          <w:rFonts w:ascii="宋体" w:hAnsi="宋体"/>
          <w:b/>
          <w:sz w:val="72"/>
        </w:rPr>
      </w:pPr>
      <w:bookmarkStart w:id="162" w:name="_Hlt26671244"/>
      <w:bookmarkEnd w:id="162"/>
      <w:bookmarkStart w:id="163" w:name="_Hlt26955039"/>
      <w:bookmarkEnd w:id="163"/>
      <w:bookmarkStart w:id="164" w:name="_Toc120614282"/>
      <w:bookmarkStart w:id="165" w:name="_Toc26554094"/>
      <w:bookmarkStart w:id="166"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9"/>
        <w:ind w:firstLine="0"/>
        <w:jc w:val="center"/>
        <w:rPr>
          <w:b/>
        </w:rPr>
      </w:pPr>
      <w:bookmarkStart w:id="167" w:name="_Toc517190894"/>
      <w:r>
        <w:rPr>
          <w:rFonts w:hint="eastAsia"/>
          <w:b/>
          <w:sz w:val="32"/>
        </w:rPr>
        <w:t>投标函格式</w:t>
      </w:r>
      <w:bookmarkEnd w:id="167"/>
    </w:p>
    <w:p>
      <w:pPr>
        <w:pStyle w:val="29"/>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9"/>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9"/>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9"/>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9"/>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9"/>
        <w:spacing w:before="0" w:after="0" w:line="420" w:lineRule="exact"/>
        <w:ind w:left="440" w:leftChars="200" w:firstLine="3500" w:firstLineChars="1250"/>
        <w:rPr>
          <w:rFonts w:ascii="宋体" w:hAnsi="宋体"/>
          <w:kern w:val="2"/>
          <w:sz w:val="28"/>
          <w:szCs w:val="21"/>
        </w:rPr>
      </w:pPr>
    </w:p>
    <w:p>
      <w:pPr>
        <w:pStyle w:val="29"/>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9"/>
        <w:ind w:firstLine="0"/>
        <w:jc w:val="center"/>
        <w:rPr>
          <w:b/>
          <w:sz w:val="32"/>
        </w:rPr>
      </w:pPr>
      <w:bookmarkStart w:id="168" w:name="_Toc517190895"/>
      <w:r>
        <w:rPr>
          <w:rFonts w:hint="eastAsia"/>
          <w:b/>
          <w:sz w:val="32"/>
        </w:rPr>
        <w:t>法人授权书</w:t>
      </w:r>
      <w:bookmarkEnd w:id="168"/>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31"/>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31"/>
        <w:spacing w:line="360" w:lineRule="auto"/>
        <w:ind w:firstLine="560"/>
        <w:jc w:val="right"/>
        <w:rPr>
          <w:rFonts w:asciiTheme="minorEastAsia" w:hAnsiTheme="minorEastAsia" w:eastAsiaTheme="minorEastAsia"/>
          <w:szCs w:val="24"/>
        </w:rPr>
      </w:pP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31"/>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31"/>
        <w:spacing w:line="360" w:lineRule="auto"/>
        <w:ind w:firstLine="560"/>
        <w:jc w:val="right"/>
        <w:rPr>
          <w:rFonts w:asciiTheme="minorEastAsia" w:hAnsiTheme="minorEastAsia" w:eastAsiaTheme="minorEastAsia"/>
          <w:szCs w:val="24"/>
        </w:rPr>
      </w:pPr>
    </w:p>
    <w:p>
      <w:pPr>
        <w:pStyle w:val="31"/>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8"/>
        <w:rPr>
          <w:rFonts w:asciiTheme="minorEastAsia" w:hAnsiTheme="minorEastAsia" w:eastAsiaTheme="minorEastAsia"/>
          <w:sz w:val="22"/>
        </w:rPr>
      </w:pPr>
      <w:bookmarkStart w:id="169" w:name="_Hlt26671380"/>
      <w:bookmarkEnd w:id="169"/>
      <w:bookmarkStart w:id="170" w:name="_Hlt26955070"/>
      <w:bookmarkEnd w:id="170"/>
      <w:bookmarkStart w:id="171" w:name="_格式3__银行出具的资信证明"/>
      <w:bookmarkEnd w:id="171"/>
    </w:p>
    <w:p>
      <w:pPr>
        <w:pStyle w:val="4"/>
        <w:rPr>
          <w:rFonts w:asciiTheme="minorEastAsia" w:hAnsiTheme="minorEastAsia" w:eastAsiaTheme="minorEastAsia"/>
          <w:sz w:val="36"/>
        </w:rPr>
      </w:pPr>
    </w:p>
    <w:p>
      <w:pPr>
        <w:pStyle w:val="29"/>
        <w:pageBreakBefore/>
        <w:ind w:firstLine="0"/>
        <w:jc w:val="center"/>
        <w:rPr>
          <w:b/>
          <w:sz w:val="32"/>
          <w:szCs w:val="20"/>
        </w:rPr>
      </w:pPr>
      <w:bookmarkStart w:id="172" w:name="_Toc517190896"/>
      <w:r>
        <w:rPr>
          <w:rFonts w:hint="eastAsia"/>
          <w:b/>
          <w:sz w:val="32"/>
        </w:rPr>
        <w:t>开标一览表</w:t>
      </w:r>
      <w:bookmarkEnd w:id="172"/>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10"/>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10"/>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10"/>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9"/>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10"/>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10"/>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10"/>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10"/>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10"/>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10"/>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9"/>
        <w:ind w:firstLine="0"/>
        <w:jc w:val="center"/>
        <w:rPr>
          <w:b/>
          <w:sz w:val="32"/>
        </w:rPr>
      </w:pPr>
      <w:r>
        <w:rPr>
          <w:rFonts w:hint="eastAsia"/>
          <w:b/>
          <w:sz w:val="32"/>
        </w:rPr>
        <w:t>投标产品配置及分项报价表</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Theme="minorEastAsia" w:hAnsiTheme="minorEastAsia" w:eastAsiaTheme="minorEastAsia"/>
          <w:sz w:val="28"/>
          <w:szCs w:val="24"/>
        </w:rPr>
      </w:pPr>
      <w:r>
        <w:rPr>
          <w:rFonts w:asciiTheme="minorEastAsia" w:hAnsiTheme="minorEastAsia" w:eastAsiaTheme="minorEastAsia"/>
          <w:sz w:val="28"/>
          <w:szCs w:val="24"/>
        </w:rPr>
        <w:br w:type="page"/>
      </w:r>
    </w:p>
    <w:bookmarkEnd w:id="164"/>
    <w:bookmarkEnd w:id="165"/>
    <w:bookmarkEnd w:id="166"/>
    <w:p>
      <w:pPr>
        <w:jc w:val="center"/>
        <w:rPr>
          <w:rFonts w:ascii="Arial" w:hAnsi="Arial" w:eastAsia="宋体" w:cs="Times New Roman"/>
          <w:b/>
          <w:sz w:val="32"/>
          <w:szCs w:val="24"/>
        </w:rPr>
      </w:pPr>
      <w:bookmarkStart w:id="173"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8"/>
      </w:pPr>
    </w:p>
    <w:bookmarkEnd w:id="173"/>
    <w:p>
      <w:pPr>
        <w:pStyle w:val="29"/>
        <w:ind w:firstLine="0"/>
        <w:rPr>
          <w:rFonts w:asciiTheme="minorEastAsia" w:hAnsiTheme="minorEastAsia" w:eastAsiaTheme="minorEastAsia"/>
          <w:sz w:val="28"/>
          <w:szCs w:val="28"/>
        </w:rPr>
      </w:pPr>
    </w:p>
    <w:p>
      <w:pPr>
        <w:pStyle w:val="29"/>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财务报表等</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宋体" w:hAnsi="宋体" w:eastAsia="宋体"/>
          <w:b/>
          <w:bCs/>
          <w:sz w:val="36"/>
          <w:szCs w:val="36"/>
        </w:rPr>
      </w:pPr>
    </w:p>
    <w:p>
      <w:pPr>
        <w:pStyle w:val="3"/>
        <w:pageBreakBefore/>
        <w:rPr>
          <w:rFonts w:ascii="宋体" w:hAnsi="宋体" w:eastAsia="宋体"/>
          <w:b/>
          <w:bCs/>
          <w:sz w:val="44"/>
        </w:rPr>
      </w:pPr>
      <w:bookmarkStart w:id="174" w:name="_Toc136003453"/>
      <w:r>
        <w:rPr>
          <w:rFonts w:hint="eastAsia" w:ascii="宋体" w:hAnsi="宋体" w:eastAsia="宋体"/>
          <w:b/>
          <w:bCs/>
          <w:sz w:val="44"/>
        </w:rPr>
        <w:t>第六章  拟签订的合同文本</w:t>
      </w:r>
      <w:bookmarkEnd w:id="174"/>
    </w:p>
    <w:p>
      <w:pPr>
        <w:pStyle w:val="14"/>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4"/>
        <w:spacing w:before="120" w:after="120" w:line="340" w:lineRule="exact"/>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4"/>
        <w:spacing w:before="120" w:after="120" w:line="3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4"/>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4"/>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340" w:lineRule="exac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40" w:lineRule="exact"/>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340" w:lineRule="exac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40" w:lineRule="exac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40" w:lineRule="exact"/>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spacing w:line="340" w:lineRule="exact"/>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4"/>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4"/>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货物交付且安装、调试后，并通过验收后一周内甲方支付合同总金额的100%，付款之前需收到乙方开具的合法有效的全额发票。</w:t>
      </w:r>
    </w:p>
    <w:p>
      <w:pPr>
        <w:pStyle w:val="14"/>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4"/>
        <w:spacing w:before="120" w:after="120" w:line="340" w:lineRule="exact"/>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4"/>
        <w:spacing w:before="120" w:after="120" w:line="340" w:lineRule="exact"/>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4"/>
        <w:spacing w:before="120" w:after="120" w:line="340" w:lineRule="exact"/>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4"/>
        <w:snapToGrid w:val="0"/>
        <w:spacing w:before="120" w:after="120" w:line="340" w:lineRule="exact"/>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4"/>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4"/>
        <w:spacing w:before="120" w:after="120" w:line="3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4"/>
        <w:spacing w:before="120" w:after="120" w:line="340" w:lineRule="exact"/>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4"/>
        <w:spacing w:before="120" w:after="120" w:line="34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4"/>
        <w:spacing w:before="120" w:after="120" w:line="340" w:lineRule="exact"/>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4"/>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4"/>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4"/>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中华人民共和国民法典</w:t>
      </w:r>
      <w:r>
        <w:rPr>
          <w:rFonts w:asciiTheme="minorEastAsia" w:hAnsiTheme="minorEastAsia" w:eastAsiaTheme="minorEastAsia"/>
          <w:sz w:val="24"/>
          <w:szCs w:val="24"/>
        </w:rPr>
        <w:t>》有关条文执行。</w:t>
      </w:r>
    </w:p>
    <w:p>
      <w:pPr>
        <w:pStyle w:val="14"/>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asciiTheme="minorEastAsia" w:hAnsiTheme="minorEastAsia" w:eastAsiaTheme="minorEastAsia"/>
          <w:sz w:val="24"/>
          <w:szCs w:val="24"/>
        </w:rPr>
        <w:t>具有同等法律效力。</w:t>
      </w:r>
    </w:p>
    <w:p>
      <w:pPr>
        <w:pStyle w:val="14"/>
        <w:spacing w:before="120" w:after="120" w:line="340" w:lineRule="exact"/>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4"/>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4"/>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4"/>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4"/>
        <w:spacing w:before="120" w:after="120" w:line="34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29"/>
        <w:ind w:firstLine="0"/>
        <w:rPr>
          <w:rFonts w:asciiTheme="minorEastAsia" w:hAnsiTheme="minorEastAsia" w:eastAsiaTheme="minorEastAsia"/>
          <w:sz w:val="28"/>
          <w:szCs w:val="28"/>
        </w:rPr>
      </w:pPr>
    </w:p>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E6CF2"/>
    <w:multiLevelType w:val="multilevel"/>
    <w:tmpl w:val="41AE6C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1436074"/>
    <w:multiLevelType w:val="multilevel"/>
    <w:tmpl w:val="71436074"/>
    <w:lvl w:ilvl="0" w:tentative="0">
      <w:start w:val="1"/>
      <w:numFmt w:val="japaneseCounting"/>
      <w:pStyle w:val="40"/>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A5D58CB"/>
    <w:rsid w:val="00003B80"/>
    <w:rsid w:val="00014EF3"/>
    <w:rsid w:val="000242C2"/>
    <w:rsid w:val="000621BF"/>
    <w:rsid w:val="000C10B0"/>
    <w:rsid w:val="000D2C62"/>
    <w:rsid w:val="00117345"/>
    <w:rsid w:val="0014285C"/>
    <w:rsid w:val="0015019B"/>
    <w:rsid w:val="00191969"/>
    <w:rsid w:val="001C5EC6"/>
    <w:rsid w:val="001D0065"/>
    <w:rsid w:val="001D1A42"/>
    <w:rsid w:val="001E4400"/>
    <w:rsid w:val="00212966"/>
    <w:rsid w:val="00225E87"/>
    <w:rsid w:val="00255A30"/>
    <w:rsid w:val="00264E17"/>
    <w:rsid w:val="00271BC4"/>
    <w:rsid w:val="002842BD"/>
    <w:rsid w:val="00293C6B"/>
    <w:rsid w:val="002F2851"/>
    <w:rsid w:val="00303C87"/>
    <w:rsid w:val="00324739"/>
    <w:rsid w:val="0034271D"/>
    <w:rsid w:val="00371FAA"/>
    <w:rsid w:val="0039239C"/>
    <w:rsid w:val="003C2259"/>
    <w:rsid w:val="003C45BA"/>
    <w:rsid w:val="003C65C0"/>
    <w:rsid w:val="003D17E6"/>
    <w:rsid w:val="003D61A5"/>
    <w:rsid w:val="004012C7"/>
    <w:rsid w:val="004309CC"/>
    <w:rsid w:val="00480CF0"/>
    <w:rsid w:val="004A73F7"/>
    <w:rsid w:val="00526075"/>
    <w:rsid w:val="005451B0"/>
    <w:rsid w:val="00591701"/>
    <w:rsid w:val="005C7912"/>
    <w:rsid w:val="005F2B22"/>
    <w:rsid w:val="005F51A4"/>
    <w:rsid w:val="00671969"/>
    <w:rsid w:val="006C06B3"/>
    <w:rsid w:val="006C1803"/>
    <w:rsid w:val="006E273E"/>
    <w:rsid w:val="0071060A"/>
    <w:rsid w:val="0071550B"/>
    <w:rsid w:val="00721709"/>
    <w:rsid w:val="00734E56"/>
    <w:rsid w:val="00753994"/>
    <w:rsid w:val="00767BF4"/>
    <w:rsid w:val="00792B61"/>
    <w:rsid w:val="0079742B"/>
    <w:rsid w:val="007A6EB7"/>
    <w:rsid w:val="007B57B5"/>
    <w:rsid w:val="00811C58"/>
    <w:rsid w:val="0082229E"/>
    <w:rsid w:val="0082297E"/>
    <w:rsid w:val="00830F12"/>
    <w:rsid w:val="00833129"/>
    <w:rsid w:val="00836783"/>
    <w:rsid w:val="008A4E31"/>
    <w:rsid w:val="008B03B4"/>
    <w:rsid w:val="008B38EE"/>
    <w:rsid w:val="008C594F"/>
    <w:rsid w:val="00907E8C"/>
    <w:rsid w:val="00922D26"/>
    <w:rsid w:val="00943F7D"/>
    <w:rsid w:val="009514A5"/>
    <w:rsid w:val="009827A3"/>
    <w:rsid w:val="009863AE"/>
    <w:rsid w:val="00996D23"/>
    <w:rsid w:val="0099707C"/>
    <w:rsid w:val="009C5F1C"/>
    <w:rsid w:val="009D364A"/>
    <w:rsid w:val="009F276A"/>
    <w:rsid w:val="009F6304"/>
    <w:rsid w:val="00A005E1"/>
    <w:rsid w:val="00A11085"/>
    <w:rsid w:val="00A6350A"/>
    <w:rsid w:val="00AB3076"/>
    <w:rsid w:val="00AD0D80"/>
    <w:rsid w:val="00AD72BE"/>
    <w:rsid w:val="00AF56B4"/>
    <w:rsid w:val="00B04ED4"/>
    <w:rsid w:val="00B16BB5"/>
    <w:rsid w:val="00B30C9C"/>
    <w:rsid w:val="00B47BF9"/>
    <w:rsid w:val="00B66452"/>
    <w:rsid w:val="00C305EC"/>
    <w:rsid w:val="00C360F5"/>
    <w:rsid w:val="00C50192"/>
    <w:rsid w:val="00C6235E"/>
    <w:rsid w:val="00C82256"/>
    <w:rsid w:val="00CA4FD8"/>
    <w:rsid w:val="00CB7233"/>
    <w:rsid w:val="00D00227"/>
    <w:rsid w:val="00D402E4"/>
    <w:rsid w:val="00D64F43"/>
    <w:rsid w:val="00D82EC2"/>
    <w:rsid w:val="00D951FC"/>
    <w:rsid w:val="00DD29A1"/>
    <w:rsid w:val="00E60575"/>
    <w:rsid w:val="00E619F4"/>
    <w:rsid w:val="00E76FD9"/>
    <w:rsid w:val="00E860D1"/>
    <w:rsid w:val="00ED0455"/>
    <w:rsid w:val="00FB0870"/>
    <w:rsid w:val="00FE1B7C"/>
    <w:rsid w:val="00FE3462"/>
    <w:rsid w:val="0A5D58CB"/>
    <w:rsid w:val="0D512152"/>
    <w:rsid w:val="1132204E"/>
    <w:rsid w:val="14EA5ED9"/>
    <w:rsid w:val="189E660E"/>
    <w:rsid w:val="1B06223F"/>
    <w:rsid w:val="1E7432F5"/>
    <w:rsid w:val="23D3658F"/>
    <w:rsid w:val="26BF7970"/>
    <w:rsid w:val="2AF4450C"/>
    <w:rsid w:val="5F0D51B6"/>
    <w:rsid w:val="6AF37DCF"/>
    <w:rsid w:val="778206D8"/>
    <w:rsid w:val="7983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9"/>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qFormat/>
    <w:uiPriority w:val="0"/>
    <w:pPr>
      <w:keepNext/>
      <w:keepLines/>
      <w:spacing w:before="260" w:after="260" w:line="416" w:lineRule="auto"/>
      <w:outlineLvl w:val="2"/>
    </w:pPr>
    <w:rPr>
      <w:rFonts w:cs="Times New Roman"/>
      <w:b/>
      <w:bCs/>
      <w:sz w:val="32"/>
      <w:szCs w:val="32"/>
    </w:rPr>
  </w:style>
  <w:style w:type="paragraph" w:styleId="6">
    <w:name w:val="heading 4"/>
    <w:basedOn w:val="1"/>
    <w:next w:val="1"/>
    <w:qFormat/>
    <w:uiPriority w:val="0"/>
    <w:pPr>
      <w:keepNext/>
      <w:tabs>
        <w:tab w:val="left" w:pos="0"/>
        <w:tab w:val="left" w:pos="500"/>
        <w:tab w:val="left" w:pos="1017"/>
        <w:tab w:val="left" w:pos="1200"/>
      </w:tabs>
      <w:spacing w:line="300" w:lineRule="auto"/>
      <w:ind w:left="1017" w:hanging="450"/>
      <w:outlineLvl w:val="3"/>
    </w:pPr>
    <w:rPr>
      <w:rFonts w:eastAsia="仿宋_GB2312"/>
      <w:b/>
      <w:bCs/>
      <w:snapToGrid w:val="0"/>
      <w:sz w:val="28"/>
      <w:szCs w:val="20"/>
    </w:rPr>
  </w:style>
  <w:style w:type="paragraph" w:styleId="7">
    <w:name w:val="heading 6"/>
    <w:basedOn w:val="1"/>
    <w:next w:val="1"/>
    <w:link w:val="35"/>
    <w:qFormat/>
    <w:uiPriority w:val="0"/>
    <w:pPr>
      <w:keepNext/>
      <w:keepLines/>
      <w:spacing w:before="240" w:after="64" w:line="320" w:lineRule="auto"/>
      <w:outlineLvl w:val="5"/>
    </w:pPr>
    <w:rPr>
      <w:rFonts w:ascii="Cambria" w:hAnsi="Cambria" w:cs="Times New Roman"/>
      <w:b/>
      <w:bCs/>
      <w:sz w:val="24"/>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8">
    <w:name w:val="Normal Indent"/>
    <w:basedOn w:val="1"/>
    <w:qFormat/>
    <w:uiPriority w:val="0"/>
    <w:pPr>
      <w:widowControl w:val="0"/>
      <w:adjustRightInd/>
      <w:snapToGrid/>
      <w:spacing w:after="0"/>
      <w:ind w:firstLine="420"/>
      <w:jc w:val="both"/>
    </w:pPr>
    <w:rPr>
      <w:rFonts w:asciiTheme="minorHAnsi" w:hAnsiTheme="minorHAnsi"/>
      <w:kern w:val="2"/>
      <w:sz w:val="21"/>
      <w:szCs w:val="21"/>
    </w:rPr>
  </w:style>
  <w:style w:type="paragraph" w:styleId="9">
    <w:name w:val="annotation text"/>
    <w:basedOn w:val="1"/>
    <w:link w:val="38"/>
    <w:unhideWhenUsed/>
    <w:qFormat/>
    <w:uiPriority w:val="0"/>
  </w:style>
  <w:style w:type="paragraph" w:styleId="10">
    <w:name w:val="Body Text"/>
    <w:basedOn w:val="1"/>
    <w:qFormat/>
    <w:uiPriority w:val="0"/>
    <w:pPr>
      <w:widowControl w:val="0"/>
      <w:adjustRightInd/>
      <w:snapToGrid/>
      <w:spacing w:after="0"/>
      <w:jc w:val="both"/>
    </w:pPr>
    <w:rPr>
      <w:rFonts w:ascii="楷体_GB2312" w:hAnsi="Arial" w:eastAsia="楷体_GB2312"/>
      <w:kern w:val="2"/>
      <w:sz w:val="28"/>
      <w:szCs w:val="28"/>
    </w:rPr>
  </w:style>
  <w:style w:type="paragraph" w:styleId="11">
    <w:name w:val="Body Text Indent"/>
    <w:basedOn w:val="1"/>
    <w:next w:val="12"/>
    <w:qFormat/>
    <w:uiPriority w:val="0"/>
    <w:pPr>
      <w:spacing w:line="440" w:lineRule="exact"/>
      <w:ind w:firstLine="403" w:firstLineChars="192"/>
    </w:pPr>
    <w:rPr>
      <w:rFonts w:ascii="宋体" w:hAnsi="宋体" w:eastAsia="宋体" w:cs="宋体"/>
      <w:szCs w:val="21"/>
    </w:rPr>
  </w:style>
  <w:style w:type="paragraph" w:styleId="12">
    <w:name w:val="envelope return"/>
    <w:basedOn w:val="1"/>
    <w:qFormat/>
    <w:uiPriority w:val="0"/>
    <w:rPr>
      <w:rFonts w:ascii="Arial" w:hAnsi="Arial"/>
    </w:rPr>
  </w:style>
  <w:style w:type="paragraph" w:styleId="13">
    <w:name w:val="index 4"/>
    <w:basedOn w:val="1"/>
    <w:next w:val="1"/>
    <w:unhideWhenUsed/>
    <w:qFormat/>
    <w:uiPriority w:val="99"/>
    <w:pPr>
      <w:ind w:left="600" w:leftChars="600"/>
    </w:pPr>
    <w:rPr>
      <w:rFonts w:ascii="Verdana" w:hAnsi="Verdana"/>
      <w:szCs w:val="20"/>
    </w:rPr>
  </w:style>
  <w:style w:type="paragraph" w:styleId="14">
    <w:name w:val="Plain Text"/>
    <w:basedOn w:val="1"/>
    <w:qFormat/>
    <w:uiPriority w:val="99"/>
    <w:pPr>
      <w:widowControl w:val="0"/>
      <w:adjustRightInd/>
      <w:snapToGrid/>
      <w:spacing w:after="0"/>
      <w:jc w:val="both"/>
    </w:pPr>
    <w:rPr>
      <w:rFonts w:ascii="宋体" w:hAnsi="Courier New" w:cs="Courier New"/>
      <w:kern w:val="2"/>
      <w:sz w:val="21"/>
      <w:szCs w:val="21"/>
    </w:rPr>
  </w:style>
  <w:style w:type="paragraph" w:styleId="15">
    <w:name w:val="Balloon Text"/>
    <w:basedOn w:val="1"/>
    <w:link w:val="37"/>
    <w:qFormat/>
    <w:uiPriority w:val="0"/>
    <w:pPr>
      <w:spacing w:after="0"/>
    </w:pPr>
    <w:rPr>
      <w:rFonts w:cs="Times New Roman"/>
      <w:sz w:val="18"/>
      <w:szCs w:val="18"/>
    </w:rPr>
  </w:style>
  <w:style w:type="paragraph" w:styleId="16">
    <w:name w:val="footer"/>
    <w:basedOn w:val="1"/>
    <w:unhideWhenUsed/>
    <w:qFormat/>
    <w:uiPriority w:val="99"/>
    <w:pPr>
      <w:tabs>
        <w:tab w:val="center" w:pos="4153"/>
        <w:tab w:val="right" w:pos="8306"/>
      </w:tabs>
    </w:pPr>
    <w:rPr>
      <w:sz w:val="18"/>
      <w:szCs w:val="18"/>
    </w:rPr>
  </w:style>
  <w:style w:type="paragraph" w:styleId="17">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qFormat/>
    <w:uiPriority w:val="39"/>
    <w:pPr>
      <w:ind w:left="420" w:leftChars="200"/>
    </w:p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9"/>
    <w:next w:val="9"/>
    <w:link w:val="39"/>
    <w:qFormat/>
    <w:uiPriority w:val="0"/>
    <w:rPr>
      <w:rFonts w:cs="Times New Roman"/>
      <w:b/>
      <w:bCs/>
    </w:rPr>
  </w:style>
  <w:style w:type="paragraph" w:styleId="23">
    <w:name w:val="Body Text First Indent 2"/>
    <w:basedOn w:val="11"/>
    <w:next w:val="1"/>
    <w:qFormat/>
    <w:uiPriority w:val="99"/>
    <w:pPr>
      <w:widowControl w:val="0"/>
      <w:ind w:firstLine="420" w:firstLineChars="200"/>
      <w:jc w:val="both"/>
    </w:pPr>
    <w:rPr>
      <w:rFonts w:ascii="Calibri" w:hAnsi="Calibri" w:cs="Calibri"/>
      <w:kern w:val="2"/>
      <w:sz w:val="21"/>
    </w:r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paragraph" w:customStyle="1" w:styleId="30">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 w:type="paragraph" w:customStyle="1" w:styleId="31">
    <w:name w:val="Char1"/>
    <w:basedOn w:val="1"/>
    <w:qFormat/>
    <w:uiPriority w:val="99"/>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paragraph" w:styleId="32">
    <w:name w:val="List Paragraph"/>
    <w:basedOn w:val="1"/>
    <w:qFormat/>
    <w:uiPriority w:val="99"/>
    <w:pPr>
      <w:ind w:firstLine="420" w:firstLineChars="200"/>
    </w:pPr>
  </w:style>
  <w:style w:type="character" w:customStyle="1" w:styleId="33">
    <w:name w:val="标题 字符"/>
    <w:basedOn w:val="25"/>
    <w:link w:val="21"/>
    <w:qFormat/>
    <w:uiPriority w:val="0"/>
    <w:rPr>
      <w:rFonts w:asciiTheme="majorHAnsi" w:hAnsiTheme="majorHAnsi" w:eastAsiaTheme="majorEastAsia" w:cstheme="majorBidi"/>
      <w:b/>
      <w:bCs/>
      <w:sz w:val="32"/>
      <w:szCs w:val="32"/>
    </w:rPr>
  </w:style>
  <w:style w:type="character" w:customStyle="1" w:styleId="34">
    <w:name w:val="标题 3 字符"/>
    <w:basedOn w:val="25"/>
    <w:link w:val="5"/>
    <w:qFormat/>
    <w:uiPriority w:val="0"/>
    <w:rPr>
      <w:rFonts w:ascii="Tahoma" w:hAnsi="Tahoma" w:eastAsia="微软雅黑" w:cs="Times New Roman"/>
      <w:b/>
      <w:bCs/>
      <w:sz w:val="32"/>
      <w:szCs w:val="32"/>
    </w:rPr>
  </w:style>
  <w:style w:type="character" w:customStyle="1" w:styleId="35">
    <w:name w:val="标题 6 字符"/>
    <w:basedOn w:val="25"/>
    <w:link w:val="7"/>
    <w:qFormat/>
    <w:uiPriority w:val="0"/>
    <w:rPr>
      <w:rFonts w:ascii="Cambria" w:hAnsi="Cambria" w:eastAsia="微软雅黑" w:cs="Times New Roman"/>
      <w:b/>
      <w:bCs/>
      <w:sz w:val="24"/>
      <w:szCs w:val="22"/>
    </w:rPr>
  </w:style>
  <w:style w:type="character" w:customStyle="1" w:styleId="36">
    <w:name w:val="批注文字 字符"/>
    <w:qFormat/>
    <w:uiPriority w:val="0"/>
    <w:rPr>
      <w:rFonts w:ascii="Tahoma" w:hAnsi="Tahoma" w:eastAsia="微软雅黑"/>
      <w:sz w:val="22"/>
      <w:szCs w:val="22"/>
    </w:rPr>
  </w:style>
  <w:style w:type="character" w:customStyle="1" w:styleId="37">
    <w:name w:val="批注框文本 字符"/>
    <w:basedOn w:val="25"/>
    <w:link w:val="15"/>
    <w:qFormat/>
    <w:uiPriority w:val="0"/>
    <w:rPr>
      <w:rFonts w:ascii="Tahoma" w:hAnsi="Tahoma" w:eastAsia="微软雅黑" w:cs="Times New Roman"/>
      <w:sz w:val="18"/>
      <w:szCs w:val="18"/>
    </w:rPr>
  </w:style>
  <w:style w:type="character" w:customStyle="1" w:styleId="38">
    <w:name w:val="批注文字 字符1"/>
    <w:basedOn w:val="25"/>
    <w:link w:val="9"/>
    <w:qFormat/>
    <w:uiPriority w:val="0"/>
    <w:rPr>
      <w:rFonts w:ascii="Tahoma" w:hAnsi="Tahoma" w:eastAsia="微软雅黑"/>
      <w:sz w:val="22"/>
      <w:szCs w:val="22"/>
    </w:rPr>
  </w:style>
  <w:style w:type="character" w:customStyle="1" w:styleId="39">
    <w:name w:val="批注主题 字符"/>
    <w:basedOn w:val="38"/>
    <w:link w:val="22"/>
    <w:qFormat/>
    <w:uiPriority w:val="0"/>
    <w:rPr>
      <w:rFonts w:ascii="Tahoma" w:hAnsi="Tahoma" w:eastAsia="微软雅黑" w:cs="Times New Roman"/>
      <w:b/>
      <w:bCs/>
      <w:sz w:val="22"/>
      <w:szCs w:val="22"/>
    </w:rPr>
  </w:style>
  <w:style w:type="paragraph" w:customStyle="1" w:styleId="40">
    <w:name w:val="二级目录"/>
    <w:next w:val="1"/>
    <w:qFormat/>
    <w:uiPriority w:val="99"/>
    <w:pPr>
      <w:numPr>
        <w:ilvl w:val="0"/>
        <w:numId w:val="1"/>
      </w:numPr>
      <w:tabs>
        <w:tab w:val="left" w:pos="720"/>
      </w:tabs>
      <w:outlineLvl w:val="1"/>
    </w:pPr>
    <w:rPr>
      <w:rFonts w:ascii="Times New Roman" w:hAnsi="Times New Roman" w:eastAsia="宋体" w:cs="Times New Roman"/>
      <w:b/>
      <w:bCs/>
      <w:kern w:val="2"/>
      <w:sz w:val="28"/>
      <w:szCs w:val="28"/>
      <w:lang w:val="en-US" w:eastAsia="zh-CN" w:bidi="ar-SA"/>
    </w:rPr>
  </w:style>
  <w:style w:type="paragraph" w:customStyle="1" w:styleId="41">
    <w:name w:val="Body"/>
    <w:basedOn w:val="1"/>
    <w:qFormat/>
    <w:uiPriority w:val="0"/>
    <w:pPr>
      <w:widowControl w:val="0"/>
      <w:tabs>
        <w:tab w:val="left" w:pos="1247"/>
      </w:tabs>
      <w:adjustRightInd/>
      <w:snapToGrid/>
      <w:spacing w:beforeLines="50" w:after="0" w:afterLines="50" w:line="360" w:lineRule="auto"/>
      <w:ind w:firstLine="480" w:firstLineChars="200"/>
      <w:jc w:val="both"/>
    </w:pPr>
    <w:rPr>
      <w:rFonts w:ascii="Arial" w:hAnsi="Arial" w:eastAsia="宋体" w:cs="Times New Roman"/>
      <w:sz w:val="24"/>
      <w:szCs w:val="24"/>
    </w:rPr>
  </w:style>
  <w:style w:type="character" w:customStyle="1" w:styleId="42">
    <w:name w:val="apple-style-span"/>
    <w:qFormat/>
    <w:uiPriority w:val="0"/>
  </w:style>
  <w:style w:type="paragraph" w:customStyle="1" w:styleId="43">
    <w:name w:val="列表段落1"/>
    <w:basedOn w:val="1"/>
    <w:qFormat/>
    <w:uiPriority w:val="34"/>
    <w:pPr>
      <w:ind w:firstLine="420" w:firstLineChars="200"/>
    </w:pPr>
    <w:rPr>
      <w:rFonts w:cs="Times New Roman"/>
    </w:rPr>
  </w:style>
  <w:style w:type="paragraph" w:customStyle="1" w:styleId="44">
    <w:name w:val="正文首行缩进 21"/>
    <w:basedOn w:val="11"/>
    <w:next w:val="1"/>
    <w:qFormat/>
    <w:uiPriority w:val="0"/>
    <w:pPr>
      <w:spacing w:before="100" w:beforeAutospacing="1"/>
      <w:ind w:firstLine="420" w:firstLineChars="200"/>
    </w:pPr>
    <w:rPr>
      <w:rFonts w:ascii="Calibri" w:hAnsi="Calibri" w:cs="Calibri"/>
    </w:rPr>
  </w:style>
  <w:style w:type="paragraph" w:customStyle="1" w:styleId="45">
    <w:name w:val="修订1"/>
    <w:hidden/>
    <w:unhideWhenUsed/>
    <w:qFormat/>
    <w:uiPriority w:val="99"/>
    <w:rPr>
      <w:rFonts w:ascii="Tahoma" w:hAnsi="Tahoma" w:eastAsia="微软雅黑" w:cs="Times New Roman"/>
      <w:sz w:val="22"/>
      <w:szCs w:val="22"/>
      <w:lang w:val="en-US" w:eastAsia="zh-CN" w:bidi="ar-SA"/>
    </w:rPr>
  </w:style>
  <w:style w:type="paragraph" w:customStyle="1" w:styleId="46">
    <w:name w:val="bh-form-static"/>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A09C-723A-4CEB-9F6E-A582DD8A37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16576</Words>
  <Characters>18262</Characters>
  <Lines>144</Lines>
  <Paragraphs>40</Paragraphs>
  <TotalTime>24</TotalTime>
  <ScaleCrop>false</ScaleCrop>
  <LinksUpToDate>false</LinksUpToDate>
  <CharactersWithSpaces>18991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2023-06-01T08:25:00Z</dcterms:created>
  <dc:creator>lenovo</dc:creator>
  <cp:lastModifiedBy>admin</cp:lastModifiedBy>
  <dcterms:modified xsi:type="dcterms:W3CDTF">2023-06-07T01:07:29Z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18BACDA7007048E98BEDA402343E67B8_13</vt:lpwstr>
  </property>
</Properties>
</file>