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eastAsia="黑体"/>
          <w:b/>
          <w:bCs/>
          <w:sz w:val="84"/>
        </w:rPr>
      </w:pPr>
    </w:p>
    <w:p>
      <w:pPr>
        <w:pStyle w:val="28"/>
        <w:ind w:firstLine="0"/>
        <w:jc w:val="center"/>
        <w:rPr>
          <w:rFonts w:eastAsia="黑体"/>
          <w:b/>
          <w:bCs/>
          <w:sz w:val="84"/>
        </w:rPr>
      </w:pPr>
    </w:p>
    <w:p>
      <w:pPr>
        <w:pStyle w:val="28"/>
        <w:ind w:firstLine="0"/>
        <w:jc w:val="center"/>
        <w:rPr>
          <w:rFonts w:eastAsia="黑体"/>
          <w:b/>
          <w:bCs/>
          <w:sz w:val="84"/>
        </w:rPr>
      </w:pPr>
      <w:bookmarkStart w:id="184" w:name="_GoBack"/>
      <w:bookmarkEnd w:id="184"/>
      <w:r>
        <w:rPr>
          <w:rFonts w:hint="eastAsia" w:eastAsia="黑体"/>
          <w:b/>
          <w:bCs/>
          <w:sz w:val="84"/>
        </w:rPr>
        <w:t>招　标　文　件</w:t>
      </w:r>
    </w:p>
    <w:p>
      <w:pPr>
        <w:pStyle w:val="28"/>
        <w:ind w:firstLine="2409" w:firstLineChars="750"/>
        <w:rPr>
          <w:b/>
          <w:bCs/>
          <w:sz w:val="32"/>
        </w:rPr>
      </w:pPr>
    </w:p>
    <w:p>
      <w:pPr>
        <w:pStyle w:val="28"/>
        <w:ind w:firstLine="0"/>
        <w:jc w:val="both"/>
        <w:rPr>
          <w:b/>
          <w:bCs/>
          <w:sz w:val="32"/>
        </w:rPr>
      </w:pPr>
      <w:r>
        <w:rPr>
          <w:rFonts w:hint="eastAsia"/>
          <w:b/>
          <w:bCs/>
          <w:sz w:val="32"/>
        </w:rPr>
        <w:t>项目名称：南京医科大学CO2恒温振荡器采购项目</w:t>
      </w:r>
    </w:p>
    <w:p>
      <w:pPr>
        <w:pStyle w:val="28"/>
        <w:ind w:firstLine="0"/>
        <w:jc w:val="both"/>
        <w:rPr>
          <w:rFonts w:hint="eastAsia"/>
          <w:b/>
          <w:bCs/>
          <w:sz w:val="32"/>
        </w:rPr>
      </w:pPr>
      <w:r>
        <w:rPr>
          <w:rFonts w:hint="eastAsia"/>
          <w:b/>
          <w:bCs/>
          <w:sz w:val="32"/>
        </w:rPr>
        <w:t>项目编号：NJMUZB3012023074</w:t>
      </w: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ind w:firstLine="0"/>
        <w:jc w:val="center"/>
        <w:rPr>
          <w:b/>
          <w:bCs/>
          <w:sz w:val="32"/>
        </w:rPr>
      </w:pPr>
    </w:p>
    <w:p>
      <w:pPr>
        <w:pStyle w:val="28"/>
        <w:ind w:firstLine="0"/>
        <w:jc w:val="center"/>
        <w:rPr>
          <w:b/>
          <w:bCs/>
          <w:sz w:val="32"/>
        </w:rPr>
      </w:pPr>
      <w:r>
        <w:rPr>
          <w:rFonts w:hint="eastAsia"/>
          <w:b/>
          <w:bCs/>
          <w:sz w:val="32"/>
        </w:rPr>
        <w:t>南京医科大学</w:t>
      </w:r>
      <w:r>
        <w:br w:type="page"/>
      </w:r>
      <w:bookmarkStart w:id="0" w:name="_Toc517190880"/>
      <w:bookmarkStart w:id="1" w:name="_Toc120614210"/>
      <w:bookmarkStart w:id="2" w:name="_Toc479757206"/>
      <w:bookmarkStart w:id="3" w:name="_Toc20823272"/>
      <w:bookmarkStart w:id="4" w:name="_Toc523127445"/>
      <w:bookmarkStart w:id="5" w:name="_Toc513029200"/>
      <w:bookmarkStart w:id="6" w:name="_Toc16938516"/>
      <w:r>
        <w:rPr>
          <w:rFonts w:hint="eastAsia" w:ascii="黑体" w:hAnsi="黑体" w:eastAsia="黑体"/>
          <w:b/>
          <w:sz w:val="44"/>
          <w:szCs w:val="28"/>
        </w:rPr>
        <w:t>目  录</w:t>
      </w:r>
      <w:bookmarkEnd w:id="0"/>
    </w:p>
    <w:p>
      <w:pPr>
        <w:pStyle w:val="16"/>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3"/>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3"/>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3"/>
          <w:rFonts w:hint="eastAsia" w:asciiTheme="majorEastAsia" w:hAnsiTheme="majorEastAsia" w:eastAsiaTheme="majorEastAsia"/>
          <w:sz w:val="24"/>
        </w:rPr>
        <w:t>第二章</w:t>
      </w:r>
      <w:r>
        <w:rPr>
          <w:rStyle w:val="23"/>
          <w:rFonts w:asciiTheme="majorEastAsia" w:hAnsiTheme="majorEastAsia" w:eastAsiaTheme="majorEastAsia"/>
          <w:sz w:val="24"/>
        </w:rPr>
        <w:t xml:space="preserve"> </w:t>
      </w:r>
      <w:r>
        <w:rPr>
          <w:rStyle w:val="23"/>
          <w:rFonts w:hint="eastAsia" w:asciiTheme="majorEastAsia" w:hAnsiTheme="majorEastAsia" w:eastAsiaTheme="majorEastAsia"/>
          <w:sz w:val="24"/>
        </w:rPr>
        <w:t>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3"/>
          <w:rFonts w:hint="eastAsia" w:asciiTheme="minorEastAsia" w:hAnsiTheme="minorEastAsia"/>
          <w:sz w:val="24"/>
        </w:rPr>
        <w:t>第三章</w:t>
      </w:r>
      <w:r>
        <w:rPr>
          <w:rStyle w:val="23"/>
          <w:rFonts w:asciiTheme="minorEastAsia" w:hAnsiTheme="minorEastAsia"/>
          <w:sz w:val="24"/>
        </w:rPr>
        <w:t xml:space="preserve"> </w:t>
      </w:r>
      <w:r>
        <w:rPr>
          <w:rStyle w:val="23"/>
          <w:rFonts w:hint="eastAsia" w:asciiTheme="minorEastAsia" w:hAnsiTheme="minorEastAsia"/>
          <w:sz w:val="24"/>
        </w:rPr>
        <w:t>项目需求</w:t>
      </w:r>
      <w:r>
        <w:rPr>
          <w:sz w:val="24"/>
        </w:rPr>
        <w:tab/>
      </w:r>
      <w:r>
        <w:rPr>
          <w:sz w:val="24"/>
        </w:rPr>
        <w:fldChar w:fldCharType="begin"/>
      </w:r>
      <w:r>
        <w:rPr>
          <w:sz w:val="24"/>
        </w:rPr>
        <w:instrText xml:space="preserve"> PAGEREF _Toc523931347 \h </w:instrText>
      </w:r>
      <w:r>
        <w:rPr>
          <w:sz w:val="24"/>
        </w:rPr>
        <w:fldChar w:fldCharType="separate"/>
      </w:r>
      <w:r>
        <w:rPr>
          <w:sz w:val="24"/>
        </w:rPr>
        <w:t>1</w:t>
      </w:r>
      <w:r>
        <w:rPr>
          <w:rFonts w:hint="eastAsia"/>
          <w:sz w:val="24"/>
        </w:rPr>
        <w:t>5</w:t>
      </w:r>
      <w:r>
        <w:rPr>
          <w:sz w:val="24"/>
        </w:rPr>
        <w:fldChar w:fldCharType="end"/>
      </w:r>
      <w:r>
        <w:rPr>
          <w:sz w:val="24"/>
        </w:rPr>
        <w:fldChar w:fldCharType="end"/>
      </w:r>
    </w:p>
    <w:p>
      <w:pPr>
        <w:pStyle w:val="16"/>
        <w:tabs>
          <w:tab w:val="right" w:leader="dot" w:pos="8296"/>
        </w:tabs>
        <w:spacing w:line="360" w:lineRule="auto"/>
        <w:rPr>
          <w:rFonts w:asciiTheme="minorHAnsi" w:hAnsiTheme="minorHAnsi" w:cstheme="minorBidi"/>
          <w:b w:val="0"/>
          <w:bCs w:val="0"/>
          <w:caps w:val="0"/>
          <w:sz w:val="28"/>
          <w:szCs w:val="22"/>
        </w:rPr>
      </w:pPr>
      <w:r>
        <w:fldChar w:fldCharType="begin"/>
      </w:r>
      <w:r>
        <w:instrText xml:space="preserve"> HYPERLINK \l "_Toc523931348" </w:instrText>
      </w:r>
      <w:r>
        <w:fldChar w:fldCharType="separate"/>
      </w:r>
      <w:r>
        <w:rPr>
          <w:rStyle w:val="23"/>
          <w:rFonts w:hint="eastAsia" w:ascii="宋体" w:hAnsi="宋体"/>
          <w:sz w:val="24"/>
        </w:rPr>
        <w:t>第四章</w:t>
      </w:r>
      <w:r>
        <w:rPr>
          <w:rStyle w:val="23"/>
          <w:rFonts w:ascii="宋体" w:hAnsi="宋体"/>
          <w:sz w:val="24"/>
        </w:rPr>
        <w:t xml:space="preserve"> </w:t>
      </w:r>
      <w:r>
        <w:rPr>
          <w:rStyle w:val="23"/>
          <w:rFonts w:hint="eastAsia" w:ascii="宋体" w:hAnsi="宋体"/>
          <w:sz w:val="24"/>
        </w:rPr>
        <w:t>评标方法与评标标准</w:t>
      </w:r>
      <w:r>
        <w:rPr>
          <w:sz w:val="24"/>
        </w:rPr>
        <w:tab/>
      </w:r>
      <w:r>
        <w:rPr>
          <w:rFonts w:hint="eastAsia"/>
          <w:sz w:val="24"/>
        </w:rPr>
        <w:t>1</w:t>
      </w:r>
      <w:r>
        <w:rPr>
          <w:rFonts w:hint="eastAsia"/>
          <w:sz w:val="24"/>
        </w:rPr>
        <w:fldChar w:fldCharType="end"/>
      </w:r>
      <w:r>
        <w:rPr>
          <w:rFonts w:hint="eastAsia"/>
          <w:sz w:val="24"/>
        </w:rPr>
        <w:t>8</w:t>
      </w:r>
    </w:p>
    <w:p>
      <w:pPr>
        <w:pStyle w:val="16"/>
        <w:tabs>
          <w:tab w:val="right" w:leader="dot" w:pos="8296"/>
        </w:tabs>
        <w:spacing w:line="360" w:lineRule="auto"/>
        <w:rPr>
          <w:sz w:val="24"/>
        </w:rPr>
      </w:pPr>
      <w:r>
        <w:fldChar w:fldCharType="begin"/>
      </w:r>
      <w:r>
        <w:instrText xml:space="preserve"> HYPERLINK \l "_Toc523931349" </w:instrText>
      </w:r>
      <w:r>
        <w:fldChar w:fldCharType="separate"/>
      </w:r>
      <w:r>
        <w:rPr>
          <w:rStyle w:val="23"/>
          <w:rFonts w:hint="eastAsia" w:ascii="宋体" w:hAnsi="宋体"/>
          <w:sz w:val="24"/>
        </w:rPr>
        <w:t>第五章</w:t>
      </w:r>
      <w:r>
        <w:rPr>
          <w:rStyle w:val="23"/>
          <w:rFonts w:ascii="宋体" w:hAnsi="宋体"/>
          <w:sz w:val="24"/>
        </w:rPr>
        <w:t xml:space="preserve"> </w:t>
      </w:r>
      <w:r>
        <w:rPr>
          <w:rStyle w:val="23"/>
          <w:rFonts w:hint="eastAsia" w:ascii="宋体" w:hAnsi="宋体"/>
          <w:sz w:val="24"/>
        </w:rPr>
        <w:t>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w:t>
      </w:r>
      <w:r>
        <w:rPr>
          <w:rFonts w:hint="eastAsia"/>
          <w:sz w:val="24"/>
        </w:rPr>
        <w:t>0</w:t>
      </w:r>
      <w:r>
        <w:rPr>
          <w:sz w:val="24"/>
        </w:rPr>
        <w:fldChar w:fldCharType="end"/>
      </w:r>
      <w:r>
        <w:rPr>
          <w:sz w:val="24"/>
        </w:rPr>
        <w:fldChar w:fldCharType="end"/>
      </w:r>
    </w:p>
    <w:p>
      <w:pPr>
        <w:pStyle w:val="16"/>
        <w:tabs>
          <w:tab w:val="right" w:leader="dot" w:pos="8296"/>
        </w:tabs>
        <w:spacing w:line="360" w:lineRule="auto"/>
      </w:pPr>
      <w:r>
        <w:rPr>
          <w:rFonts w:hint="eastAsia"/>
          <w:sz w:val="24"/>
          <w:szCs w:val="24"/>
        </w:rPr>
        <w:t>第六章   拟签订的合同文本</w:t>
      </w:r>
      <w:r>
        <w:tab/>
      </w:r>
      <w:r>
        <w:rPr>
          <w:sz w:val="24"/>
        </w:rPr>
        <w:t>2</w:t>
      </w:r>
      <w:r>
        <w:rPr>
          <w:rFonts w:hint="eastAsia"/>
          <w:sz w:val="24"/>
        </w:rPr>
        <w:t>8</w:t>
      </w:r>
    </w:p>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360" w:lineRule="auto"/>
        <w:ind w:firstLine="480" w:firstLineChars="200"/>
        <w:rPr>
          <w:rFonts w:asciiTheme="minorEastAsia" w:hAnsiTheme="minorEastAsia" w:eastAsiaTheme="minorEastAsia"/>
          <w:sz w:val="24"/>
          <w:szCs w:val="24"/>
        </w:rPr>
      </w:pPr>
      <w:bookmarkStart w:id="8" w:name="_Toc479757207"/>
      <w:bookmarkStart w:id="9" w:name="_Toc513029242"/>
      <w:bookmarkStart w:id="10" w:name="OLE_LINK2"/>
      <w:bookmarkStart w:id="11" w:name="_Toc16938558"/>
      <w:bookmarkStart w:id="12" w:name="OLE_LINK1"/>
      <w:bookmarkStart w:id="13" w:name="_Toc120614221"/>
      <w:bookmarkStart w:id="14" w:name="_Toc120614211"/>
      <w:bookmarkStart w:id="15" w:name="_Toc444669970"/>
      <w:bookmarkStart w:id="16" w:name="_Toc20823314"/>
      <w:r>
        <w:rPr>
          <w:rFonts w:hint="eastAsia" w:asciiTheme="minorEastAsia" w:hAnsiTheme="minorEastAsia" w:eastAsiaTheme="minorEastAsia"/>
          <w:sz w:val="24"/>
          <w:szCs w:val="24"/>
        </w:rPr>
        <w:t>南京医科大学就</w:t>
      </w:r>
      <w:r>
        <w:rPr>
          <w:rFonts w:hint="eastAsia" w:asciiTheme="minorEastAsia" w:hAnsiTheme="minorEastAsia" w:eastAsiaTheme="minorEastAsia"/>
          <w:sz w:val="24"/>
          <w:szCs w:val="24"/>
          <w:u w:val="single"/>
        </w:rPr>
        <w:t xml:space="preserve">   南京医科大学CO2恒温振荡器   </w:t>
      </w:r>
      <w:r>
        <w:rPr>
          <w:rFonts w:hint="eastAsia" w:asciiTheme="minorEastAsia" w:hAnsiTheme="minorEastAsia" w:eastAsiaTheme="minorEastAsia"/>
          <w:sz w:val="24"/>
          <w:szCs w:val="24"/>
        </w:rPr>
        <w:t>采购项目公开招标，相应资金已落实，欢迎符合招标公告资质要求的供应商前来投标。</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（一）采购项目名称：南京医科大学CO2恒温振荡器采购项目</w:t>
      </w:r>
    </w:p>
    <w:p>
      <w:pPr>
        <w:spacing w:before="120" w:beforeLines="50" w:after="120" w:afterLines="5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（二）采购项目编号：NJMUZB3012023074</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9.5</w:t>
      </w:r>
      <w:r>
        <w:rPr>
          <w:rFonts w:hint="eastAsia" w:asciiTheme="minorEastAsia" w:hAnsiTheme="minorEastAsia" w:eastAsiaTheme="minorEastAsia"/>
          <w:sz w:val="24"/>
          <w:szCs w:val="24"/>
        </w:rPr>
        <w:t xml:space="preserve">万元                                           </w:t>
      </w:r>
    </w:p>
    <w:p>
      <w:pPr>
        <w:spacing w:before="120" w:beforeLines="50" w:after="120" w:afterLines="50" w:line="360" w:lineRule="auto"/>
        <w:ind w:firstLine="482" w:firstLineChars="200"/>
        <w:rPr>
          <w:rFonts w:ascii="宋体" w:hAnsi="宋体" w:eastAsia="宋体"/>
          <w:b/>
          <w:color w:val="000000"/>
          <w:sz w:val="24"/>
          <w:szCs w:val="24"/>
        </w:rPr>
      </w:pPr>
      <w:r>
        <w:rPr>
          <w:rFonts w:hint="eastAsia" w:ascii="宋体" w:hAnsi="宋体" w:eastAsia="宋体"/>
          <w:b/>
          <w:color w:val="000000"/>
          <w:sz w:val="24"/>
          <w:szCs w:val="24"/>
        </w:rPr>
        <w:t>三、采购项目需求</w:t>
      </w:r>
    </w:p>
    <w:p>
      <w:pPr>
        <w:spacing w:before="120" w:beforeLines="50" w:after="120" w:afterLines="50" w:line="360" w:lineRule="auto"/>
        <w:ind w:firstLine="480" w:firstLineChars="200"/>
        <w:rPr>
          <w:rFonts w:ascii="宋体" w:hAnsi="宋体" w:eastAsia="宋体"/>
          <w:b/>
          <w:color w:val="000000"/>
          <w:sz w:val="24"/>
          <w:szCs w:val="24"/>
        </w:rPr>
      </w:pPr>
      <w:r>
        <w:rPr>
          <w:rFonts w:hint="eastAsia" w:ascii="宋体" w:hAnsi="宋体" w:eastAsia="宋体"/>
          <w:color w:val="000000"/>
          <w:sz w:val="24"/>
          <w:szCs w:val="24"/>
        </w:rPr>
        <w:t>（一）项目具体要求详见第三章：项目需求；</w:t>
      </w:r>
    </w:p>
    <w:p>
      <w:pPr>
        <w:spacing w:before="120" w:beforeLines="50" w:after="120" w:afterLines="5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（二）该项目一律采用人民币报价</w:t>
      </w:r>
      <w:r>
        <w:rPr>
          <w:rFonts w:ascii="宋体" w:hAnsi="宋体" w:eastAsia="宋体"/>
          <w:color w:val="000000"/>
          <w:sz w:val="24"/>
          <w:szCs w:val="24"/>
        </w:rPr>
        <w:t>(</w:t>
      </w:r>
      <w:r>
        <w:rPr>
          <w:rFonts w:hint="eastAsia" w:ascii="宋体" w:hAnsi="宋体" w:eastAsia="宋体"/>
          <w:color w:val="000000"/>
          <w:sz w:val="24"/>
          <w:szCs w:val="24"/>
        </w:rPr>
        <w:t>包干价</w:t>
      </w:r>
      <w:r>
        <w:rPr>
          <w:rFonts w:ascii="宋体" w:hAnsi="宋体" w:eastAsia="宋体"/>
          <w:color w:val="000000"/>
          <w:sz w:val="24"/>
          <w:szCs w:val="24"/>
        </w:rPr>
        <w:t>)</w:t>
      </w:r>
      <w:r>
        <w:rPr>
          <w:rFonts w:hint="eastAsia" w:ascii="宋体" w:hAnsi="宋体" w:eastAsia="宋体"/>
          <w:color w:val="000000"/>
          <w:sz w:val="24"/>
          <w:szCs w:val="24"/>
        </w:rPr>
        <w:t>，其他币种报价不予接受，后果由投标人承担。</w:t>
      </w:r>
    </w:p>
    <w:p>
      <w:pPr>
        <w:spacing w:after="0" w:line="360" w:lineRule="auto"/>
        <w:ind w:firstLine="480" w:firstLineChars="200"/>
        <w:rPr>
          <w:rFonts w:eastAsia="宋体"/>
          <w:color w:val="000000"/>
          <w:sz w:val="24"/>
          <w:szCs w:val="24"/>
        </w:rPr>
      </w:pPr>
      <w:r>
        <w:rPr>
          <w:rFonts w:hint="eastAsia" w:ascii="宋体" w:hAnsi="宋体" w:eastAsia="宋体"/>
          <w:bCs/>
          <w:color w:val="000000"/>
          <w:sz w:val="24"/>
          <w:szCs w:val="24"/>
        </w:rPr>
        <w:t>（三）如为进口设备，需提供免税报价。</w:t>
      </w:r>
    </w:p>
    <w:p>
      <w:pPr>
        <w:spacing w:before="120" w:beforeLines="50" w:after="120" w:afterLines="50" w:line="360" w:lineRule="auto"/>
        <w:ind w:firstLine="482" w:firstLineChars="200"/>
        <w:rPr>
          <w:rFonts w:ascii="宋体" w:hAnsi="宋体" w:eastAsia="宋体"/>
          <w:b/>
          <w:color w:val="000000"/>
          <w:sz w:val="24"/>
          <w:szCs w:val="24"/>
        </w:rPr>
      </w:pPr>
      <w:r>
        <w:rPr>
          <w:rFonts w:hint="eastAsia" w:ascii="宋体" w:hAnsi="宋体" w:eastAsia="宋体"/>
          <w:b/>
          <w:color w:val="000000"/>
          <w:sz w:val="24"/>
          <w:szCs w:val="24"/>
        </w:rPr>
        <w:t>四、投标商资格要求：</w:t>
      </w:r>
    </w:p>
    <w:p>
      <w:pPr>
        <w:spacing w:before="120" w:beforeLines="50" w:after="120" w:afterLines="50" w:line="360" w:lineRule="auto"/>
        <w:ind w:firstLine="480" w:firstLineChars="200"/>
        <w:rPr>
          <w:rFonts w:ascii="宋体" w:hAnsi="宋体" w:eastAsia="宋体" w:cs="Arial"/>
          <w:color w:val="000000"/>
          <w:sz w:val="24"/>
          <w:szCs w:val="24"/>
        </w:rPr>
      </w:pPr>
      <w:r>
        <w:rPr>
          <w:rFonts w:hint="eastAsia" w:ascii="宋体" w:hAnsi="宋体" w:eastAsia="宋体" w:cs="Arial"/>
          <w:color w:val="000000"/>
          <w:sz w:val="24"/>
          <w:szCs w:val="24"/>
        </w:rPr>
        <w:t>（一）符合政府采购法第二十二条第一款规定的条件，并提供下列材料</w:t>
      </w:r>
      <w:r>
        <w:rPr>
          <w:rFonts w:hint="eastAsia" w:ascii="宋体" w:hAnsi="宋体" w:eastAsia="宋体"/>
          <w:b/>
          <w:bCs/>
          <w:color w:val="000000"/>
          <w:sz w:val="24"/>
          <w:szCs w:val="24"/>
        </w:rPr>
        <w:t>（注：分别提供纸质材料并加盖公章，原件备查）</w:t>
      </w:r>
      <w:r>
        <w:rPr>
          <w:rFonts w:hint="eastAsia" w:ascii="宋体" w:hAnsi="宋体" w:eastAsia="宋体" w:cs="Arial"/>
          <w:color w:val="000000"/>
          <w:sz w:val="24"/>
          <w:szCs w:val="24"/>
        </w:rPr>
        <w:t>；</w:t>
      </w:r>
    </w:p>
    <w:p>
      <w:pPr>
        <w:spacing w:before="120" w:beforeLines="50" w:after="120" w:afterLines="50" w:line="360" w:lineRule="auto"/>
        <w:ind w:firstLine="480" w:firstLineChars="200"/>
        <w:rPr>
          <w:rFonts w:ascii="宋体" w:hAnsi="宋体" w:eastAsia="宋体" w:cs="宋体"/>
          <w:color w:val="000000"/>
          <w:sz w:val="24"/>
          <w:szCs w:val="24"/>
        </w:rPr>
      </w:pPr>
      <w:r>
        <w:rPr>
          <w:rFonts w:ascii="宋体" w:hAnsi="宋体" w:eastAsia="宋体" w:cs="Arial"/>
          <w:color w:val="000000"/>
          <w:sz w:val="24"/>
          <w:szCs w:val="24"/>
        </w:rPr>
        <w:t>1</w:t>
      </w:r>
      <w:r>
        <w:rPr>
          <w:rFonts w:hint="eastAsia" w:ascii="宋体" w:hAnsi="宋体" w:eastAsia="宋体" w:cs="Arial"/>
          <w:color w:val="000000"/>
          <w:sz w:val="24"/>
          <w:szCs w:val="24"/>
        </w:rPr>
        <w:t>、</w:t>
      </w:r>
      <w:r>
        <w:rPr>
          <w:rFonts w:hint="eastAsia" w:ascii="宋体" w:hAnsi="宋体" w:eastAsia="宋体" w:cs="宋体"/>
          <w:color w:val="000000"/>
          <w:sz w:val="24"/>
          <w:szCs w:val="24"/>
        </w:rPr>
        <w:t>法人或者其他组织的营业执照等证明文件，</w:t>
      </w:r>
      <w:r>
        <w:rPr>
          <w:rFonts w:hint="eastAsia" w:ascii="宋体" w:hAnsi="宋体" w:eastAsia="宋体"/>
          <w:color w:val="000000"/>
          <w:sz w:val="24"/>
          <w:szCs w:val="24"/>
        </w:rPr>
        <w:t>法人和授权代表</w:t>
      </w:r>
      <w:r>
        <w:rPr>
          <w:rFonts w:hint="eastAsia" w:ascii="宋体" w:hAnsi="宋体" w:eastAsia="宋体" w:cs="宋体"/>
          <w:color w:val="000000"/>
          <w:sz w:val="24"/>
          <w:szCs w:val="24"/>
        </w:rPr>
        <w:t>的身份证明；</w:t>
      </w:r>
    </w:p>
    <w:p>
      <w:pPr>
        <w:spacing w:before="120" w:beforeLines="50" w:after="120" w:afterLines="50"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具有良好的商业信誉和健全的财务会计制度（提供参加本次采购活动前六个月内任一月份的资产负债表和利润表，或2022年度审计报告（至少包括资产负债表、利润表和审计单位的营业执照，提供相关复印件并加盖公章）；</w:t>
      </w:r>
    </w:p>
    <w:p>
      <w:pPr>
        <w:spacing w:before="120" w:beforeLines="50" w:after="120" w:afterLines="50"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有依法缴纳税收和社会保障资金的良好记录（提供参加本次采购活动前六个月内任一月份依法缴纳税收的凭据，以及缴纳社会保险的凭据（专用收据或社会保险的凭据。依法免税或不需要缴纳社会保障资金的投标供应商，应提供相应文件证明）；</w:t>
      </w:r>
      <w:r>
        <w:rPr>
          <w:rFonts w:ascii="宋体" w:hAnsi="宋体" w:eastAsia="宋体" w:cs="宋体"/>
          <w:color w:val="000000"/>
          <w:sz w:val="24"/>
          <w:szCs w:val="24"/>
        </w:rPr>
        <w:br w:type="textWrapping"/>
      </w:r>
      <w:r>
        <w:rPr>
          <w:rFonts w:hint="eastAsia" w:ascii="宋体" w:hAnsi="宋体" w:eastAsia="宋体" w:cs="宋体"/>
          <w:color w:val="000000"/>
          <w:sz w:val="24"/>
          <w:szCs w:val="24"/>
        </w:rPr>
        <w:t>　</w:t>
      </w:r>
      <w:r>
        <w:rPr>
          <w:rFonts w:ascii="宋体" w:hAnsi="宋体" w:eastAsia="宋体" w:cs="宋体"/>
          <w:color w:val="000000"/>
          <w:sz w:val="24"/>
          <w:szCs w:val="24"/>
        </w:rPr>
        <w:t xml:space="preserve">  4</w:t>
      </w:r>
      <w:r>
        <w:rPr>
          <w:rFonts w:hint="eastAsia" w:ascii="宋体" w:hAnsi="宋体" w:eastAsia="宋体" w:cs="宋体"/>
          <w:color w:val="000000"/>
          <w:sz w:val="24"/>
          <w:szCs w:val="24"/>
        </w:rPr>
        <w:t>、具备履行合同所必需的设备和专业技术能力的证明材料；</w:t>
      </w:r>
      <w:r>
        <w:rPr>
          <w:rFonts w:ascii="宋体" w:hAnsi="宋体" w:eastAsia="宋体" w:cs="宋体"/>
          <w:color w:val="000000"/>
          <w:sz w:val="24"/>
          <w:szCs w:val="24"/>
        </w:rPr>
        <w:br w:type="textWrapping"/>
      </w:r>
      <w:r>
        <w:rPr>
          <w:rFonts w:hint="eastAsia" w:ascii="宋体" w:hAnsi="宋体" w:eastAsia="宋体" w:cs="宋体"/>
          <w:color w:val="000000"/>
          <w:sz w:val="24"/>
          <w:szCs w:val="24"/>
        </w:rPr>
        <w:t>　</w:t>
      </w:r>
      <w:r>
        <w:rPr>
          <w:rFonts w:ascii="宋体" w:hAnsi="宋体" w:eastAsia="宋体" w:cs="宋体"/>
          <w:color w:val="000000"/>
          <w:sz w:val="24"/>
          <w:szCs w:val="24"/>
        </w:rPr>
        <w:t xml:space="preserve">  5</w:t>
      </w:r>
      <w:r>
        <w:rPr>
          <w:rFonts w:hint="eastAsia" w:ascii="宋体" w:hAnsi="宋体" w:eastAsia="宋体" w:cs="宋体"/>
          <w:color w:val="000000"/>
          <w:sz w:val="24"/>
          <w:szCs w:val="24"/>
        </w:rPr>
        <w:t>、参加政府采购活动前</w:t>
      </w:r>
      <w:r>
        <w:rPr>
          <w:rFonts w:ascii="宋体" w:hAnsi="宋体" w:eastAsia="宋体" w:cs="宋体"/>
          <w:color w:val="000000"/>
          <w:sz w:val="24"/>
          <w:szCs w:val="24"/>
        </w:rPr>
        <w:t>3</w:t>
      </w:r>
      <w:r>
        <w:rPr>
          <w:rFonts w:hint="eastAsia" w:ascii="宋体" w:hAnsi="宋体" w:eastAsia="宋体" w:cs="宋体"/>
          <w:color w:val="000000"/>
          <w:sz w:val="24"/>
          <w:szCs w:val="24"/>
        </w:rPr>
        <w:t>年内在经营活动中没有重大违法记录的书面声明；</w:t>
      </w:r>
    </w:p>
    <w:p>
      <w:pPr>
        <w:spacing w:before="120" w:beforeLines="50" w:after="120" w:afterLines="50" w:line="360" w:lineRule="auto"/>
        <w:ind w:firstLine="480" w:firstLineChars="200"/>
        <w:rPr>
          <w:rFonts w:ascii="宋体" w:hAnsi="宋体" w:eastAsia="宋体"/>
          <w:color w:val="000000"/>
          <w:sz w:val="24"/>
          <w:szCs w:val="24"/>
        </w:rPr>
      </w:pPr>
      <w:r>
        <w:rPr>
          <w:rFonts w:ascii="宋体" w:hAnsi="宋体" w:eastAsia="宋体" w:cs="宋体"/>
          <w:color w:val="000000"/>
          <w:sz w:val="24"/>
          <w:szCs w:val="24"/>
        </w:rPr>
        <w:t>6</w:t>
      </w:r>
      <w:r>
        <w:rPr>
          <w:rFonts w:hint="eastAsia" w:ascii="宋体" w:hAnsi="宋体" w:eastAsia="宋体" w:cs="宋体"/>
          <w:color w:val="000000"/>
          <w:sz w:val="24"/>
          <w:szCs w:val="24"/>
        </w:rPr>
        <w:t>、</w:t>
      </w:r>
      <w:r>
        <w:rPr>
          <w:rFonts w:hint="eastAsia" w:ascii="宋体" w:hAnsi="宋体" w:eastAsia="宋体"/>
          <w:color w:val="000000"/>
          <w:sz w:val="24"/>
          <w:szCs w:val="24"/>
        </w:rPr>
        <w:t>未被“信用中国”网站（</w:t>
      </w:r>
      <w:r>
        <w:rPr>
          <w:rFonts w:ascii="宋体" w:hAnsi="宋体" w:eastAsia="宋体"/>
          <w:color w:val="000000"/>
          <w:sz w:val="24"/>
          <w:szCs w:val="24"/>
        </w:rPr>
        <w:t>www.creditchina.gov.cn</w:t>
      </w:r>
      <w:r>
        <w:rPr>
          <w:rFonts w:hint="eastAsia" w:ascii="宋体" w:hAnsi="宋体" w:eastAsia="宋体"/>
          <w:color w:val="000000"/>
          <w:sz w:val="24"/>
          <w:szCs w:val="24"/>
        </w:rPr>
        <w:t>）列入失信被执行人、重大税收违法案件当事人名单、政府采购严重失信行为记录名单。</w:t>
      </w:r>
    </w:p>
    <w:p>
      <w:pPr>
        <w:spacing w:before="120" w:beforeLines="50" w:after="120" w:afterLines="5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（二）本项目不接受联合体投标；</w:t>
      </w:r>
    </w:p>
    <w:p>
      <w:pPr>
        <w:spacing w:before="120" w:beforeLines="50" w:after="120" w:afterLines="5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（三）本项目不允许分包或者转包。</w:t>
      </w:r>
    </w:p>
    <w:p>
      <w:pPr>
        <w:spacing w:before="120" w:beforeLines="50" w:after="120" w:afterLines="50" w:line="360" w:lineRule="auto"/>
        <w:ind w:firstLine="482" w:firstLineChars="200"/>
        <w:rPr>
          <w:rFonts w:ascii="宋体" w:hAnsi="宋体" w:eastAsia="宋体"/>
          <w:b/>
          <w:color w:val="000000"/>
          <w:sz w:val="24"/>
          <w:szCs w:val="24"/>
        </w:rPr>
      </w:pPr>
      <w:r>
        <w:rPr>
          <w:rFonts w:hint="eastAsia" w:ascii="宋体" w:hAnsi="宋体" w:eastAsia="宋体"/>
          <w:b/>
          <w:color w:val="000000"/>
          <w:sz w:val="24"/>
          <w:szCs w:val="24"/>
        </w:rPr>
        <w:t>五、获取招标文件的信息及方式</w:t>
      </w:r>
    </w:p>
    <w:p>
      <w:pPr>
        <w:pStyle w:val="19"/>
        <w:spacing w:before="48" w:line="360" w:lineRule="auto"/>
        <w:ind w:left="499" w:leftChars="227" w:right="1470" w:firstLine="0" w:firstLineChars="0"/>
        <w:rPr>
          <w:rFonts w:ascii="宋体" w:hAnsi="宋体" w:cs="Times New Roman"/>
          <w:color w:val="000000"/>
          <w:kern w:val="0"/>
          <w:sz w:val="24"/>
          <w:szCs w:val="24"/>
        </w:rPr>
      </w:pPr>
      <w:r>
        <w:rPr>
          <w:rFonts w:hint="eastAsia" w:ascii="宋体" w:hAnsi="宋体" w:cs="Times New Roman"/>
          <w:color w:val="000000"/>
          <w:kern w:val="0"/>
          <w:sz w:val="24"/>
          <w:szCs w:val="24"/>
        </w:rPr>
        <w:t>1、公告期限：自采购公告发布之日起5个工作日</w:t>
      </w:r>
    </w:p>
    <w:p>
      <w:pPr>
        <w:spacing w:before="120" w:beforeLines="50" w:after="120" w:afterLines="5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2、有关本次招标的事项若存在变动或修改，敬请及时关注以上网页发布的信息更正公告。</w:t>
      </w:r>
    </w:p>
    <w:p>
      <w:pPr>
        <w:spacing w:before="120" w:beforeLines="50" w:after="120" w:afterLines="50" w:line="360" w:lineRule="auto"/>
        <w:ind w:firstLine="482" w:firstLineChars="200"/>
        <w:rPr>
          <w:rFonts w:ascii="宋体" w:hAnsi="宋体" w:eastAsia="宋体"/>
          <w:b/>
          <w:color w:val="000000"/>
          <w:sz w:val="24"/>
          <w:szCs w:val="24"/>
        </w:rPr>
      </w:pPr>
      <w:r>
        <w:rPr>
          <w:rFonts w:hint="eastAsia" w:ascii="宋体" w:hAnsi="宋体" w:eastAsia="宋体"/>
          <w:b/>
          <w:color w:val="000000"/>
          <w:sz w:val="24"/>
          <w:szCs w:val="24"/>
        </w:rPr>
        <w:t>五、获取招标文件的信息及方式</w:t>
      </w:r>
    </w:p>
    <w:p>
      <w:pPr>
        <w:pStyle w:val="19"/>
        <w:spacing w:before="48" w:line="360" w:lineRule="auto"/>
        <w:ind w:right="1470" w:firstLine="480"/>
        <w:rPr>
          <w:rFonts w:ascii="宋体" w:hAnsi="宋体" w:cs="Times New Roman"/>
          <w:color w:val="000000"/>
          <w:kern w:val="0"/>
          <w:sz w:val="24"/>
          <w:szCs w:val="24"/>
        </w:rPr>
      </w:pPr>
      <w:r>
        <w:rPr>
          <w:rFonts w:hint="eastAsia" w:ascii="宋体" w:hAnsi="宋体" w:cs="Times New Roman"/>
          <w:color w:val="000000"/>
          <w:kern w:val="0"/>
          <w:sz w:val="24"/>
          <w:szCs w:val="24"/>
        </w:rPr>
        <w:t>1、公告期限：自采购公告发布之日起5个工作日</w:t>
      </w:r>
    </w:p>
    <w:p>
      <w:pPr>
        <w:spacing w:before="120" w:beforeLines="50" w:after="120" w:afterLines="5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2、有关本次招标的事项若存在变动或修改，敬请及时关注以上网页发布的信息更正公告。</w:t>
      </w:r>
    </w:p>
    <w:p>
      <w:pPr>
        <w:pStyle w:val="47"/>
        <w:spacing w:after="0" w:line="360" w:lineRule="auto"/>
        <w:ind w:left="0" w:firstLine="0"/>
        <w:jc w:val="both"/>
        <w:rPr>
          <w:rFonts w:cs="Times New Roman"/>
          <w:color w:val="000000"/>
          <w:sz w:val="24"/>
          <w:szCs w:val="24"/>
          <w:lang w:val="en-US" w:eastAsia="zh-CN" w:bidi="ar-SA"/>
        </w:rPr>
      </w:pPr>
      <w:r>
        <w:rPr>
          <w:rFonts w:hint="eastAsia" w:cs="Times New Roman"/>
          <w:color w:val="000000"/>
          <w:sz w:val="24"/>
          <w:szCs w:val="24"/>
          <w:lang w:val="en-US" w:eastAsia="zh-CN" w:bidi="ar-SA"/>
        </w:rPr>
        <w:t>六、投标截止时间及开标信息</w:t>
      </w:r>
    </w:p>
    <w:p>
      <w:pPr>
        <w:spacing w:before="120" w:beforeLines="50" w:after="120" w:afterLines="50" w:line="360" w:lineRule="auto"/>
        <w:ind w:firstLine="240" w:firstLineChars="100"/>
        <w:rPr>
          <w:rFonts w:ascii="宋体" w:hAnsi="宋体" w:eastAsia="宋体"/>
          <w:color w:val="000000"/>
          <w:sz w:val="24"/>
          <w:szCs w:val="24"/>
        </w:rPr>
      </w:pPr>
      <w:r>
        <w:rPr>
          <w:rFonts w:hint="eastAsia" w:ascii="宋体" w:hAnsi="宋体" w:eastAsia="宋体"/>
          <w:color w:val="000000"/>
          <w:sz w:val="24"/>
          <w:szCs w:val="24"/>
        </w:rPr>
        <w:t>（一）投标文件接收开始时间：2023年10月1</w:t>
      </w:r>
      <w:r>
        <w:rPr>
          <w:rFonts w:hint="eastAsia" w:ascii="宋体" w:hAnsi="宋体" w:eastAsia="宋体"/>
          <w:color w:val="000000"/>
          <w:sz w:val="24"/>
          <w:szCs w:val="24"/>
          <w:lang w:val="en-US" w:eastAsia="zh-CN"/>
        </w:rPr>
        <w:t>9</w:t>
      </w:r>
      <w:r>
        <w:rPr>
          <w:rFonts w:hint="eastAsia" w:ascii="宋体" w:hAnsi="宋体" w:eastAsia="宋体"/>
          <w:color w:val="000000"/>
          <w:sz w:val="24"/>
          <w:szCs w:val="24"/>
        </w:rPr>
        <w:t>日上午</w:t>
      </w:r>
      <w:r>
        <w:rPr>
          <w:rFonts w:hint="eastAsia" w:ascii="宋体" w:hAnsi="宋体" w:eastAsia="宋体"/>
          <w:color w:val="000000"/>
          <w:sz w:val="24"/>
          <w:szCs w:val="24"/>
          <w:lang w:val="en-US" w:eastAsia="zh-CN"/>
        </w:rPr>
        <w:t>09</w:t>
      </w:r>
      <w:r>
        <w:rPr>
          <w:rFonts w:hint="eastAsia" w:ascii="宋体" w:hAnsi="宋体" w:eastAsia="宋体"/>
          <w:color w:val="000000"/>
          <w:sz w:val="24"/>
          <w:szCs w:val="24"/>
        </w:rPr>
        <w:t>:30（北京时间）</w:t>
      </w:r>
    </w:p>
    <w:p>
      <w:pPr>
        <w:spacing w:before="120" w:beforeLines="50" w:after="120" w:afterLines="50" w:line="360" w:lineRule="auto"/>
        <w:ind w:firstLine="720" w:firstLineChars="300"/>
        <w:rPr>
          <w:rFonts w:ascii="宋体" w:hAnsi="宋体" w:eastAsia="宋体"/>
          <w:color w:val="000000"/>
          <w:sz w:val="24"/>
          <w:szCs w:val="24"/>
        </w:rPr>
      </w:pPr>
      <w:r>
        <w:rPr>
          <w:rFonts w:hint="eastAsia" w:ascii="宋体" w:hAnsi="宋体" w:eastAsia="宋体"/>
          <w:color w:val="000000"/>
          <w:sz w:val="24"/>
          <w:szCs w:val="24"/>
        </w:rPr>
        <w:t>投标文件接收截止时间：2023年10月1</w:t>
      </w:r>
      <w:r>
        <w:rPr>
          <w:rFonts w:hint="eastAsia" w:ascii="宋体" w:hAnsi="宋体" w:eastAsia="宋体"/>
          <w:color w:val="000000"/>
          <w:sz w:val="24"/>
          <w:szCs w:val="24"/>
          <w:lang w:val="en-US" w:eastAsia="zh-CN"/>
        </w:rPr>
        <w:t>9</w:t>
      </w:r>
      <w:r>
        <w:rPr>
          <w:rFonts w:hint="eastAsia" w:ascii="宋体" w:hAnsi="宋体" w:eastAsia="宋体"/>
          <w:color w:val="000000"/>
          <w:sz w:val="24"/>
          <w:szCs w:val="24"/>
        </w:rPr>
        <w:t>日上午</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:15（北京时间）</w:t>
      </w:r>
    </w:p>
    <w:p>
      <w:pPr>
        <w:spacing w:line="360" w:lineRule="auto"/>
        <w:ind w:firstLine="720" w:firstLineChars="300"/>
        <w:rPr>
          <w:rFonts w:ascii="宋体" w:hAnsi="宋体" w:eastAsia="宋体"/>
          <w:color w:val="000000"/>
          <w:sz w:val="24"/>
          <w:szCs w:val="24"/>
        </w:rPr>
      </w:pPr>
      <w:r>
        <w:rPr>
          <w:rFonts w:hint="eastAsia" w:ascii="宋体" w:hAnsi="宋体" w:eastAsia="宋体"/>
          <w:color w:val="000000"/>
          <w:sz w:val="24"/>
          <w:szCs w:val="24"/>
        </w:rPr>
        <w:t>投标文件接收地点：南京医科大学江宁校区德馨楼B201室</w:t>
      </w:r>
    </w:p>
    <w:p>
      <w:pPr>
        <w:spacing w:line="360" w:lineRule="auto"/>
        <w:ind w:firstLine="240" w:firstLineChars="100"/>
        <w:rPr>
          <w:rFonts w:ascii="宋体" w:hAnsi="宋体" w:eastAsia="宋体"/>
          <w:color w:val="000000"/>
          <w:sz w:val="24"/>
          <w:szCs w:val="24"/>
        </w:rPr>
      </w:pPr>
      <w:r>
        <w:rPr>
          <w:rFonts w:hint="eastAsia" w:ascii="宋体" w:hAnsi="宋体" w:eastAsia="宋体"/>
          <w:color w:val="000000"/>
          <w:sz w:val="24"/>
          <w:szCs w:val="24"/>
        </w:rPr>
        <w:t>（南京市江宁区龙眠大道101号，地铁1号南延线南医大-江苏经贸学院站）。</w:t>
      </w:r>
    </w:p>
    <w:p>
      <w:pPr>
        <w:spacing w:line="360" w:lineRule="auto"/>
        <w:ind w:firstLine="240" w:firstLineChars="100"/>
        <w:rPr>
          <w:rFonts w:ascii="宋体" w:hAnsi="宋体" w:eastAsia="宋体"/>
          <w:color w:val="000000"/>
          <w:sz w:val="24"/>
          <w:szCs w:val="24"/>
        </w:rPr>
      </w:pPr>
      <w:r>
        <w:rPr>
          <w:rFonts w:hint="eastAsia" w:ascii="宋体" w:hAnsi="宋体" w:eastAsia="宋体"/>
          <w:color w:val="000000"/>
          <w:sz w:val="24"/>
          <w:szCs w:val="24"/>
        </w:rPr>
        <w:t>（二）开标时间：2023年10月1</w:t>
      </w:r>
      <w:r>
        <w:rPr>
          <w:rFonts w:hint="eastAsia" w:ascii="宋体" w:hAnsi="宋体" w:eastAsia="宋体"/>
          <w:color w:val="000000"/>
          <w:sz w:val="24"/>
          <w:szCs w:val="24"/>
          <w:lang w:val="en-US" w:eastAsia="zh-CN"/>
        </w:rPr>
        <w:t>9</w:t>
      </w:r>
      <w:r>
        <w:rPr>
          <w:rFonts w:hint="eastAsia" w:ascii="宋体" w:hAnsi="宋体" w:eastAsia="宋体"/>
          <w:color w:val="000000"/>
          <w:sz w:val="24"/>
          <w:szCs w:val="24"/>
        </w:rPr>
        <w:t>日上午</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:15（北京时间）</w:t>
      </w:r>
    </w:p>
    <w:p>
      <w:pPr>
        <w:spacing w:line="360" w:lineRule="auto"/>
        <w:ind w:firstLine="960" w:firstLineChars="400"/>
        <w:rPr>
          <w:rFonts w:ascii="宋体" w:hAnsi="宋体" w:eastAsia="宋体"/>
          <w:color w:val="000000"/>
          <w:sz w:val="24"/>
          <w:szCs w:val="24"/>
        </w:rPr>
      </w:pPr>
      <w:r>
        <w:rPr>
          <w:rFonts w:hint="eastAsia" w:ascii="宋体" w:hAnsi="宋体" w:eastAsia="宋体"/>
          <w:color w:val="000000"/>
          <w:sz w:val="24"/>
          <w:szCs w:val="24"/>
        </w:rPr>
        <w:t>开标地点：南京医科大学江宁校区德馨楼B201室</w:t>
      </w:r>
    </w:p>
    <w:p>
      <w:pPr>
        <w:spacing w:after="0" w:line="360" w:lineRule="auto"/>
        <w:ind w:firstLine="960" w:firstLineChars="400"/>
        <w:rPr>
          <w:rFonts w:ascii="宋体" w:hAnsi="宋体" w:eastAsia="宋体" w:cs="Times New Roman"/>
          <w:color w:val="000000"/>
          <w:sz w:val="24"/>
          <w:szCs w:val="24"/>
        </w:rPr>
      </w:pPr>
      <w:r>
        <w:rPr>
          <w:rFonts w:hint="eastAsia" w:ascii="宋体" w:hAnsi="宋体" w:eastAsia="宋体"/>
          <w:color w:val="000000"/>
          <w:sz w:val="24"/>
          <w:szCs w:val="24"/>
        </w:rPr>
        <w:t>投标文件接收要求：</w:t>
      </w:r>
      <w:r>
        <w:rPr>
          <w:rFonts w:hint="eastAsia" w:ascii="宋体" w:hAnsi="宋体" w:eastAsia="宋体" w:cs="Times New Roman"/>
          <w:color w:val="000000"/>
          <w:sz w:val="24"/>
          <w:szCs w:val="24"/>
        </w:rPr>
        <w:t>1.纸质版投标文件：一式五份，其中正本一份、副本四份，在标书封面标注“正本”、“副本”字样。</w:t>
      </w:r>
    </w:p>
    <w:p>
      <w:pPr>
        <w:spacing w:after="0" w:line="360" w:lineRule="auto"/>
        <w:ind w:firstLine="960" w:firstLineChars="400"/>
        <w:rPr>
          <w:rFonts w:ascii="宋体" w:hAnsi="宋体" w:eastAsia="宋体" w:cs="Times New Roman"/>
          <w:color w:val="000000"/>
          <w:sz w:val="24"/>
          <w:szCs w:val="24"/>
        </w:rPr>
      </w:pPr>
      <w:r>
        <w:rPr>
          <w:rFonts w:hint="eastAsia" w:ascii="宋体" w:hAnsi="宋体" w:eastAsia="宋体" w:cs="Times New Roman"/>
          <w:color w:val="000000"/>
          <w:sz w:val="24"/>
          <w:szCs w:val="24"/>
        </w:rPr>
        <w:t>2.电子版投标文件：U盘提供盖章版投标文件，PDF格式。文件名称为：项目名称+投标单位名称。</w:t>
      </w:r>
    </w:p>
    <w:p>
      <w:pPr>
        <w:spacing w:after="0" w:line="360" w:lineRule="auto"/>
        <w:ind w:firstLine="960" w:firstLineChars="400"/>
        <w:rPr>
          <w:rFonts w:ascii="宋体" w:hAnsi="宋体" w:eastAsia="宋体" w:cs="Times New Roman"/>
          <w:color w:val="000000"/>
          <w:sz w:val="24"/>
          <w:szCs w:val="24"/>
        </w:rPr>
      </w:pPr>
      <w:r>
        <w:rPr>
          <w:rFonts w:hint="eastAsia" w:ascii="宋体" w:hAnsi="宋体" w:eastAsia="宋体" w:cs="Times New Roman"/>
          <w:color w:val="000000"/>
          <w:sz w:val="24"/>
          <w:szCs w:val="24"/>
        </w:rPr>
        <w:t>3.投标文件密封并在封口处加盖公章。</w:t>
      </w:r>
      <w:r>
        <w:rPr>
          <w:rFonts w:hint="eastAsia" w:ascii="宋体" w:hAnsi="宋体" w:eastAsia="宋体"/>
          <w:color w:val="000000"/>
          <w:sz w:val="24"/>
          <w:szCs w:val="24"/>
        </w:rPr>
        <w:t>逾期送达及未按要求密封的投标文件，采购人不予接收。</w:t>
      </w:r>
    </w:p>
    <w:p>
      <w:pPr>
        <w:spacing w:before="120" w:beforeLines="50" w:after="120" w:afterLines="50" w:line="360" w:lineRule="auto"/>
        <w:ind w:firstLine="241" w:firstLineChars="100"/>
        <w:rPr>
          <w:iCs/>
          <w:color w:val="FF0000"/>
          <w:sz w:val="24"/>
          <w:szCs w:val="24"/>
        </w:rPr>
      </w:pPr>
      <w:r>
        <w:rPr>
          <w:rFonts w:hint="eastAsia" w:ascii="宋体" w:hAnsi="宋体" w:eastAsia="宋体" w:cs="宋体"/>
          <w:b/>
          <w:iCs/>
          <w:color w:val="FF0000"/>
          <w:sz w:val="24"/>
          <w:szCs w:val="24"/>
        </w:rPr>
        <w:t>（三）开标一览表必须加盖投标人公章（复印件无效），必须单独密封在信封中，在投标截止时间前与投标文件分别递交，否则视为无效投标。</w:t>
      </w:r>
    </w:p>
    <w:p>
      <w:pPr>
        <w:spacing w:before="120" w:beforeLines="50" w:after="120" w:afterLines="50" w:line="360" w:lineRule="auto"/>
        <w:ind w:firstLine="240" w:firstLineChars="100"/>
        <w:rPr>
          <w:rFonts w:ascii="宋体" w:hAnsi="宋体" w:eastAsia="宋体" w:cs="宋体"/>
          <w:sz w:val="24"/>
          <w:szCs w:val="24"/>
        </w:rPr>
      </w:pPr>
      <w:r>
        <w:rPr>
          <w:rFonts w:hint="eastAsia" w:ascii="宋体" w:hAnsi="宋体" w:eastAsia="宋体"/>
          <w:color w:val="000000"/>
          <w:sz w:val="24"/>
          <w:szCs w:val="24"/>
        </w:rPr>
        <w:t>（四）需要现场澄清的问题，投标商代表未到场书面澄清确认的，后果自负。</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七、投标无效的情形</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八、注意事项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2"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3"/>
                    <pic:cNvPicPr>
                      <a:picLocks noChangeAspect="1"/>
                    </pic:cNvPicPr>
                  </pic:nvPicPr>
                  <pic:blipFill>
                    <a:blip r:embed="rId9"/>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（2）通过手机号和验证码登陆系统， 点击“入校申请”。（系统内访问部门：基础医学院，人员：张洪 ，联系方式：13419682603）。</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4"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 4"/>
                    <pic:cNvPicPr>
                      <a:picLocks noChangeAspect="1"/>
                    </pic:cNvPicPr>
                  </pic:nvPicPr>
                  <pic:blipFill>
                    <a:blip r:embed="rId10"/>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19"/>
        <w:ind w:firstLine="480"/>
        <w:rPr>
          <w:rFonts w:ascii="宋体" w:hAnsi="宋体" w:cs="宋体"/>
          <w:sz w:val="24"/>
          <w:szCs w:val="24"/>
        </w:rPr>
      </w:pPr>
    </w:p>
    <w:p>
      <w:pPr>
        <w:rPr>
          <w:rFonts w:ascii="宋体" w:hAnsi="宋体" w:eastAsia="宋体" w:cs="宋体"/>
          <w:sz w:val="24"/>
          <w:szCs w:val="24"/>
        </w:rPr>
      </w:pPr>
    </w:p>
    <w:p>
      <w:pPr>
        <w:pStyle w:val="19"/>
        <w:ind w:firstLine="480"/>
        <w:rPr>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pStyle w:val="27"/>
        <w:spacing w:before="120" w:beforeLines="50" w:after="120" w:afterLines="50" w:line="360" w:lineRule="auto"/>
        <w:ind w:firstLine="480"/>
        <w:rPr>
          <w:rFonts w:asciiTheme="minorEastAsia" w:hAnsiTheme="minorEastAsia" w:eastAsiaTheme="minorEastAsia"/>
          <w:bCs/>
          <w:sz w:val="24"/>
          <w:szCs w:val="24"/>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120614213"/>
      <w:bookmarkStart w:id="19" w:name="_Toc20823274"/>
      <w:bookmarkStart w:id="20" w:name="_Toc16938518"/>
      <w:bookmarkStart w:id="21" w:name="_Toc513029202"/>
      <w:r>
        <w:rPr>
          <w:rFonts w:hint="eastAsia" w:asciiTheme="majorEastAsia" w:hAnsiTheme="majorEastAsia" w:eastAsiaTheme="majorEastAsia"/>
          <w:b/>
          <w:sz w:val="44"/>
        </w:rPr>
        <w:t>投标人须知</w:t>
      </w:r>
      <w:bookmarkEnd w:id="17"/>
      <w:bookmarkEnd w:id="18"/>
      <w:bookmarkEnd w:id="19"/>
      <w:bookmarkEnd w:id="20"/>
      <w:bookmarkEnd w:id="21"/>
    </w:p>
    <w:p>
      <w:pPr>
        <w:pStyle w:val="28"/>
        <w:rPr>
          <w:rFonts w:ascii="宋体" w:hAnsi="宋体" w:cs="宋体"/>
          <w:b/>
        </w:rPr>
      </w:pPr>
      <w:bookmarkStart w:id="22" w:name="_Toc20823275"/>
      <w:bookmarkStart w:id="23" w:name="_Toc513029203"/>
      <w:bookmarkStart w:id="24" w:name="_Toc16938519"/>
      <w:bookmarkStart w:id="25" w:name="_Toc120614214"/>
      <w:r>
        <w:rPr>
          <w:rFonts w:hint="eastAsia" w:ascii="宋体" w:hAnsi="宋体" w:cs="宋体"/>
          <w:b/>
        </w:rPr>
        <w:t>一、总则</w:t>
      </w:r>
      <w:bookmarkEnd w:id="22"/>
      <w:bookmarkEnd w:id="23"/>
      <w:bookmarkEnd w:id="24"/>
      <w:bookmarkEnd w:id="25"/>
    </w:p>
    <w:p>
      <w:pPr>
        <w:pStyle w:val="28"/>
        <w:rPr>
          <w:rFonts w:ascii="宋体" w:hAnsi="宋体" w:cs="宋体"/>
          <w:b/>
          <w:bCs/>
        </w:rPr>
      </w:pPr>
      <w:bookmarkStart w:id="26" w:name="_Hlt16619475"/>
      <w:bookmarkEnd w:id="26"/>
      <w:bookmarkStart w:id="27" w:name="_Toc458694821"/>
      <w:bookmarkStart w:id="28" w:name="_Toc16938520"/>
      <w:bookmarkStart w:id="29" w:name="_Toc20823276"/>
      <w:bookmarkStart w:id="30" w:name="_Toc513029204"/>
      <w:r>
        <w:rPr>
          <w:rFonts w:hint="eastAsia" w:ascii="宋体" w:hAnsi="宋体" w:cs="宋体"/>
          <w:b/>
          <w:bCs/>
        </w:rPr>
        <w:t>1</w:t>
      </w:r>
      <w:bookmarkEnd w:id="27"/>
      <w:r>
        <w:rPr>
          <w:rFonts w:hint="eastAsia" w:ascii="宋体" w:hAnsi="宋体" w:cs="宋体"/>
          <w:b/>
          <w:bCs/>
        </w:rPr>
        <w:t>.招标方式</w:t>
      </w:r>
      <w:bookmarkEnd w:id="28"/>
      <w:bookmarkEnd w:id="29"/>
      <w:bookmarkEnd w:id="30"/>
    </w:p>
    <w:p>
      <w:pPr>
        <w:pStyle w:val="28"/>
        <w:rPr>
          <w:rFonts w:ascii="宋体" w:hAnsi="宋体" w:cs="宋体"/>
        </w:rPr>
      </w:pPr>
      <w:r>
        <w:rPr>
          <w:rFonts w:hint="eastAsia" w:ascii="宋体" w:hAnsi="宋体" w:cs="宋体"/>
        </w:rPr>
        <w:t>1.1 本次招标采取公开招标方式，本招标文件仅适用于招标公告中所述项目。</w:t>
      </w:r>
    </w:p>
    <w:p>
      <w:pPr>
        <w:pStyle w:val="28"/>
        <w:rPr>
          <w:rFonts w:ascii="宋体" w:hAnsi="宋体" w:cs="宋体"/>
          <w:b/>
          <w:bCs/>
        </w:rPr>
      </w:pPr>
      <w:bookmarkStart w:id="31" w:name="_Toc513029205"/>
      <w:bookmarkStart w:id="32" w:name="_Toc20823277"/>
      <w:bookmarkStart w:id="33" w:name="_Toc16938521"/>
      <w:r>
        <w:rPr>
          <w:rFonts w:hint="eastAsia" w:ascii="宋体" w:hAnsi="宋体" w:cs="宋体"/>
          <w:b/>
          <w:bCs/>
        </w:rPr>
        <w:t>2.合格的投标人</w:t>
      </w:r>
      <w:bookmarkEnd w:id="31"/>
      <w:bookmarkEnd w:id="32"/>
      <w:bookmarkEnd w:id="33"/>
    </w:p>
    <w:p>
      <w:pPr>
        <w:pStyle w:val="28"/>
        <w:rPr>
          <w:rFonts w:ascii="宋体" w:hAnsi="宋体" w:cs="宋体"/>
        </w:rPr>
      </w:pPr>
      <w:r>
        <w:rPr>
          <w:rFonts w:hint="eastAsia" w:ascii="宋体" w:hAnsi="宋体" w:cs="宋体"/>
        </w:rPr>
        <w:t>2.1满足招标公告中供应商资格要求的规定。</w:t>
      </w:r>
    </w:p>
    <w:p>
      <w:pPr>
        <w:pStyle w:val="28"/>
        <w:rPr>
          <w:rFonts w:ascii="宋体" w:hAnsi="宋体" w:cs="宋体"/>
        </w:rPr>
      </w:pPr>
      <w:r>
        <w:rPr>
          <w:rFonts w:hint="eastAsia" w:ascii="宋体" w:hAnsi="宋体" w:cs="宋体"/>
        </w:rPr>
        <w:t>2.2 满足本文件实质性条款的规定。</w:t>
      </w:r>
    </w:p>
    <w:p>
      <w:pPr>
        <w:pStyle w:val="28"/>
        <w:rPr>
          <w:rFonts w:ascii="宋体" w:hAnsi="宋体" w:cs="宋体"/>
          <w:b/>
          <w:bCs/>
        </w:rPr>
      </w:pPr>
      <w:bookmarkStart w:id="34" w:name="_Toc20823278"/>
      <w:bookmarkStart w:id="35" w:name="_Toc16938522"/>
      <w:bookmarkStart w:id="36" w:name="_Toc513029206"/>
      <w:r>
        <w:rPr>
          <w:rFonts w:hint="eastAsia" w:ascii="宋体" w:hAnsi="宋体" w:cs="宋体"/>
          <w:b/>
          <w:bCs/>
        </w:rPr>
        <w:t>3.适用法律</w:t>
      </w:r>
      <w:bookmarkEnd w:id="34"/>
      <w:bookmarkEnd w:id="35"/>
      <w:bookmarkEnd w:id="36"/>
    </w:p>
    <w:p>
      <w:pPr>
        <w:pStyle w:val="28"/>
        <w:rPr>
          <w:rFonts w:ascii="宋体" w:hAnsi="宋体" w:cs="宋体"/>
        </w:rPr>
      </w:pPr>
      <w:r>
        <w:rPr>
          <w:rFonts w:hint="eastAsia" w:ascii="宋体" w:hAnsi="宋体" w:cs="宋体"/>
        </w:rPr>
        <w:t>本次招标及由此产生的合同受中华人民共和国有关的法律法规制约和保护。</w:t>
      </w:r>
    </w:p>
    <w:p>
      <w:pPr>
        <w:pStyle w:val="28"/>
        <w:rPr>
          <w:rFonts w:ascii="宋体" w:hAnsi="宋体" w:cs="宋体"/>
          <w:b/>
          <w:bCs/>
        </w:rPr>
      </w:pPr>
      <w:bookmarkStart w:id="37" w:name="_Toc513029207"/>
      <w:bookmarkStart w:id="38" w:name="_Toc20823279"/>
      <w:bookmarkStart w:id="39" w:name="_Toc462564067"/>
      <w:bookmarkStart w:id="40" w:name="_Toc16938523"/>
      <w:r>
        <w:rPr>
          <w:rFonts w:hint="eastAsia" w:ascii="宋体" w:hAnsi="宋体" w:cs="宋体"/>
          <w:b/>
          <w:bCs/>
        </w:rPr>
        <w:t>4.投标费用</w:t>
      </w:r>
      <w:bookmarkEnd w:id="37"/>
      <w:bookmarkEnd w:id="38"/>
      <w:bookmarkEnd w:id="39"/>
      <w:bookmarkEnd w:id="40"/>
    </w:p>
    <w:p>
      <w:pPr>
        <w:pStyle w:val="28"/>
        <w:rPr>
          <w:rFonts w:ascii="宋体" w:hAnsi="宋体" w:cs="宋体"/>
        </w:rPr>
      </w:pPr>
      <w:r>
        <w:rPr>
          <w:rFonts w:hint="eastAsia" w:ascii="宋体" w:hAnsi="宋体" w:cs="宋体"/>
        </w:rPr>
        <w:t>投标人应自行承担所有与参加投标有关的费用。</w:t>
      </w:r>
    </w:p>
    <w:p>
      <w:pPr>
        <w:pStyle w:val="28"/>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28"/>
        <w:rPr>
          <w:rFonts w:ascii="宋体" w:hAnsi="宋体" w:cs="宋体"/>
        </w:rPr>
      </w:pPr>
      <w:r>
        <w:rPr>
          <w:rFonts w:hint="eastAsia" w:ascii="宋体" w:hAnsi="宋体" w:cs="宋体"/>
        </w:rPr>
        <w:t>投标人一旦参加本项目采购活动，即被认为接受了本招标文件的规定和约束。</w:t>
      </w:r>
    </w:p>
    <w:p>
      <w:pPr>
        <w:pStyle w:val="28"/>
        <w:rPr>
          <w:rFonts w:ascii="宋体" w:hAnsi="宋体" w:cs="宋体"/>
          <w:b/>
        </w:rPr>
      </w:pPr>
      <w:bookmarkStart w:id="41" w:name="_Toc20823281"/>
      <w:bookmarkStart w:id="42" w:name="_Toc120614215"/>
      <w:bookmarkStart w:id="43" w:name="_Toc513029209"/>
      <w:bookmarkStart w:id="44" w:name="_Toc16938525"/>
      <w:bookmarkStart w:id="45" w:name="_Toc517190883"/>
      <w:r>
        <w:rPr>
          <w:rFonts w:hint="eastAsia" w:ascii="宋体" w:hAnsi="宋体" w:cs="宋体"/>
          <w:b/>
        </w:rPr>
        <w:t>二、招标文件</w:t>
      </w:r>
      <w:bookmarkEnd w:id="41"/>
      <w:bookmarkEnd w:id="42"/>
      <w:bookmarkEnd w:id="43"/>
      <w:bookmarkEnd w:id="44"/>
      <w:bookmarkEnd w:id="45"/>
    </w:p>
    <w:p>
      <w:pPr>
        <w:pStyle w:val="28"/>
        <w:rPr>
          <w:rFonts w:ascii="宋体" w:hAnsi="宋体" w:cs="宋体"/>
          <w:b/>
          <w:bCs/>
        </w:rPr>
      </w:pPr>
      <w:bookmarkStart w:id="46" w:name="_Toc513029210"/>
      <w:bookmarkStart w:id="47" w:name="_Toc16938526"/>
      <w:bookmarkStart w:id="48" w:name="_Toc20823282"/>
      <w:r>
        <w:rPr>
          <w:rFonts w:hint="eastAsia" w:ascii="宋体" w:hAnsi="宋体" w:cs="宋体"/>
          <w:b/>
          <w:bCs/>
        </w:rPr>
        <w:t>6.招标文件构成</w:t>
      </w:r>
      <w:bookmarkEnd w:id="46"/>
      <w:bookmarkEnd w:id="47"/>
      <w:bookmarkEnd w:id="48"/>
    </w:p>
    <w:p>
      <w:pPr>
        <w:pStyle w:val="28"/>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28"/>
        <w:rPr>
          <w:rFonts w:ascii="宋体" w:hAnsi="宋体" w:cs="宋体"/>
        </w:rPr>
      </w:pPr>
      <w:r>
        <w:rPr>
          <w:rFonts w:hint="eastAsia" w:ascii="宋体" w:hAnsi="宋体" w:cs="宋体"/>
        </w:rPr>
        <w:t>（1）招标公告</w:t>
      </w:r>
    </w:p>
    <w:p>
      <w:pPr>
        <w:pStyle w:val="28"/>
        <w:rPr>
          <w:rFonts w:ascii="宋体" w:hAnsi="宋体" w:cs="宋体"/>
        </w:rPr>
      </w:pPr>
      <w:r>
        <w:rPr>
          <w:rFonts w:hint="eastAsia" w:ascii="宋体" w:hAnsi="宋体" w:cs="宋体"/>
        </w:rPr>
        <w:t>（2）投标人须知</w:t>
      </w:r>
    </w:p>
    <w:p>
      <w:pPr>
        <w:pStyle w:val="28"/>
        <w:rPr>
          <w:rFonts w:ascii="宋体" w:hAnsi="宋体" w:cs="宋体"/>
        </w:rPr>
      </w:pPr>
      <w:r>
        <w:rPr>
          <w:rFonts w:hint="eastAsia" w:ascii="宋体" w:hAnsi="宋体" w:cs="宋体"/>
        </w:rPr>
        <w:t>（3）项目需求</w:t>
      </w:r>
    </w:p>
    <w:p>
      <w:pPr>
        <w:pStyle w:val="28"/>
        <w:rPr>
          <w:rFonts w:ascii="宋体" w:hAnsi="宋体" w:cs="宋体"/>
        </w:rPr>
      </w:pPr>
      <w:r>
        <w:rPr>
          <w:rFonts w:hint="eastAsia" w:ascii="宋体" w:hAnsi="宋体" w:cs="宋体"/>
        </w:rPr>
        <w:t>（4）评标方法与评标标准</w:t>
      </w:r>
    </w:p>
    <w:p>
      <w:pPr>
        <w:pStyle w:val="28"/>
        <w:rPr>
          <w:rFonts w:ascii="宋体" w:hAnsi="宋体" w:cs="宋体"/>
        </w:rPr>
      </w:pPr>
      <w:r>
        <w:rPr>
          <w:rFonts w:hint="eastAsia" w:ascii="宋体" w:hAnsi="宋体" w:cs="宋体"/>
        </w:rPr>
        <w:t>（5）投标文件格式</w:t>
      </w:r>
    </w:p>
    <w:p>
      <w:pPr>
        <w:pStyle w:val="28"/>
        <w:rPr>
          <w:rFonts w:ascii="宋体" w:hAnsi="宋体" w:cs="宋体"/>
        </w:rPr>
      </w:pPr>
      <w:r>
        <w:rPr>
          <w:rFonts w:hint="eastAsia" w:ascii="宋体" w:hAnsi="宋体" w:cs="宋体"/>
        </w:rPr>
        <w:t>（6）签订合同范本</w:t>
      </w:r>
    </w:p>
    <w:p>
      <w:pPr>
        <w:pStyle w:val="28"/>
        <w:rPr>
          <w:rFonts w:ascii="宋体" w:hAnsi="宋体" w:cs="宋体"/>
        </w:rPr>
      </w:pPr>
      <w:r>
        <w:rPr>
          <w:rFonts w:hint="eastAsia" w:ascii="宋体" w:hAnsi="宋体" w:cs="宋体"/>
        </w:rPr>
        <w:t>请仔细检查招标文件是否齐全，如有缺漏请立即与采购人联系解决。</w:t>
      </w:r>
    </w:p>
    <w:p>
      <w:pPr>
        <w:pStyle w:val="28"/>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8"/>
        <w:rPr>
          <w:rFonts w:ascii="宋体" w:hAnsi="宋体" w:cs="宋体"/>
          <w:b/>
          <w:bCs/>
        </w:rPr>
      </w:pPr>
      <w:bookmarkStart w:id="49" w:name="_Toc16938527"/>
      <w:bookmarkStart w:id="50" w:name="_Toc462564070"/>
      <w:bookmarkStart w:id="51" w:name="_Toc20823283"/>
      <w:bookmarkStart w:id="52" w:name="_Toc513029211"/>
      <w:r>
        <w:rPr>
          <w:rFonts w:hint="eastAsia" w:ascii="宋体" w:hAnsi="宋体" w:cs="宋体"/>
          <w:b/>
          <w:bCs/>
        </w:rPr>
        <w:t>7.招标文件的澄清</w:t>
      </w:r>
      <w:bookmarkEnd w:id="49"/>
      <w:bookmarkEnd w:id="50"/>
      <w:bookmarkEnd w:id="51"/>
      <w:bookmarkEnd w:id="52"/>
    </w:p>
    <w:p>
      <w:pPr>
        <w:pStyle w:val="28"/>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28"/>
        <w:rPr>
          <w:rFonts w:ascii="宋体" w:hAnsi="宋体" w:cs="宋体"/>
          <w:b/>
          <w:bCs/>
        </w:rPr>
      </w:pPr>
      <w:bookmarkStart w:id="53" w:name="_Toc20823284"/>
      <w:bookmarkStart w:id="54" w:name="_Toc462564071"/>
      <w:bookmarkStart w:id="55" w:name="_Toc513029212"/>
      <w:bookmarkStart w:id="56" w:name="_Toc16938528"/>
      <w:r>
        <w:rPr>
          <w:rFonts w:hint="eastAsia" w:ascii="宋体" w:hAnsi="宋体" w:cs="宋体"/>
          <w:b/>
          <w:bCs/>
        </w:rPr>
        <w:t>8.招标文件的修改</w:t>
      </w:r>
      <w:bookmarkEnd w:id="53"/>
      <w:bookmarkEnd w:id="54"/>
      <w:bookmarkEnd w:id="55"/>
      <w:bookmarkEnd w:id="56"/>
    </w:p>
    <w:p>
      <w:pPr>
        <w:pStyle w:val="28"/>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28"/>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28"/>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28"/>
        <w:rPr>
          <w:rFonts w:ascii="宋体" w:hAnsi="宋体" w:cs="宋体"/>
          <w:b/>
        </w:rPr>
      </w:pPr>
      <w:bookmarkStart w:id="57" w:name="_Toc20823285"/>
      <w:bookmarkStart w:id="58" w:name="_Toc462564072"/>
      <w:bookmarkStart w:id="59" w:name="_Toc120614216"/>
      <w:bookmarkStart w:id="60" w:name="_Toc517190884"/>
      <w:bookmarkStart w:id="61" w:name="_Toc513029213"/>
      <w:bookmarkStart w:id="62" w:name="_Toc16938529"/>
      <w:r>
        <w:rPr>
          <w:rFonts w:hint="eastAsia" w:ascii="宋体" w:hAnsi="宋体" w:cs="宋体"/>
          <w:b/>
        </w:rPr>
        <w:t>三、投标文件的编制</w:t>
      </w:r>
      <w:bookmarkEnd w:id="57"/>
      <w:bookmarkEnd w:id="58"/>
      <w:bookmarkEnd w:id="59"/>
      <w:bookmarkEnd w:id="60"/>
      <w:bookmarkEnd w:id="61"/>
      <w:bookmarkEnd w:id="62"/>
    </w:p>
    <w:p>
      <w:pPr>
        <w:pStyle w:val="28"/>
        <w:rPr>
          <w:rFonts w:ascii="宋体" w:hAnsi="宋体" w:cs="宋体"/>
          <w:bCs/>
        </w:rPr>
      </w:pPr>
      <w:bookmarkStart w:id="63" w:name="_Toc513029214"/>
      <w:bookmarkStart w:id="64" w:name="_Toc16938530"/>
      <w:bookmarkStart w:id="65" w:name="_Toc462564073"/>
      <w:bookmarkStart w:id="66" w:name="_Toc20823286"/>
      <w:r>
        <w:rPr>
          <w:rFonts w:hint="eastAsia" w:ascii="宋体" w:hAnsi="宋体" w:cs="宋体"/>
          <w:b/>
          <w:bCs/>
        </w:rPr>
        <w:t>9.投标文件的语言及度量衡单位</w:t>
      </w:r>
      <w:bookmarkEnd w:id="63"/>
      <w:bookmarkEnd w:id="64"/>
      <w:bookmarkEnd w:id="65"/>
      <w:bookmarkEnd w:id="66"/>
    </w:p>
    <w:p>
      <w:pPr>
        <w:pStyle w:val="28"/>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28"/>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28"/>
        <w:rPr>
          <w:rFonts w:ascii="宋体" w:hAnsi="宋体" w:cs="宋体"/>
          <w:b/>
          <w:bCs/>
        </w:rPr>
      </w:pPr>
      <w:bookmarkStart w:id="67" w:name="_Toc20823287"/>
      <w:bookmarkStart w:id="68" w:name="_Toc462564074"/>
      <w:bookmarkStart w:id="69" w:name="_Toc513029215"/>
      <w:bookmarkStart w:id="70" w:name="_Toc16938531"/>
      <w:r>
        <w:rPr>
          <w:rFonts w:hint="eastAsia" w:ascii="宋体" w:hAnsi="宋体" w:cs="宋体"/>
          <w:b/>
          <w:bCs/>
        </w:rPr>
        <w:t>10.投标文件构成</w:t>
      </w:r>
      <w:bookmarkEnd w:id="67"/>
      <w:bookmarkEnd w:id="68"/>
      <w:bookmarkEnd w:id="69"/>
      <w:bookmarkEnd w:id="70"/>
    </w:p>
    <w:p>
      <w:pPr>
        <w:pStyle w:val="28"/>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28"/>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28"/>
        <w:rPr>
          <w:rFonts w:ascii="宋体" w:hAnsi="宋体" w:cs="宋体"/>
          <w:b/>
          <w:bCs/>
        </w:rPr>
      </w:pPr>
      <w:bookmarkStart w:id="71" w:name="_Hlt26668975"/>
      <w:bookmarkEnd w:id="71"/>
      <w:bookmarkStart w:id="72" w:name="_Hlt26954838"/>
      <w:bookmarkEnd w:id="72"/>
      <w:bookmarkStart w:id="73" w:name="_Hlt26670360"/>
      <w:bookmarkEnd w:id="73"/>
      <w:bookmarkStart w:id="74" w:name="_Toc49090509"/>
      <w:bookmarkStart w:id="75" w:name="_Toc14577357"/>
      <w:bookmarkStart w:id="76" w:name="_Toc513029219"/>
      <w:bookmarkStart w:id="77" w:name="_Toc14577354"/>
      <w:bookmarkStart w:id="78" w:name="_Toc49090507"/>
      <w:bookmarkStart w:id="79" w:name="_Toc513029216"/>
      <w:r>
        <w:rPr>
          <w:rFonts w:hint="eastAsia" w:ascii="宋体" w:hAnsi="宋体" w:cs="宋体"/>
          <w:b/>
          <w:bCs/>
        </w:rPr>
        <w:t>11.证明投标人资格及符合招标文件规定的文件</w:t>
      </w:r>
      <w:bookmarkEnd w:id="74"/>
      <w:bookmarkEnd w:id="75"/>
      <w:bookmarkEnd w:id="76"/>
    </w:p>
    <w:p>
      <w:pPr>
        <w:pStyle w:val="28"/>
        <w:rPr>
          <w:rFonts w:ascii="宋体" w:hAnsi="宋体" w:cs="宋体"/>
        </w:rPr>
      </w:pPr>
      <w:r>
        <w:rPr>
          <w:rFonts w:hint="eastAsia" w:ascii="宋体" w:hAnsi="宋体" w:cs="宋体"/>
        </w:rPr>
        <w:t>11.1</w:t>
      </w:r>
      <w:bookmarkStart w:id="80" w:name="_Hlt26668999"/>
      <w:bookmarkEnd w:id="80"/>
      <w:r>
        <w:rPr>
          <w:rFonts w:hint="eastAsia" w:ascii="宋体" w:hAnsi="宋体" w:cs="宋体"/>
        </w:rPr>
        <w:t>投标人应按要求提交资格证明文件及符合招标文件规定的文件。</w:t>
      </w:r>
    </w:p>
    <w:p>
      <w:pPr>
        <w:pStyle w:val="28"/>
        <w:rPr>
          <w:rFonts w:ascii="宋体" w:hAnsi="宋体" w:cs="宋体"/>
        </w:rPr>
      </w:pPr>
      <w:r>
        <w:rPr>
          <w:rFonts w:hint="eastAsia" w:ascii="宋体" w:hAnsi="宋体" w:cs="宋体"/>
        </w:rPr>
        <w:t>11.2投标人应具有资格参加投标和中标后有能力独立履行合同的能力。</w:t>
      </w:r>
    </w:p>
    <w:p>
      <w:pPr>
        <w:pStyle w:val="28"/>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28"/>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28"/>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7"/>
    <w:bookmarkEnd w:id="78"/>
    <w:bookmarkEnd w:id="79"/>
    <w:p>
      <w:pPr>
        <w:pStyle w:val="28"/>
        <w:rPr>
          <w:rFonts w:ascii="宋体" w:hAnsi="宋体" w:cs="宋体"/>
          <w:b/>
          <w:bCs/>
        </w:rPr>
      </w:pPr>
      <w:bookmarkStart w:id="81" w:name="_Toc14577355"/>
      <w:bookmarkStart w:id="82" w:name="_Toc49090508"/>
      <w:r>
        <w:rPr>
          <w:rFonts w:hint="eastAsia" w:ascii="宋体" w:hAnsi="宋体" w:cs="宋体"/>
          <w:b/>
          <w:bCs/>
        </w:rPr>
        <w:t>12.供货一览表与分项报价</w:t>
      </w:r>
      <w:bookmarkEnd w:id="81"/>
      <w:bookmarkStart w:id="83" w:name="_Hlt26670373"/>
      <w:bookmarkEnd w:id="83"/>
      <w:r>
        <w:rPr>
          <w:rFonts w:hint="eastAsia" w:ascii="宋体" w:hAnsi="宋体" w:cs="宋体"/>
          <w:b/>
          <w:bCs/>
        </w:rPr>
        <w:t>表</w:t>
      </w:r>
      <w:bookmarkEnd w:id="82"/>
    </w:p>
    <w:p>
      <w:pPr>
        <w:pStyle w:val="28"/>
        <w:rPr>
          <w:rFonts w:ascii="宋体" w:hAnsi="宋体" w:cs="宋体"/>
          <w:bCs/>
        </w:rPr>
      </w:pPr>
      <w:r>
        <w:rPr>
          <w:rFonts w:hint="eastAsia" w:ascii="宋体" w:hAnsi="宋体" w:cs="宋体"/>
        </w:rPr>
        <w:t>投</w:t>
      </w:r>
      <w:bookmarkStart w:id="84" w:name="_Hlt26954840"/>
      <w:bookmarkEnd w:id="84"/>
      <w:r>
        <w:rPr>
          <w:rFonts w:hint="eastAsia" w:ascii="宋体" w:hAnsi="宋体" w:cs="宋体"/>
        </w:rPr>
        <w:t>标人应按照招标文件规定格式填报供货一览表与分项报价表</w:t>
      </w:r>
      <w:bookmarkStart w:id="85" w:name="_Hlt26670399"/>
      <w:bookmarkEnd w:id="85"/>
      <w:r>
        <w:rPr>
          <w:rFonts w:hint="eastAsia" w:ascii="宋体" w:hAnsi="宋体" w:cs="宋体"/>
        </w:rPr>
        <w:t>。每项货物和服务等只允许有一个报价，任何有选择的报价将不予接受(如有备选配件，备选配件的报价不属于选择的报价)。</w:t>
      </w:r>
    </w:p>
    <w:p>
      <w:pPr>
        <w:pStyle w:val="28"/>
        <w:rPr>
          <w:rFonts w:ascii="宋体" w:hAnsi="宋体" w:cs="宋体"/>
          <w:bCs/>
        </w:rPr>
      </w:pPr>
      <w:r>
        <w:rPr>
          <w:rFonts w:hint="eastAsia" w:ascii="宋体" w:hAnsi="宋体" w:cs="宋体"/>
        </w:rPr>
        <w:t>12.3</w:t>
      </w:r>
      <w:r>
        <w:rPr>
          <w:rFonts w:hint="eastAsia" w:ascii="宋体" w:hAnsi="宋体" w:cs="宋体"/>
          <w:bCs/>
        </w:rPr>
        <w:t>有关费用处理</w:t>
      </w:r>
    </w:p>
    <w:p>
      <w:pPr>
        <w:pStyle w:val="28"/>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28"/>
        <w:rPr>
          <w:rFonts w:ascii="宋体" w:hAnsi="宋体" w:cs="宋体"/>
          <w:bCs/>
        </w:rPr>
      </w:pPr>
      <w:r>
        <w:rPr>
          <w:rFonts w:hint="eastAsia" w:ascii="宋体" w:hAnsi="宋体" w:cs="宋体"/>
        </w:rPr>
        <w:t>12.4</w:t>
      </w:r>
      <w:r>
        <w:rPr>
          <w:rFonts w:hint="eastAsia" w:ascii="宋体" w:hAnsi="宋体" w:cs="宋体"/>
          <w:bCs/>
        </w:rPr>
        <w:t>其它费用处理</w:t>
      </w:r>
    </w:p>
    <w:p>
      <w:pPr>
        <w:pStyle w:val="28"/>
        <w:rPr>
          <w:rFonts w:ascii="宋体" w:hAnsi="宋体" w:cs="宋体"/>
          <w:bCs/>
        </w:rPr>
      </w:pPr>
      <w:r>
        <w:rPr>
          <w:rFonts w:hint="eastAsia" w:ascii="宋体" w:hAnsi="宋体" w:cs="宋体"/>
          <w:bCs/>
        </w:rPr>
        <w:t>招标文件未列明，而投标人认为必需的费用也需列入报价。</w:t>
      </w:r>
    </w:p>
    <w:p>
      <w:pPr>
        <w:pStyle w:val="28"/>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28"/>
        <w:rPr>
          <w:rFonts w:ascii="宋体" w:hAnsi="宋体" w:cs="宋体"/>
          <w:bCs/>
        </w:rPr>
      </w:pPr>
      <w:bookmarkStart w:id="86" w:name="_Hlt26670425"/>
      <w:bookmarkEnd w:id="86"/>
      <w:bookmarkStart w:id="87" w:name="_Hlt26954844"/>
      <w:bookmarkEnd w:id="87"/>
      <w:bookmarkStart w:id="88" w:name="_Hlt26954842"/>
      <w:bookmarkEnd w:id="88"/>
      <w:bookmarkStart w:id="89" w:name="_Hlt26668983"/>
      <w:bookmarkEnd w:id="89"/>
      <w:bookmarkStart w:id="90" w:name="_Hlt26670403"/>
      <w:bookmarkEnd w:id="90"/>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28"/>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28"/>
        <w:rPr>
          <w:rFonts w:ascii="宋体" w:hAnsi="宋体" w:cs="宋体"/>
          <w:b/>
          <w:bCs/>
        </w:rPr>
      </w:pPr>
      <w:bookmarkStart w:id="91" w:name="_Hlt26670482"/>
      <w:bookmarkEnd w:id="91"/>
      <w:bookmarkStart w:id="92" w:name="_Hlt26670486"/>
      <w:bookmarkEnd w:id="92"/>
      <w:bookmarkStart w:id="93" w:name="_Hlt26954848"/>
      <w:bookmarkEnd w:id="93"/>
      <w:bookmarkStart w:id="94" w:name="_Hlt26954731"/>
      <w:bookmarkEnd w:id="94"/>
      <w:bookmarkStart w:id="95" w:name="_Hlt26954846"/>
      <w:bookmarkEnd w:id="95"/>
      <w:r>
        <w:rPr>
          <w:rFonts w:hint="eastAsia" w:ascii="宋体" w:hAnsi="宋体" w:cs="宋体"/>
          <w:b/>
          <w:bCs/>
        </w:rPr>
        <w:t>13.技术参数响应及偏离表和投标货物说明</w:t>
      </w:r>
    </w:p>
    <w:p>
      <w:pPr>
        <w:pStyle w:val="28"/>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28"/>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28"/>
        <w:rPr>
          <w:rFonts w:ascii="宋体" w:hAnsi="宋体" w:cs="宋体"/>
          <w:lang w:val="zh-CN"/>
        </w:rPr>
      </w:pPr>
      <w:r>
        <w:rPr>
          <w:rFonts w:hint="eastAsia" w:ascii="宋体" w:hAnsi="宋体" w:cs="宋体"/>
          <w:lang w:val="zh-CN"/>
        </w:rPr>
        <w:t>13.3 投标人认为需要的其他技术文件或说明。</w:t>
      </w:r>
    </w:p>
    <w:p>
      <w:pPr>
        <w:pStyle w:val="28"/>
        <w:rPr>
          <w:rFonts w:ascii="宋体" w:hAnsi="宋体" w:cs="宋体"/>
          <w:b/>
          <w:bCs/>
        </w:rPr>
      </w:pPr>
      <w:r>
        <w:rPr>
          <w:rFonts w:hint="eastAsia" w:ascii="宋体" w:hAnsi="宋体" w:cs="宋体"/>
          <w:b/>
          <w:bCs/>
        </w:rPr>
        <w:t>14.服务承诺及售后服务机构、人员的情况介绍</w:t>
      </w:r>
    </w:p>
    <w:p>
      <w:pPr>
        <w:pStyle w:val="28"/>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28"/>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28"/>
        <w:rPr>
          <w:rFonts w:ascii="宋体" w:hAnsi="宋体" w:cs="宋体"/>
          <w:lang w:val="zh-CN"/>
        </w:rPr>
      </w:pPr>
      <w:r>
        <w:rPr>
          <w:rFonts w:hint="eastAsia" w:ascii="宋体" w:hAnsi="宋体" w:cs="宋体"/>
          <w:lang w:val="zh-CN"/>
        </w:rPr>
        <w:t>14.3 培训计划；</w:t>
      </w:r>
    </w:p>
    <w:p>
      <w:pPr>
        <w:pStyle w:val="28"/>
        <w:rPr>
          <w:rFonts w:ascii="宋体" w:hAnsi="宋体" w:cs="宋体"/>
          <w:lang w:val="zh-CN"/>
        </w:rPr>
      </w:pPr>
      <w:r>
        <w:rPr>
          <w:rFonts w:hint="eastAsia" w:ascii="宋体" w:hAnsi="宋体" w:cs="宋体"/>
          <w:lang w:val="zh-CN"/>
        </w:rPr>
        <w:t>14.4 提供参加本项目类似案例简介；</w:t>
      </w:r>
    </w:p>
    <w:p>
      <w:pPr>
        <w:pStyle w:val="28"/>
        <w:rPr>
          <w:rFonts w:ascii="宋体" w:hAnsi="宋体" w:cs="宋体"/>
          <w:b/>
          <w:bCs/>
        </w:rPr>
      </w:pPr>
      <w:bookmarkStart w:id="96" w:name="_Toc14577359"/>
      <w:bookmarkStart w:id="97" w:name="_Toc49090510"/>
      <w:r>
        <w:rPr>
          <w:rFonts w:hint="eastAsia" w:ascii="宋体" w:hAnsi="宋体" w:cs="宋体"/>
          <w:b/>
          <w:bCs/>
        </w:rPr>
        <w:t>15.投标函和开标一览表</w:t>
      </w:r>
    </w:p>
    <w:p>
      <w:pPr>
        <w:pStyle w:val="28"/>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28"/>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28"/>
        <w:rPr>
          <w:rFonts w:ascii="宋体" w:hAnsi="宋体" w:cs="宋体"/>
          <w:color w:val="FF0000"/>
          <w:u w:val="single"/>
        </w:rPr>
      </w:pPr>
      <w:r>
        <w:rPr>
          <w:rFonts w:hint="eastAsia" w:ascii="宋体" w:hAnsi="宋体" w:cs="宋体"/>
          <w:bCs/>
          <w:color w:val="FF0000"/>
        </w:rPr>
        <w:t>15.3</w:t>
      </w:r>
      <w:r>
        <w:rPr>
          <w:rFonts w:hint="eastAsia" w:ascii="宋体" w:hAnsi="宋体" w:cs="宋体"/>
          <w:color w:val="FF0000"/>
        </w:rPr>
        <w:t xml:space="preserve"> </w:t>
      </w:r>
      <w:r>
        <w:rPr>
          <w:rFonts w:hint="eastAsia" w:ascii="宋体" w:hAnsi="宋体" w:cs="宋体"/>
          <w:color w:val="FF0000"/>
          <w:u w:val="single"/>
        </w:rPr>
        <w:t>开标一览表必须加</w:t>
      </w:r>
      <w:r>
        <w:rPr>
          <w:rFonts w:hint="eastAsia" w:ascii="宋体" w:hAnsi="宋体" w:cs="宋体"/>
          <w:bCs/>
          <w:color w:val="FF0000"/>
          <w:u w:val="single"/>
        </w:rPr>
        <w:t>盖投标人公章（复印件无效），必须</w:t>
      </w:r>
      <w:r>
        <w:rPr>
          <w:rFonts w:hint="eastAsia" w:ascii="宋体" w:hAnsi="宋体" w:cs="宋体"/>
          <w:color w:val="FF0000"/>
          <w:u w:val="single"/>
        </w:rPr>
        <w:t>单独密封在信封中，在投标截止时间前与投标文件分别递交，否则视为无效投标。</w:t>
      </w:r>
    </w:p>
    <w:p>
      <w:pPr>
        <w:pStyle w:val="28"/>
        <w:rPr>
          <w:rFonts w:ascii="宋体" w:hAnsi="宋体" w:cs="宋体"/>
          <w:b/>
          <w:bCs/>
        </w:rPr>
      </w:pPr>
      <w:r>
        <w:rPr>
          <w:rFonts w:hint="eastAsia" w:ascii="宋体" w:hAnsi="宋体" w:cs="宋体"/>
          <w:b/>
          <w:bCs/>
        </w:rPr>
        <w:t>16.投标保证金</w:t>
      </w:r>
      <w:bookmarkEnd w:id="96"/>
      <w:bookmarkEnd w:id="97"/>
    </w:p>
    <w:p>
      <w:pPr>
        <w:pStyle w:val="28"/>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28"/>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28"/>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28"/>
        <w:rPr>
          <w:rFonts w:ascii="宋体" w:hAnsi="宋体" w:cs="宋体"/>
          <w:bCs/>
        </w:rPr>
      </w:pPr>
      <w:r>
        <w:rPr>
          <w:rFonts w:hint="eastAsia" w:ascii="宋体" w:hAnsi="宋体" w:cs="宋体"/>
          <w:bCs/>
        </w:rPr>
        <w:t>（1）投标人在投标有效期内撤回其投标；</w:t>
      </w:r>
    </w:p>
    <w:p>
      <w:pPr>
        <w:pStyle w:val="28"/>
        <w:rPr>
          <w:rFonts w:ascii="宋体" w:hAnsi="宋体" w:cs="宋体"/>
          <w:bCs/>
        </w:rPr>
      </w:pPr>
      <w:r>
        <w:rPr>
          <w:rFonts w:hint="eastAsia" w:ascii="宋体" w:hAnsi="宋体" w:cs="宋体"/>
          <w:bCs/>
        </w:rPr>
        <w:t>（2）投标人提供的有关资料、资格证明文件被确认是不真实的；</w:t>
      </w:r>
    </w:p>
    <w:p>
      <w:pPr>
        <w:pStyle w:val="28"/>
        <w:rPr>
          <w:rFonts w:ascii="宋体" w:hAnsi="宋体" w:cs="宋体"/>
        </w:rPr>
      </w:pPr>
      <w:r>
        <w:rPr>
          <w:rFonts w:hint="eastAsia" w:ascii="宋体" w:hAnsi="宋体" w:cs="宋体"/>
        </w:rPr>
        <w:t>（3）投标人之间被证实有串通（统一哄抬价格）、欺诈行为；</w:t>
      </w:r>
    </w:p>
    <w:p>
      <w:pPr>
        <w:pStyle w:val="28"/>
        <w:rPr>
          <w:rFonts w:ascii="宋体" w:hAnsi="宋体" w:cs="宋体"/>
        </w:rPr>
      </w:pPr>
      <w:r>
        <w:rPr>
          <w:rFonts w:hint="eastAsia" w:ascii="宋体" w:hAnsi="宋体" w:cs="宋体"/>
        </w:rPr>
        <w:t>（4）投标人被证明有妨碍其他人公平竞争、损害采购人或者其他投标人合法权益的；</w:t>
      </w:r>
    </w:p>
    <w:p>
      <w:pPr>
        <w:pStyle w:val="28"/>
        <w:rPr>
          <w:rFonts w:ascii="宋体" w:hAnsi="宋体" w:cs="宋体"/>
          <w:b/>
          <w:bCs/>
        </w:rPr>
      </w:pPr>
      <w:bookmarkStart w:id="98" w:name="_Hlt26954739"/>
      <w:bookmarkEnd w:id="98"/>
      <w:bookmarkStart w:id="99" w:name="_Hlt26954852"/>
      <w:bookmarkEnd w:id="99"/>
      <w:bookmarkStart w:id="100" w:name="_Hlt26670489"/>
      <w:bookmarkEnd w:id="100"/>
      <w:bookmarkStart w:id="101" w:name="_Hlt26954850"/>
      <w:bookmarkEnd w:id="101"/>
      <w:bookmarkStart w:id="102" w:name="_Hlt26954734"/>
      <w:bookmarkEnd w:id="102"/>
      <w:bookmarkStart w:id="103" w:name="_Toc14577361"/>
      <w:bookmarkStart w:id="104" w:name="_Toc49090512"/>
      <w:r>
        <w:rPr>
          <w:rFonts w:hint="eastAsia" w:ascii="宋体" w:hAnsi="宋体" w:cs="宋体"/>
          <w:b/>
          <w:bCs/>
        </w:rPr>
        <w:t>17.投标文件份数和签署</w:t>
      </w:r>
      <w:bookmarkEnd w:id="103"/>
      <w:bookmarkEnd w:id="104"/>
    </w:p>
    <w:p>
      <w:pPr>
        <w:pStyle w:val="28"/>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28"/>
        <w:rPr>
          <w:rFonts w:ascii="宋体" w:hAnsi="宋体" w:cs="宋体"/>
        </w:rPr>
      </w:pPr>
      <w:r>
        <w:rPr>
          <w:rFonts w:hint="eastAsia" w:ascii="宋体" w:hAnsi="宋体" w:cs="宋体"/>
        </w:rPr>
        <w:t>17.2投标文件的正本须经法定代表人或授权代表签署和加盖投标人公章。</w:t>
      </w:r>
    </w:p>
    <w:p>
      <w:pPr>
        <w:pStyle w:val="28"/>
        <w:rPr>
          <w:rFonts w:ascii="宋体" w:hAnsi="宋体" w:cs="宋体"/>
          <w:b/>
        </w:rPr>
      </w:pPr>
      <w:bookmarkStart w:id="105" w:name="_Toc513029224"/>
      <w:bookmarkStart w:id="106" w:name="_Toc120614217"/>
      <w:bookmarkStart w:id="107" w:name="_Toc20823296"/>
      <w:bookmarkStart w:id="108" w:name="_Toc517190885"/>
      <w:bookmarkStart w:id="109" w:name="_Toc16938540"/>
      <w:r>
        <w:rPr>
          <w:rFonts w:hint="eastAsia" w:ascii="宋体" w:hAnsi="宋体" w:cs="宋体"/>
          <w:b/>
        </w:rPr>
        <w:t>四、投标文件的递交</w:t>
      </w:r>
      <w:bookmarkEnd w:id="105"/>
      <w:bookmarkEnd w:id="106"/>
      <w:bookmarkEnd w:id="107"/>
      <w:bookmarkEnd w:id="108"/>
      <w:bookmarkEnd w:id="109"/>
    </w:p>
    <w:p>
      <w:pPr>
        <w:pStyle w:val="28"/>
        <w:rPr>
          <w:rFonts w:ascii="宋体" w:hAnsi="宋体" w:cs="宋体"/>
          <w:b/>
          <w:bCs/>
        </w:rPr>
      </w:pPr>
      <w:bookmarkStart w:id="110" w:name="_Toc16938541"/>
      <w:bookmarkStart w:id="111" w:name="_Toc513029225"/>
      <w:bookmarkStart w:id="112" w:name="_Toc20823297"/>
      <w:bookmarkStart w:id="113" w:name="_Toc462564084"/>
      <w:r>
        <w:rPr>
          <w:rFonts w:hint="eastAsia" w:ascii="宋体" w:hAnsi="宋体" w:cs="宋体"/>
          <w:b/>
          <w:bCs/>
        </w:rPr>
        <w:t>18.投标文件的密封和标记</w:t>
      </w:r>
      <w:bookmarkEnd w:id="110"/>
      <w:bookmarkEnd w:id="111"/>
      <w:bookmarkEnd w:id="112"/>
      <w:bookmarkEnd w:id="113"/>
    </w:p>
    <w:p>
      <w:pPr>
        <w:pStyle w:val="28"/>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28"/>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28"/>
        <w:rPr>
          <w:rFonts w:ascii="宋体" w:hAnsi="宋体" w:cs="宋体"/>
          <w:bCs/>
        </w:rPr>
      </w:pPr>
      <w:r>
        <w:rPr>
          <w:rFonts w:hint="eastAsia" w:ascii="宋体" w:hAnsi="宋体" w:cs="宋体"/>
          <w:bCs/>
        </w:rPr>
        <w:t>（1）注明投标人名称，如因标注不清而产生的后果由投标人自负。</w:t>
      </w:r>
    </w:p>
    <w:p>
      <w:pPr>
        <w:pStyle w:val="28"/>
        <w:rPr>
          <w:rFonts w:ascii="宋体" w:hAnsi="宋体" w:cs="宋体"/>
          <w:bCs/>
        </w:rPr>
      </w:pPr>
      <w:r>
        <w:rPr>
          <w:rFonts w:hint="eastAsia" w:ascii="宋体" w:hAnsi="宋体" w:cs="宋体"/>
          <w:bCs/>
        </w:rPr>
        <w:t>（2）注明投标项目名称、标书编号及包号。</w:t>
      </w:r>
    </w:p>
    <w:p>
      <w:pPr>
        <w:pStyle w:val="28"/>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28"/>
        <w:rPr>
          <w:rFonts w:ascii="宋体" w:hAnsi="宋体" w:cs="宋体"/>
          <w:b/>
          <w:bCs/>
        </w:rPr>
      </w:pPr>
      <w:bookmarkStart w:id="114" w:name="_Toc20823298"/>
      <w:bookmarkStart w:id="115" w:name="_Toc16938542"/>
      <w:bookmarkStart w:id="116" w:name="_Toc513029226"/>
      <w:r>
        <w:rPr>
          <w:rFonts w:hint="eastAsia" w:ascii="宋体" w:hAnsi="宋体" w:cs="宋体"/>
          <w:b/>
          <w:bCs/>
        </w:rPr>
        <w:t>19.投标截止</w:t>
      </w:r>
      <w:bookmarkEnd w:id="114"/>
      <w:bookmarkEnd w:id="115"/>
      <w:bookmarkEnd w:id="116"/>
      <w:r>
        <w:rPr>
          <w:rFonts w:hint="eastAsia" w:ascii="宋体" w:hAnsi="宋体" w:cs="宋体"/>
          <w:b/>
          <w:bCs/>
        </w:rPr>
        <w:t>时间</w:t>
      </w:r>
    </w:p>
    <w:p>
      <w:pPr>
        <w:pStyle w:val="28"/>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28"/>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28"/>
        <w:rPr>
          <w:rFonts w:ascii="宋体" w:hAnsi="宋体" w:cs="宋体"/>
          <w:b/>
          <w:bCs/>
        </w:rPr>
      </w:pPr>
      <w:bookmarkStart w:id="117" w:name="_Toc513029227"/>
      <w:bookmarkStart w:id="118" w:name="_Toc20823299"/>
      <w:bookmarkStart w:id="119" w:name="_Toc16938543"/>
      <w:r>
        <w:rPr>
          <w:rFonts w:hint="eastAsia" w:ascii="宋体" w:hAnsi="宋体" w:cs="宋体"/>
          <w:b/>
          <w:bCs/>
        </w:rPr>
        <w:t>20.投标文件</w:t>
      </w:r>
      <w:bookmarkEnd w:id="117"/>
      <w:bookmarkEnd w:id="118"/>
      <w:bookmarkEnd w:id="119"/>
      <w:r>
        <w:rPr>
          <w:rFonts w:hint="eastAsia" w:ascii="宋体" w:hAnsi="宋体" w:cs="宋体"/>
          <w:b/>
          <w:bCs/>
        </w:rPr>
        <w:t>的递交</w:t>
      </w:r>
    </w:p>
    <w:p>
      <w:pPr>
        <w:pStyle w:val="28"/>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28"/>
        <w:rPr>
          <w:rFonts w:ascii="宋体" w:hAnsi="宋体" w:cs="宋体"/>
          <w:bCs/>
        </w:rPr>
      </w:pPr>
      <w:r>
        <w:rPr>
          <w:rFonts w:hint="eastAsia" w:ascii="宋体" w:hAnsi="宋体" w:cs="宋体"/>
          <w:bCs/>
        </w:rPr>
        <w:t>20.2未按照招标文件要求的格式编制的投标文件，后果由投标人承担。</w:t>
      </w:r>
    </w:p>
    <w:p>
      <w:pPr>
        <w:pStyle w:val="28"/>
        <w:rPr>
          <w:rFonts w:ascii="宋体" w:hAnsi="宋体" w:cs="宋体"/>
          <w:b/>
          <w:bCs/>
        </w:rPr>
      </w:pPr>
      <w:bookmarkStart w:id="120" w:name="_Toc16938544"/>
      <w:bookmarkStart w:id="121" w:name="_Toc20823300"/>
      <w:bookmarkStart w:id="122" w:name="_Toc513029228"/>
      <w:r>
        <w:rPr>
          <w:rFonts w:hint="eastAsia" w:ascii="宋体" w:hAnsi="宋体" w:cs="宋体"/>
          <w:b/>
          <w:bCs/>
        </w:rPr>
        <w:t>21.投标文件的修改和撤回</w:t>
      </w:r>
      <w:bookmarkEnd w:id="120"/>
      <w:bookmarkEnd w:id="121"/>
      <w:bookmarkEnd w:id="122"/>
    </w:p>
    <w:p>
      <w:pPr>
        <w:pStyle w:val="28"/>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28"/>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28"/>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28"/>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28"/>
        <w:rPr>
          <w:rFonts w:ascii="宋体" w:hAnsi="宋体" w:cs="宋体"/>
          <w:b/>
        </w:rPr>
      </w:pPr>
      <w:bookmarkStart w:id="123" w:name="_Toc20823301"/>
      <w:bookmarkStart w:id="124" w:name="_Toc16938545"/>
      <w:bookmarkStart w:id="125" w:name="_Toc513029229"/>
      <w:bookmarkStart w:id="126" w:name="_Toc120614218"/>
      <w:bookmarkStart w:id="127" w:name="_Toc517190886"/>
      <w:r>
        <w:rPr>
          <w:rFonts w:hint="eastAsia" w:ascii="宋体" w:hAnsi="宋体" w:cs="宋体"/>
          <w:b/>
        </w:rPr>
        <w:t>五、开标与评标</w:t>
      </w:r>
      <w:bookmarkEnd w:id="123"/>
      <w:bookmarkEnd w:id="124"/>
      <w:bookmarkEnd w:id="125"/>
      <w:bookmarkEnd w:id="126"/>
      <w:bookmarkEnd w:id="127"/>
    </w:p>
    <w:p>
      <w:pPr>
        <w:pStyle w:val="28"/>
        <w:rPr>
          <w:rFonts w:ascii="宋体" w:hAnsi="宋体" w:cs="宋体"/>
          <w:b/>
          <w:bCs/>
        </w:rPr>
      </w:pPr>
      <w:bookmarkStart w:id="128" w:name="_Toc513029230"/>
      <w:bookmarkStart w:id="129" w:name="_Toc20823302"/>
      <w:bookmarkStart w:id="130" w:name="_Toc16938546"/>
      <w:r>
        <w:rPr>
          <w:rFonts w:hint="eastAsia" w:ascii="宋体" w:hAnsi="宋体" w:cs="宋体"/>
          <w:b/>
          <w:bCs/>
        </w:rPr>
        <w:t>22.开标</w:t>
      </w:r>
      <w:bookmarkEnd w:id="128"/>
      <w:bookmarkEnd w:id="129"/>
      <w:bookmarkEnd w:id="130"/>
    </w:p>
    <w:p>
      <w:pPr>
        <w:pStyle w:val="28"/>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28"/>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28"/>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28"/>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28"/>
        <w:rPr>
          <w:rFonts w:ascii="宋体" w:hAnsi="宋体" w:cs="宋体"/>
        </w:rPr>
      </w:pPr>
      <w:r>
        <w:rPr>
          <w:rFonts w:hint="eastAsia" w:ascii="宋体" w:hAnsi="宋体" w:cs="宋体"/>
        </w:rPr>
        <w:t>22.5 投标人在报价时不允许采用选择性报价，否则将被视为无效投标。</w:t>
      </w:r>
    </w:p>
    <w:p>
      <w:pPr>
        <w:pStyle w:val="28"/>
        <w:rPr>
          <w:rFonts w:ascii="宋体" w:hAnsi="宋体" w:cs="宋体"/>
          <w:bCs/>
        </w:rPr>
      </w:pPr>
      <w:r>
        <w:rPr>
          <w:rFonts w:hint="eastAsia" w:ascii="宋体" w:hAnsi="宋体" w:cs="宋体"/>
          <w:bCs/>
        </w:rPr>
        <w:t>22.6 投标截止时间结束后参加投标的供应商不足三家的，不得开标。</w:t>
      </w:r>
    </w:p>
    <w:p>
      <w:pPr>
        <w:pStyle w:val="28"/>
        <w:rPr>
          <w:rFonts w:ascii="宋体" w:hAnsi="宋体" w:cs="宋体"/>
          <w:b/>
          <w:bCs/>
        </w:rPr>
      </w:pPr>
      <w:bookmarkStart w:id="131" w:name="_Toc513029231"/>
      <w:bookmarkStart w:id="132" w:name="_Toc20823303"/>
      <w:bookmarkStart w:id="133" w:name="_Toc16938547"/>
      <w:r>
        <w:rPr>
          <w:rFonts w:hint="eastAsia" w:ascii="宋体" w:hAnsi="宋体" w:cs="宋体"/>
          <w:b/>
          <w:bCs/>
        </w:rPr>
        <w:t>23.评标</w:t>
      </w:r>
    </w:p>
    <w:p>
      <w:pPr>
        <w:pStyle w:val="28"/>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28"/>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28"/>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1"/>
    <w:bookmarkEnd w:id="132"/>
    <w:bookmarkEnd w:id="133"/>
    <w:p>
      <w:pPr>
        <w:pStyle w:val="28"/>
        <w:rPr>
          <w:rFonts w:ascii="宋体" w:hAnsi="宋体" w:cs="宋体"/>
          <w:b/>
          <w:bCs/>
        </w:rPr>
      </w:pPr>
      <w:bookmarkStart w:id="134" w:name="_Toc16938548"/>
      <w:bookmarkStart w:id="135" w:name="_Toc513029232"/>
      <w:bookmarkStart w:id="136" w:name="_Toc20823304"/>
      <w:r>
        <w:rPr>
          <w:rFonts w:hint="eastAsia" w:ascii="宋体" w:hAnsi="宋体" w:cs="宋体"/>
          <w:b/>
          <w:bCs/>
        </w:rPr>
        <w:t>24.投标的澄清</w:t>
      </w:r>
      <w:bookmarkEnd w:id="134"/>
      <w:bookmarkEnd w:id="135"/>
      <w:bookmarkEnd w:id="136"/>
    </w:p>
    <w:p>
      <w:pPr>
        <w:pStyle w:val="28"/>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28"/>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8"/>
        <w:rPr>
          <w:rFonts w:ascii="宋体" w:hAnsi="宋体" w:cs="宋体"/>
        </w:rPr>
      </w:pPr>
      <w:r>
        <w:rPr>
          <w:rFonts w:hint="eastAsia" w:ascii="宋体" w:hAnsi="宋体" w:cs="宋体"/>
        </w:rPr>
        <w:t>24.3 接到评委会澄清要求的投标人如未按规定做出澄清，后果由投标人自行承担。</w:t>
      </w:r>
    </w:p>
    <w:p>
      <w:pPr>
        <w:pStyle w:val="28"/>
        <w:rPr>
          <w:rFonts w:ascii="宋体" w:hAnsi="宋体" w:cs="宋体"/>
          <w:b/>
          <w:bCs/>
        </w:rPr>
      </w:pPr>
      <w:bookmarkStart w:id="137" w:name="_Toc513029234"/>
      <w:bookmarkStart w:id="138" w:name="_Toc16938550"/>
      <w:bookmarkStart w:id="139" w:name="_Toc20823306"/>
      <w:r>
        <w:rPr>
          <w:rFonts w:hint="eastAsia" w:ascii="宋体" w:hAnsi="宋体" w:cs="宋体"/>
          <w:b/>
          <w:bCs/>
        </w:rPr>
        <w:t>25</w:t>
      </w:r>
      <w:bookmarkEnd w:id="137"/>
      <w:bookmarkEnd w:id="138"/>
      <w:bookmarkEnd w:id="139"/>
      <w:r>
        <w:rPr>
          <w:rFonts w:hint="eastAsia" w:ascii="宋体" w:hAnsi="宋体" w:cs="宋体"/>
          <w:b/>
          <w:bCs/>
        </w:rPr>
        <w:t>.无效投标条款和废标条款</w:t>
      </w:r>
    </w:p>
    <w:p>
      <w:pPr>
        <w:pStyle w:val="28"/>
        <w:rPr>
          <w:rFonts w:ascii="宋体" w:hAnsi="宋体" w:cs="宋体"/>
          <w:bCs/>
        </w:rPr>
      </w:pPr>
      <w:bookmarkStart w:id="140" w:name="_Toc513029235"/>
      <w:bookmarkStart w:id="141" w:name="_Toc16938551"/>
      <w:bookmarkStart w:id="142" w:name="_Toc20823307"/>
      <w:r>
        <w:rPr>
          <w:rFonts w:hint="eastAsia" w:ascii="宋体" w:hAnsi="宋体" w:cs="宋体"/>
          <w:bCs/>
        </w:rPr>
        <w:t>25.1无效投标条款</w:t>
      </w:r>
    </w:p>
    <w:p>
      <w:pPr>
        <w:pStyle w:val="28"/>
        <w:rPr>
          <w:rFonts w:ascii="宋体" w:hAnsi="宋体" w:cs="宋体"/>
          <w:bCs/>
        </w:rPr>
      </w:pPr>
      <w:r>
        <w:rPr>
          <w:rFonts w:hint="eastAsia" w:ascii="宋体" w:hAnsi="宋体" w:cs="宋体"/>
          <w:bCs/>
        </w:rPr>
        <w:t>（1）未按要求交纳投标保证金的。</w:t>
      </w:r>
    </w:p>
    <w:p>
      <w:pPr>
        <w:pStyle w:val="28"/>
        <w:rPr>
          <w:rFonts w:ascii="宋体" w:hAnsi="宋体" w:cs="宋体"/>
          <w:bCs/>
        </w:rPr>
      </w:pPr>
      <w:r>
        <w:rPr>
          <w:rFonts w:hint="eastAsia" w:ascii="宋体" w:hAnsi="宋体" w:cs="宋体"/>
          <w:bCs/>
        </w:rPr>
        <w:t>（2）未按照招标文件规定要求密封、签署、盖章的。</w:t>
      </w:r>
    </w:p>
    <w:p>
      <w:pPr>
        <w:pStyle w:val="28"/>
        <w:rPr>
          <w:rFonts w:ascii="宋体" w:hAnsi="宋体" w:cs="宋体"/>
          <w:bCs/>
        </w:rPr>
      </w:pPr>
      <w:r>
        <w:rPr>
          <w:rFonts w:hint="eastAsia" w:ascii="宋体" w:hAnsi="宋体" w:cs="宋体"/>
          <w:bCs/>
        </w:rPr>
        <w:t>（3）投标人在报价时采用选择性报价的。</w:t>
      </w:r>
    </w:p>
    <w:p>
      <w:pPr>
        <w:pStyle w:val="28"/>
        <w:rPr>
          <w:rFonts w:ascii="宋体" w:hAnsi="宋体" w:cs="宋体"/>
          <w:bCs/>
        </w:rPr>
      </w:pPr>
      <w:r>
        <w:rPr>
          <w:rFonts w:hint="eastAsia" w:ascii="宋体" w:hAnsi="宋体" w:cs="宋体"/>
          <w:bCs/>
        </w:rPr>
        <w:t>（4）投标人不具备招标文件中规定资格要求的。</w:t>
      </w:r>
    </w:p>
    <w:p>
      <w:pPr>
        <w:pStyle w:val="28"/>
        <w:rPr>
          <w:rFonts w:ascii="宋体" w:hAnsi="宋体" w:cs="宋体"/>
          <w:bCs/>
        </w:rPr>
      </w:pPr>
      <w:r>
        <w:rPr>
          <w:rFonts w:hint="eastAsia" w:ascii="宋体" w:hAnsi="宋体" w:cs="宋体"/>
          <w:bCs/>
        </w:rPr>
        <w:t>（5）投标人的报价超过了采购预算或最高限价的。</w:t>
      </w:r>
    </w:p>
    <w:p>
      <w:pPr>
        <w:pStyle w:val="28"/>
        <w:rPr>
          <w:rFonts w:ascii="宋体" w:hAnsi="宋体" w:cs="宋体"/>
          <w:bCs/>
          <w:i/>
          <w:u w:val="single"/>
        </w:rPr>
      </w:pPr>
      <w:r>
        <w:rPr>
          <w:rFonts w:hint="eastAsia" w:ascii="宋体" w:hAnsi="宋体" w:cs="宋体"/>
          <w:bCs/>
        </w:rPr>
        <w:t>（6）未通过符合性检查的。</w:t>
      </w:r>
    </w:p>
    <w:p>
      <w:pPr>
        <w:pStyle w:val="28"/>
        <w:rPr>
          <w:rFonts w:ascii="宋体" w:hAnsi="宋体" w:cs="宋体"/>
          <w:bCs/>
          <w:i/>
          <w:u w:val="single"/>
        </w:rPr>
      </w:pPr>
      <w:r>
        <w:rPr>
          <w:rFonts w:hint="eastAsia" w:ascii="宋体" w:hAnsi="宋体" w:cs="宋体"/>
          <w:bCs/>
        </w:rPr>
        <w:t>（7）不符合招标文件中规定的其他实质性要求和条件的。</w:t>
      </w:r>
    </w:p>
    <w:p>
      <w:pPr>
        <w:pStyle w:val="28"/>
        <w:rPr>
          <w:rFonts w:ascii="宋体" w:hAnsi="宋体" w:cs="宋体"/>
          <w:bCs/>
        </w:rPr>
      </w:pPr>
      <w:r>
        <w:rPr>
          <w:rFonts w:hint="eastAsia" w:ascii="宋体" w:hAnsi="宋体" w:cs="宋体"/>
          <w:bCs/>
        </w:rPr>
        <w:t>（8） 投标人被 “信用中国”网站（www.creditchina.gov.cn）列入失信被执行人或重大税收违法案件当事人名单或政府采购严重失信行为记录名单。</w:t>
      </w:r>
    </w:p>
    <w:p>
      <w:pPr>
        <w:pStyle w:val="28"/>
        <w:rPr>
          <w:rFonts w:ascii="宋体" w:hAnsi="宋体" w:cs="宋体"/>
          <w:bCs/>
        </w:rPr>
      </w:pPr>
      <w:r>
        <w:rPr>
          <w:rFonts w:hint="eastAsia" w:ascii="宋体" w:hAnsi="宋体" w:cs="宋体"/>
          <w:bCs/>
        </w:rPr>
        <w:t>（9）  投标文件含有采购人不能接受的附加条件的。</w:t>
      </w:r>
    </w:p>
    <w:p>
      <w:pPr>
        <w:pStyle w:val="28"/>
        <w:rPr>
          <w:rFonts w:ascii="宋体" w:hAnsi="宋体" w:cs="宋体"/>
          <w:bCs/>
        </w:rPr>
      </w:pPr>
      <w:r>
        <w:rPr>
          <w:rFonts w:hint="eastAsia" w:ascii="宋体" w:hAnsi="宋体" w:cs="宋体"/>
          <w:bCs/>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rPr>
          <w:rFonts w:ascii="宋体" w:hAnsi="宋体" w:cs="宋体"/>
          <w:bCs/>
        </w:rPr>
      </w:pPr>
      <w:r>
        <w:rPr>
          <w:rFonts w:hint="eastAsia" w:ascii="宋体" w:hAnsi="宋体" w:cs="宋体"/>
          <w:bCs/>
        </w:rPr>
        <w:t>（11）其他法律、法规及本招标文件规定的属无效投标的情形。</w:t>
      </w:r>
    </w:p>
    <w:p>
      <w:pPr>
        <w:pStyle w:val="28"/>
        <w:rPr>
          <w:rFonts w:ascii="宋体" w:hAnsi="宋体" w:cs="宋体"/>
          <w:bCs/>
        </w:rPr>
      </w:pPr>
      <w:r>
        <w:rPr>
          <w:rFonts w:hint="eastAsia" w:ascii="宋体" w:hAnsi="宋体" w:cs="宋体"/>
          <w:bCs/>
        </w:rPr>
        <w:t>25.2废标条款：</w:t>
      </w:r>
    </w:p>
    <w:p>
      <w:pPr>
        <w:pStyle w:val="28"/>
        <w:rPr>
          <w:rFonts w:ascii="宋体" w:hAnsi="宋体" w:cs="宋体"/>
          <w:bCs/>
        </w:rPr>
      </w:pPr>
      <w:r>
        <w:rPr>
          <w:rFonts w:hint="eastAsia" w:ascii="宋体" w:hAnsi="宋体" w:cs="宋体"/>
          <w:bCs/>
        </w:rPr>
        <w:t>（1）符合专业条件的供应商或者对招标文件作实质响应的供应商不足三家的。</w:t>
      </w:r>
    </w:p>
    <w:p>
      <w:pPr>
        <w:pStyle w:val="28"/>
        <w:rPr>
          <w:rFonts w:ascii="宋体" w:hAnsi="宋体" w:cs="宋体"/>
          <w:bCs/>
        </w:rPr>
      </w:pPr>
      <w:r>
        <w:rPr>
          <w:rFonts w:hint="eastAsia" w:ascii="宋体" w:hAnsi="宋体" w:cs="宋体"/>
          <w:bCs/>
        </w:rPr>
        <w:t>（2）出现影响采购公正的违法、违规行为的。</w:t>
      </w:r>
    </w:p>
    <w:p>
      <w:pPr>
        <w:pStyle w:val="28"/>
        <w:rPr>
          <w:rFonts w:ascii="宋体" w:hAnsi="宋体" w:cs="宋体"/>
          <w:bCs/>
        </w:rPr>
      </w:pPr>
      <w:r>
        <w:rPr>
          <w:rFonts w:hint="eastAsia" w:ascii="宋体" w:hAnsi="宋体" w:cs="宋体"/>
          <w:bCs/>
        </w:rPr>
        <w:t>（3）因重大变故，采购任务取消的。</w:t>
      </w:r>
    </w:p>
    <w:p>
      <w:pPr>
        <w:pStyle w:val="28"/>
        <w:rPr>
          <w:rFonts w:ascii="宋体" w:hAnsi="宋体" w:cs="宋体"/>
          <w:bCs/>
        </w:rPr>
      </w:pPr>
      <w:r>
        <w:rPr>
          <w:rFonts w:hint="eastAsia" w:ascii="宋体" w:hAnsi="宋体" w:cs="宋体"/>
          <w:bCs/>
        </w:rPr>
        <w:t>（4）评标委员会认定招标文件存在歧义、重大缺陷导致评审工作无法进行的。</w:t>
      </w:r>
    </w:p>
    <w:p>
      <w:pPr>
        <w:pStyle w:val="28"/>
        <w:rPr>
          <w:rFonts w:ascii="宋体" w:hAnsi="宋体" w:cs="宋体"/>
          <w:b/>
        </w:rPr>
      </w:pPr>
      <w:bookmarkStart w:id="143" w:name="_Toc517190887"/>
      <w:bookmarkStart w:id="144" w:name="_Toc120614219"/>
      <w:r>
        <w:rPr>
          <w:rFonts w:hint="eastAsia" w:ascii="宋体" w:hAnsi="宋体" w:cs="宋体"/>
          <w:b/>
        </w:rPr>
        <w:t>六、</w:t>
      </w:r>
      <w:bookmarkEnd w:id="140"/>
      <w:bookmarkEnd w:id="141"/>
      <w:bookmarkEnd w:id="142"/>
      <w:r>
        <w:rPr>
          <w:rFonts w:hint="eastAsia" w:ascii="宋体" w:hAnsi="宋体" w:cs="宋体"/>
          <w:b/>
        </w:rPr>
        <w:t>定标</w:t>
      </w:r>
      <w:bookmarkEnd w:id="143"/>
      <w:bookmarkEnd w:id="144"/>
    </w:p>
    <w:p>
      <w:pPr>
        <w:pStyle w:val="28"/>
        <w:rPr>
          <w:rFonts w:ascii="宋体" w:hAnsi="宋体" w:cs="宋体"/>
          <w:b/>
        </w:rPr>
      </w:pPr>
      <w:bookmarkStart w:id="145" w:name="_Toc513029238"/>
      <w:bookmarkStart w:id="146" w:name="_Toc20823310"/>
      <w:bookmarkStart w:id="147" w:name="_Toc16938554"/>
      <w:r>
        <w:rPr>
          <w:rFonts w:hint="eastAsia" w:ascii="宋体" w:hAnsi="宋体" w:cs="宋体"/>
          <w:b/>
        </w:rPr>
        <w:t>26</w:t>
      </w:r>
      <w:bookmarkEnd w:id="145"/>
      <w:r>
        <w:rPr>
          <w:rFonts w:hint="eastAsia" w:ascii="宋体" w:hAnsi="宋体" w:cs="宋体"/>
          <w:b/>
        </w:rPr>
        <w:t>.确定</w:t>
      </w:r>
      <w:bookmarkEnd w:id="146"/>
      <w:bookmarkEnd w:id="147"/>
      <w:r>
        <w:rPr>
          <w:rFonts w:hint="eastAsia" w:ascii="宋体" w:hAnsi="宋体" w:cs="宋体"/>
          <w:b/>
        </w:rPr>
        <w:t>中标单位</w:t>
      </w:r>
    </w:p>
    <w:p>
      <w:pPr>
        <w:pStyle w:val="28"/>
        <w:rPr>
          <w:rFonts w:ascii="宋体" w:hAnsi="宋体" w:cs="宋体"/>
          <w:bCs/>
        </w:rPr>
      </w:pPr>
      <w:r>
        <w:rPr>
          <w:rFonts w:hint="eastAsia" w:ascii="宋体" w:hAnsi="宋体" w:cs="宋体"/>
          <w:bCs/>
        </w:rPr>
        <w:t>26.1评委会根据本招标文件规定评分办法与评分标准确定中标人；</w:t>
      </w:r>
    </w:p>
    <w:p>
      <w:pPr>
        <w:pStyle w:val="28"/>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28"/>
        <w:rPr>
          <w:rFonts w:ascii="宋体" w:hAnsi="宋体" w:cs="宋体"/>
        </w:rPr>
      </w:pPr>
      <w:r>
        <w:rPr>
          <w:rFonts w:hint="eastAsia" w:ascii="宋体" w:hAnsi="宋体" w:cs="宋体"/>
        </w:rPr>
        <w:t>2</w:t>
      </w:r>
      <w:bookmarkStart w:id="148" w:name="OLE_LINK7"/>
      <w:bookmarkStart w:id="149" w:name="OLE_LINK4"/>
      <w:bookmarkStart w:id="150" w:name="OLE_LINK8"/>
      <w:bookmarkStart w:id="151" w:name="OLE_LINK3"/>
      <w:bookmarkStart w:id="152" w:name="OLE_LINK6"/>
      <w:bookmarkStart w:id="153" w:name="OLE_LINK5"/>
      <w:r>
        <w:rPr>
          <w:rFonts w:hint="eastAsia" w:ascii="宋体" w:hAnsi="宋体" w:cs="宋体"/>
        </w:rPr>
        <w:t>6.3</w:t>
      </w:r>
      <w:bookmarkEnd w:id="148"/>
      <w:bookmarkEnd w:id="149"/>
      <w:bookmarkEnd w:id="150"/>
      <w:bookmarkEnd w:id="151"/>
      <w:bookmarkEnd w:id="152"/>
      <w:bookmarkEnd w:id="153"/>
      <w:r>
        <w:rPr>
          <w:rFonts w:hint="eastAsia" w:ascii="宋体" w:hAnsi="宋体" w:cs="宋体"/>
        </w:rPr>
        <w:t xml:space="preserve"> 若有充分证据证明，中标人出现下列情况之一的，一经查实，将被取消中标资格：</w:t>
      </w:r>
    </w:p>
    <w:p>
      <w:pPr>
        <w:pStyle w:val="28"/>
        <w:rPr>
          <w:rFonts w:ascii="宋体" w:hAnsi="宋体" w:cs="宋体"/>
        </w:rPr>
      </w:pPr>
      <w:r>
        <w:rPr>
          <w:rFonts w:hint="eastAsia" w:ascii="宋体" w:hAnsi="宋体" w:cs="宋体"/>
        </w:rPr>
        <w:t>（1）提供虚假材料谋取中标的；</w:t>
      </w:r>
    </w:p>
    <w:p>
      <w:pPr>
        <w:pStyle w:val="28"/>
        <w:rPr>
          <w:rFonts w:ascii="宋体" w:hAnsi="宋体" w:cs="宋体"/>
        </w:rPr>
      </w:pPr>
      <w:r>
        <w:rPr>
          <w:rFonts w:hint="eastAsia" w:ascii="宋体" w:hAnsi="宋体" w:cs="宋体"/>
        </w:rPr>
        <w:t>（2）向采购人、评审专家行贿或者提供其他不正当利益的；</w:t>
      </w:r>
    </w:p>
    <w:p>
      <w:pPr>
        <w:pStyle w:val="28"/>
        <w:rPr>
          <w:rFonts w:ascii="宋体" w:hAnsi="宋体" w:cs="宋体"/>
        </w:rPr>
      </w:pPr>
      <w:r>
        <w:rPr>
          <w:rFonts w:hint="eastAsia" w:ascii="宋体" w:hAnsi="宋体" w:cs="宋体"/>
        </w:rPr>
        <w:t>（3）恶意竞争，投标总报价明显低于其自身合理成本且又无法提供证明的；</w:t>
      </w:r>
    </w:p>
    <w:p>
      <w:pPr>
        <w:pStyle w:val="28"/>
        <w:rPr>
          <w:rFonts w:ascii="宋体" w:hAnsi="宋体" w:cs="宋体"/>
        </w:rPr>
      </w:pPr>
      <w:r>
        <w:rPr>
          <w:rFonts w:hint="eastAsia" w:ascii="宋体" w:hAnsi="宋体" w:cs="宋体"/>
        </w:rPr>
        <w:t>（4）属于本文件规定的无效条件，但在评标过程中又未被评委会发现的；</w:t>
      </w:r>
    </w:p>
    <w:p>
      <w:pPr>
        <w:pStyle w:val="28"/>
        <w:rPr>
          <w:rFonts w:ascii="宋体" w:hAnsi="宋体" w:cs="宋体"/>
        </w:rPr>
      </w:pPr>
      <w:r>
        <w:rPr>
          <w:rFonts w:hint="eastAsia" w:ascii="宋体" w:hAnsi="宋体" w:cs="宋体"/>
        </w:rPr>
        <w:t>（5）与采购人或者其他供应商恶意串通的；</w:t>
      </w:r>
    </w:p>
    <w:p>
      <w:pPr>
        <w:pStyle w:val="28"/>
        <w:rPr>
          <w:rFonts w:ascii="宋体" w:hAnsi="宋体" w:cs="宋体"/>
        </w:rPr>
      </w:pPr>
      <w:r>
        <w:rPr>
          <w:rFonts w:hint="eastAsia" w:ascii="宋体" w:hAnsi="宋体" w:cs="宋体"/>
        </w:rPr>
        <w:t>（6）采取不正当手段诋毁、排挤其他供应商的；</w:t>
      </w:r>
    </w:p>
    <w:p>
      <w:pPr>
        <w:pStyle w:val="28"/>
        <w:rPr>
          <w:rFonts w:ascii="宋体" w:hAnsi="宋体" w:cs="宋体"/>
        </w:rPr>
      </w:pPr>
      <w:r>
        <w:rPr>
          <w:rFonts w:hint="eastAsia" w:ascii="宋体" w:hAnsi="宋体" w:cs="宋体"/>
        </w:rPr>
        <w:t>（7）不符合法律、法规的规定的。</w:t>
      </w:r>
      <w:bookmarkStart w:id="154" w:name="_Toc200451960"/>
    </w:p>
    <w:p>
      <w:pPr>
        <w:pStyle w:val="28"/>
        <w:rPr>
          <w:rFonts w:ascii="宋体" w:hAnsi="宋体" w:cs="宋体"/>
        </w:rPr>
      </w:pPr>
      <w:r>
        <w:rPr>
          <w:rFonts w:hint="eastAsia" w:ascii="宋体" w:hAnsi="宋体" w:cs="宋体"/>
        </w:rPr>
        <w:t>26.4 有下列情形之一的，视为投标人串通投标，投标无效：</w:t>
      </w:r>
    </w:p>
    <w:p>
      <w:pPr>
        <w:pStyle w:val="28"/>
        <w:rPr>
          <w:rFonts w:ascii="宋体" w:hAnsi="宋体" w:cs="宋体"/>
        </w:rPr>
      </w:pPr>
      <w:r>
        <w:rPr>
          <w:rFonts w:hint="eastAsia" w:ascii="宋体" w:hAnsi="宋体" w:cs="宋体"/>
        </w:rPr>
        <w:t>（1）不同投标人的投标文件由同一单位或者个人编制；</w:t>
      </w:r>
    </w:p>
    <w:p>
      <w:pPr>
        <w:pStyle w:val="28"/>
        <w:rPr>
          <w:rFonts w:ascii="宋体" w:hAnsi="宋体" w:cs="宋体"/>
        </w:rPr>
      </w:pPr>
      <w:r>
        <w:rPr>
          <w:rFonts w:hint="eastAsia" w:ascii="宋体" w:hAnsi="宋体" w:cs="宋体"/>
        </w:rPr>
        <w:t>（2）不同投标人委托同一单位或者个人办理投标事宜；</w:t>
      </w:r>
    </w:p>
    <w:p>
      <w:pPr>
        <w:pStyle w:val="28"/>
        <w:rPr>
          <w:rFonts w:ascii="宋体" w:hAnsi="宋体" w:cs="宋体"/>
        </w:rPr>
      </w:pPr>
      <w:r>
        <w:rPr>
          <w:rFonts w:hint="eastAsia" w:ascii="宋体" w:hAnsi="宋体" w:cs="宋体"/>
        </w:rPr>
        <w:t>（3） 不同投标人的投标文件载明的项目管理成员或者联系人员为同一人；</w:t>
      </w:r>
    </w:p>
    <w:p>
      <w:pPr>
        <w:pStyle w:val="28"/>
        <w:rPr>
          <w:rFonts w:ascii="宋体" w:hAnsi="宋体" w:cs="宋体"/>
        </w:rPr>
      </w:pPr>
      <w:r>
        <w:rPr>
          <w:rFonts w:hint="eastAsia" w:ascii="宋体" w:hAnsi="宋体" w:cs="宋体"/>
        </w:rPr>
        <w:t>（4）不同投标人的投标文件异常一致或者投标报价呈规律性差异；</w:t>
      </w:r>
    </w:p>
    <w:p>
      <w:pPr>
        <w:pStyle w:val="28"/>
        <w:rPr>
          <w:rFonts w:ascii="宋体" w:hAnsi="宋体" w:cs="宋体"/>
        </w:rPr>
      </w:pPr>
      <w:r>
        <w:rPr>
          <w:rFonts w:hint="eastAsia" w:ascii="宋体" w:hAnsi="宋体" w:cs="宋体"/>
        </w:rPr>
        <w:t>（5）不同投标人的投标文件相互混装；</w:t>
      </w:r>
    </w:p>
    <w:p>
      <w:pPr>
        <w:pStyle w:val="28"/>
        <w:rPr>
          <w:rFonts w:ascii="宋体" w:hAnsi="宋体" w:cs="宋体"/>
        </w:rPr>
      </w:pPr>
      <w:r>
        <w:rPr>
          <w:rFonts w:hint="eastAsia" w:ascii="宋体" w:hAnsi="宋体" w:cs="宋体"/>
        </w:rPr>
        <w:t>（6）不同投标人的投标保证金从同一单位或者个人的账户转出。</w:t>
      </w:r>
    </w:p>
    <w:p>
      <w:pPr>
        <w:pStyle w:val="28"/>
        <w:rPr>
          <w:rFonts w:ascii="宋体" w:hAnsi="宋体" w:cs="宋体"/>
          <w:b/>
        </w:rPr>
      </w:pPr>
      <w:r>
        <w:rPr>
          <w:rFonts w:hint="eastAsia" w:ascii="宋体" w:hAnsi="宋体" w:cs="宋体"/>
          <w:b/>
        </w:rPr>
        <w:t>27.质疑处理</w:t>
      </w:r>
      <w:bookmarkEnd w:id="154"/>
    </w:p>
    <w:p>
      <w:pPr>
        <w:pStyle w:val="28"/>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28"/>
        <w:rPr>
          <w:rFonts w:ascii="宋体" w:hAnsi="宋体" w:cs="宋体"/>
          <w:b/>
        </w:rPr>
      </w:pPr>
      <w:r>
        <w:rPr>
          <w:rFonts w:hint="eastAsia" w:ascii="宋体" w:hAnsi="宋体" w:cs="宋体"/>
          <w:b/>
        </w:rPr>
        <w:t>28.中标通知书</w:t>
      </w:r>
    </w:p>
    <w:p>
      <w:pPr>
        <w:pStyle w:val="28"/>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28"/>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28"/>
        <w:rPr>
          <w:rFonts w:ascii="宋体" w:hAnsi="宋体" w:cs="宋体"/>
          <w:b/>
        </w:rPr>
      </w:pPr>
      <w:bookmarkStart w:id="155" w:name="_Toc517190888"/>
      <w:bookmarkStart w:id="156" w:name="_Toc120614220"/>
      <w:bookmarkStart w:id="157" w:name="_Toc513029236"/>
      <w:bookmarkStart w:id="158" w:name="_Toc16938552"/>
      <w:bookmarkStart w:id="159" w:name="_Toc20823308"/>
      <w:r>
        <w:rPr>
          <w:rFonts w:hint="eastAsia" w:ascii="宋体" w:hAnsi="宋体" w:cs="宋体"/>
          <w:b/>
        </w:rPr>
        <w:t>七、授予合同</w:t>
      </w:r>
      <w:bookmarkEnd w:id="155"/>
      <w:bookmarkEnd w:id="156"/>
    </w:p>
    <w:bookmarkEnd w:id="157"/>
    <w:bookmarkEnd w:id="158"/>
    <w:bookmarkEnd w:id="159"/>
    <w:p>
      <w:pPr>
        <w:pStyle w:val="28"/>
        <w:rPr>
          <w:rFonts w:ascii="宋体" w:hAnsi="宋体" w:cs="宋体"/>
          <w:b/>
        </w:rPr>
      </w:pPr>
      <w:bookmarkStart w:id="160" w:name="_Toc20823309"/>
      <w:bookmarkStart w:id="161" w:name="_Toc16938553"/>
      <w:bookmarkStart w:id="162" w:name="_Toc513029237"/>
      <w:r>
        <w:rPr>
          <w:rFonts w:hint="eastAsia" w:ascii="宋体" w:hAnsi="宋体" w:cs="宋体"/>
          <w:b/>
        </w:rPr>
        <w:t>29. 签订合同</w:t>
      </w:r>
    </w:p>
    <w:p>
      <w:pPr>
        <w:pStyle w:val="28"/>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28"/>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28"/>
        <w:rPr>
          <w:rFonts w:ascii="宋体" w:hAnsi="宋体" w:cs="宋体"/>
        </w:rPr>
      </w:pPr>
      <w:r>
        <w:rPr>
          <w:rFonts w:hint="eastAsia" w:ascii="宋体" w:hAnsi="宋体" w:cs="宋体"/>
        </w:rPr>
        <w:t>29.3 签订合同后，</w:t>
      </w:r>
      <w:r>
        <w:rPr>
          <w:rFonts w:hint="eastAsia" w:ascii="宋体" w:hAnsi="宋体" w:cs="宋体"/>
          <w:iCs/>
          <w:u w:val="single"/>
        </w:rPr>
        <w:t>中标人不得将货物及其他相关服务进行转包</w:t>
      </w:r>
      <w:r>
        <w:rPr>
          <w:rFonts w:hint="eastAsia" w:ascii="宋体" w:hAnsi="宋体" w:cs="宋体"/>
          <w:iCs/>
        </w:rPr>
        <w:t>。</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8"/>
        <w:rPr>
          <w:rFonts w:ascii="宋体" w:hAnsi="宋体" w:cs="宋体"/>
          <w:b/>
        </w:rPr>
      </w:pPr>
      <w:bookmarkStart w:id="163" w:name="_Toc517190889"/>
      <w:r>
        <w:rPr>
          <w:rFonts w:hint="eastAsia" w:ascii="宋体" w:hAnsi="宋体" w:cs="宋体"/>
          <w:b/>
        </w:rPr>
        <w:t>八、其他</w:t>
      </w:r>
      <w:bookmarkEnd w:id="163"/>
    </w:p>
    <w:p>
      <w:pPr>
        <w:pStyle w:val="28"/>
        <w:rPr>
          <w:rFonts w:ascii="宋体" w:hAnsi="宋体" w:cs="宋体"/>
          <w:b/>
        </w:rPr>
      </w:pPr>
      <w:r>
        <w:rPr>
          <w:rFonts w:hint="eastAsia" w:ascii="宋体" w:hAnsi="宋体" w:cs="宋体"/>
          <w:b/>
        </w:rPr>
        <w:t>30.样品</w:t>
      </w:r>
    </w:p>
    <w:p>
      <w:pPr>
        <w:pStyle w:val="28"/>
        <w:rPr>
          <w:rFonts w:ascii="宋体" w:hAnsi="宋体" w:cs="宋体"/>
        </w:rPr>
      </w:pPr>
      <w:r>
        <w:rPr>
          <w:rFonts w:hint="eastAsia" w:ascii="宋体" w:hAnsi="宋体" w:cs="宋体"/>
          <w:bCs/>
        </w:rPr>
        <w:t>项目要求提供样品的，中标人的样品由采购人负责保管、封存，并作为履约验收的参考。未中标人的样品将及时退还。</w:t>
      </w: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pStyle w:val="34"/>
        <w:spacing w:line="360" w:lineRule="auto"/>
        <w:ind w:firstLine="0"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一、功能用途</w:t>
      </w:r>
    </w:p>
    <w:p>
      <w:pPr>
        <w:pStyle w:val="28"/>
        <w:rPr>
          <w:rFonts w:ascii="宋体" w:hAnsi="宋体" w:cs="宋体"/>
          <w:bCs/>
        </w:rPr>
      </w:pPr>
      <w:r>
        <w:rPr>
          <w:rFonts w:ascii="宋体" w:hAnsi="宋体" w:cs="宋体"/>
          <w:bCs/>
        </w:rPr>
        <w:t>CO2恒温振荡器是综合了恒温振荡器和CO2培养箱的功能，既可以精确控制动物细胞等生长所需的CO2浓度，又可以让动物细胞等在振荡的过程中充分与恒温培养箱环境充分接触，达到最佳的生长环境。而且两种功能一体化可以提高细胞培养效率，降低细胞培养成本，减小设备所需空间，节约成本。</w:t>
      </w:r>
    </w:p>
    <w:p>
      <w:pPr>
        <w:pStyle w:val="34"/>
        <w:spacing w:line="360" w:lineRule="auto"/>
        <w:ind w:firstLine="0"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二、技术指标</w:t>
      </w:r>
    </w:p>
    <w:p>
      <w:pPr>
        <w:pStyle w:val="34"/>
        <w:spacing w:after="48" w:afterLines="20" w:line="360" w:lineRule="auto"/>
        <w:ind w:firstLine="0" w:firstLineChars="0"/>
        <w:rPr>
          <w:rFonts w:ascii="宋体" w:hAnsi="宋体" w:eastAsia="宋体" w:cs="宋体"/>
          <w:sz w:val="24"/>
          <w:szCs w:val="24"/>
        </w:rPr>
      </w:pPr>
      <w:r>
        <w:rPr>
          <w:rFonts w:hint="eastAsia" w:ascii="宋体" w:hAnsi="宋体" w:eastAsia="宋体" w:cs="宋体"/>
          <w:sz w:val="24"/>
          <w:szCs w:val="24"/>
        </w:rPr>
        <w:t>1.▲温控范围：（</w:t>
      </w:r>
      <w:bookmarkStart w:id="165" w:name="_Hlk4331836"/>
      <w:bookmarkStart w:id="166" w:name="_Hlk4331751"/>
      <w:r>
        <w:rPr>
          <w:rFonts w:hint="eastAsia" w:ascii="宋体" w:hAnsi="宋体" w:eastAsia="宋体" w:cs="宋体"/>
          <w:sz w:val="24"/>
          <w:szCs w:val="24"/>
        </w:rPr>
        <w:t>环境温度</w:t>
      </w:r>
      <w:bookmarkEnd w:id="165"/>
      <w:r>
        <w:rPr>
          <w:rFonts w:hint="eastAsia" w:ascii="宋体" w:hAnsi="宋体" w:eastAsia="宋体" w:cs="宋体"/>
          <w:sz w:val="24"/>
          <w:szCs w:val="24"/>
        </w:rPr>
        <w:t>-18℃</w:t>
      </w:r>
      <w:bookmarkEnd w:id="166"/>
      <w:r>
        <w:rPr>
          <w:rFonts w:hint="eastAsia" w:ascii="宋体" w:hAnsi="宋体" w:eastAsia="宋体" w:cs="宋体"/>
          <w:sz w:val="24"/>
          <w:szCs w:val="24"/>
        </w:rPr>
        <w:t>）~60℃ (最低4℃)</w:t>
      </w:r>
    </w:p>
    <w:p>
      <w:pPr>
        <w:pStyle w:val="34"/>
        <w:spacing w:after="48" w:afterLines="20" w:line="360" w:lineRule="auto"/>
        <w:ind w:firstLine="0" w:firstLineChars="0"/>
        <w:rPr>
          <w:rFonts w:ascii="宋体" w:hAnsi="宋体" w:eastAsia="宋体" w:cs="宋体"/>
          <w:sz w:val="24"/>
          <w:szCs w:val="24"/>
        </w:rPr>
      </w:pPr>
      <w:r>
        <w:rPr>
          <w:rFonts w:hint="eastAsia" w:ascii="宋体" w:hAnsi="宋体" w:eastAsia="宋体" w:cs="宋体"/>
          <w:sz w:val="24"/>
          <w:szCs w:val="24"/>
        </w:rPr>
        <w:t>2.温控精度：0.1℃</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3.▲温度均匀性：±0.5℃ (@37℃)</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4.旋转转速：0 (停止)，30~300rpm</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5.转速精度：1rpm</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6.振  幅：φ50mm</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7.摇板尺寸：900×560mm</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8.最大烧瓶夹/粘贴垫数量：</w:t>
      </w:r>
    </w:p>
    <w:p>
      <w:pPr>
        <w:spacing w:after="48" w:afterLines="20" w:line="360" w:lineRule="auto"/>
        <w:ind w:firstLine="480" w:firstLineChars="200"/>
        <w:rPr>
          <w:rFonts w:ascii="宋体" w:hAnsi="宋体" w:eastAsia="宋体" w:cs="宋体"/>
          <w:sz w:val="24"/>
          <w:szCs w:val="24"/>
        </w:rPr>
      </w:pPr>
      <w:r>
        <w:rPr>
          <w:rFonts w:hint="eastAsia" w:ascii="宋体" w:hAnsi="宋体" w:eastAsia="宋体" w:cs="宋体"/>
          <w:sz w:val="24"/>
          <w:szCs w:val="24"/>
        </w:rPr>
        <w:t>烧瓶夹：50mlx135 / 100mlx60 / 150mlx60 / 200mlx60/ 250mlx60 /500mlx34 / 1000mlx22 / 2000mlx15/ 3000mlx12/5000ml (Thomson)x6</w:t>
      </w:r>
    </w:p>
    <w:p>
      <w:pPr>
        <w:spacing w:after="48" w:afterLines="20" w:line="360" w:lineRule="auto"/>
        <w:ind w:firstLine="480" w:firstLineChars="200"/>
        <w:rPr>
          <w:rFonts w:ascii="宋体" w:hAnsi="宋体" w:eastAsia="宋体" w:cs="宋体"/>
          <w:sz w:val="24"/>
          <w:szCs w:val="24"/>
        </w:rPr>
      </w:pPr>
      <w:r>
        <w:rPr>
          <w:rFonts w:hint="eastAsia" w:ascii="宋体" w:hAnsi="宋体" w:eastAsia="宋体" w:cs="宋体"/>
          <w:sz w:val="24"/>
          <w:szCs w:val="24"/>
        </w:rPr>
        <w:t>粘贴垫：50mlx187/ 100mlx112 / 150mlx104 / 200mlx84 / 250mlx77 / 500mlx40 / 1000mlx28 / 2000mlx15 / 3000mlx15/5000ml (Thomson)x8</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9.容  量：335L</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10.▲最大负载：</w:t>
      </w:r>
      <w:r>
        <w:rPr>
          <w:rFonts w:hint="eastAsia" w:ascii="宋体" w:hAnsi="宋体" w:eastAsia="宋体" w:cs="宋体"/>
          <w:sz w:val="24"/>
          <w:szCs w:val="24"/>
          <w:lang w:val="en-US" w:eastAsia="zh-CN"/>
        </w:rPr>
        <w:t>≥</w:t>
      </w:r>
      <w:r>
        <w:rPr>
          <w:rFonts w:hint="eastAsia" w:ascii="宋体" w:hAnsi="宋体" w:eastAsia="宋体" w:cs="宋体"/>
          <w:sz w:val="24"/>
          <w:szCs w:val="24"/>
        </w:rPr>
        <w:t>20kg</w:t>
      </w:r>
    </w:p>
    <w:p>
      <w:pPr>
        <w:pStyle w:val="34"/>
        <w:spacing w:after="48" w:afterLines="20" w:line="360" w:lineRule="auto"/>
        <w:ind w:firstLine="0" w:firstLineChars="0"/>
        <w:rPr>
          <w:rFonts w:ascii="宋体" w:hAnsi="宋体" w:eastAsia="宋体" w:cs="宋体"/>
          <w:sz w:val="24"/>
          <w:szCs w:val="24"/>
        </w:rPr>
      </w:pPr>
      <w:r>
        <w:rPr>
          <w:rFonts w:hint="eastAsia" w:ascii="宋体" w:hAnsi="宋体" w:eastAsia="宋体" w:cs="宋体"/>
          <w:sz w:val="24"/>
          <w:szCs w:val="24"/>
        </w:rPr>
        <w:t>11.CO2传感器：IR (红外线)</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12.CO2浓度控制范围：0-20%</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13.CO2浓度控制精度：±0.1%</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14.开门30s重启后温度恢复时间：≤6min (@37℃)</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15.开门30s重启后CO2浓度恢复时间：≤6min (@5%)</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16.可编程段数：12段</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17.设置参数保护：密码保护</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18.曲线显示类型：温度曲线、速度曲线、CO2浓度曲线、湿度曲线</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19.★显示方式：电容式，10寸彩色触控屏</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20.U盘导出数据：有</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21.屏上可查运行参数天数：7天之内</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22.★运行数据贮存周期：多于912天</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23.运行数据贮存时间间隔：1分钟</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24.数据贮存内容：运行时间、温度参数、速度参数、浓度参数、湿度参数、运行状态</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25.▲全自动除霜：有</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26.自动关闭屏显：有</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27.自动锁屏：有</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28.噪音等级：≤55dB (制冷时)</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29.可水冲洗：是</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30.★界面语言：可切换中文、英文显示</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31.▲制冷压缩机：进口变频压缩机</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32.主动加湿（选配）：支持 （环境湿度+10%）~95%</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33.★WiFi 手机监控（选配）：支持，随用随配</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34.电脑监控（选配）：支持</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35.★内腔工作高度（摇板表面到内顶面）：</w:t>
      </w:r>
      <w:r>
        <w:rPr>
          <w:rFonts w:hint="eastAsia" w:ascii="宋体" w:hAnsi="宋体" w:eastAsia="宋体" w:cs="宋体"/>
          <w:sz w:val="24"/>
          <w:szCs w:val="24"/>
          <w:lang w:val="en-US" w:eastAsia="zh-CN"/>
        </w:rPr>
        <w:t>≥</w:t>
      </w:r>
      <w:r>
        <w:rPr>
          <w:rFonts w:hint="eastAsia" w:ascii="宋体" w:hAnsi="宋体" w:eastAsia="宋体" w:cs="宋体"/>
          <w:sz w:val="24"/>
          <w:szCs w:val="24"/>
        </w:rPr>
        <w:t>305mm</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36.湿度类型：自然增湿</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37.最大湿度：95%</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38.照 明：日光灯照明</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39.灭 菌：紫外杀菌</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40.开门方式：下开</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41.定时范围：0~999小时59分钟</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42.第三层摇板高：</w:t>
      </w:r>
      <w:r>
        <w:rPr>
          <w:rFonts w:hint="eastAsia" w:ascii="宋体" w:hAnsi="宋体" w:eastAsia="宋体" w:cs="宋体"/>
          <w:sz w:val="24"/>
          <w:szCs w:val="24"/>
          <w:lang w:val="en-US" w:eastAsia="zh-CN"/>
        </w:rPr>
        <w:t>大于等于</w:t>
      </w:r>
      <w:r>
        <w:rPr>
          <w:rFonts w:hint="eastAsia" w:ascii="宋体" w:hAnsi="宋体" w:eastAsia="宋体" w:cs="宋体"/>
          <w:sz w:val="24"/>
          <w:szCs w:val="24"/>
        </w:rPr>
        <w:t>1345mm</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43.摇板带导轨：有</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44.来电自动恢复功能：是</w:t>
      </w:r>
    </w:p>
    <w:p>
      <w:pPr>
        <w:spacing w:after="48" w:afterLines="20" w:line="360" w:lineRule="auto"/>
        <w:rPr>
          <w:rFonts w:ascii="宋体" w:hAnsi="宋体" w:eastAsia="宋体" w:cs="宋体"/>
          <w:sz w:val="24"/>
          <w:szCs w:val="24"/>
        </w:rPr>
      </w:pPr>
      <w:r>
        <w:rPr>
          <w:rFonts w:hint="eastAsia" w:ascii="宋体" w:hAnsi="宋体" w:eastAsia="宋体" w:cs="宋体"/>
          <w:sz w:val="24"/>
          <w:szCs w:val="24"/>
        </w:rPr>
        <w:t>45.加热功率：≤1000W</w:t>
      </w:r>
    </w:p>
    <w:p>
      <w:pPr>
        <w:snapToGrid/>
        <w:spacing w:after="48" w:afterLines="20" w:line="360" w:lineRule="auto"/>
        <w:rPr>
          <w:rFonts w:ascii="宋体" w:hAnsi="宋体" w:eastAsia="宋体" w:cs="宋体"/>
          <w:sz w:val="24"/>
          <w:szCs w:val="24"/>
        </w:rPr>
      </w:pPr>
      <w:r>
        <w:rPr>
          <w:rFonts w:hint="eastAsia" w:ascii="宋体" w:hAnsi="宋体" w:eastAsia="宋体" w:cs="宋体"/>
          <w:sz w:val="24"/>
          <w:szCs w:val="24"/>
        </w:rPr>
        <w:t>46.制冷功率：70~180W</w:t>
      </w:r>
    </w:p>
    <w:p>
      <w:pPr>
        <w:spacing w:after="48" w:afterLines="20" w:line="360" w:lineRule="auto"/>
        <w:rPr>
          <w:rFonts w:ascii="宋体" w:hAnsi="宋体" w:eastAsia="宋体" w:cs="宋体"/>
          <w:sz w:val="24"/>
          <w:szCs w:val="24"/>
        </w:rPr>
      </w:pPr>
      <w:r>
        <w:rPr>
          <w:rFonts w:ascii="宋体" w:hAnsi="宋体" w:eastAsia="宋体" w:cs="宋体"/>
          <w:sz w:val="24"/>
          <w:szCs w:val="24"/>
        </w:rPr>
        <w:t>备注：加</w:t>
      </w:r>
      <w:r>
        <w:rPr>
          <w:rFonts w:hint="eastAsia" w:ascii="宋体" w:hAnsi="宋体" w:eastAsia="宋体" w:cs="宋体"/>
          <w:sz w:val="24"/>
          <w:szCs w:val="24"/>
        </w:rPr>
        <w:t>★</w:t>
      </w:r>
      <w:r>
        <w:rPr>
          <w:rFonts w:ascii="宋体" w:hAnsi="宋体" w:eastAsia="宋体" w:cs="宋体"/>
          <w:sz w:val="24"/>
          <w:szCs w:val="24"/>
        </w:rPr>
        <w:t>号的技术指标为关键指标，加▲号的技术指标为核心指标。</w:t>
      </w:r>
    </w:p>
    <w:p>
      <w:pPr>
        <w:pStyle w:val="34"/>
        <w:spacing w:line="360" w:lineRule="auto"/>
        <w:ind w:firstLine="0"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三、工作条件</w:t>
      </w:r>
    </w:p>
    <w:p>
      <w:pPr>
        <w:spacing w:after="48" w:afterLines="20" w:line="360" w:lineRule="auto"/>
        <w:ind w:firstLine="240" w:firstLineChars="100"/>
        <w:rPr>
          <w:rFonts w:ascii="宋体" w:hAnsi="宋体" w:eastAsia="宋体" w:cs="宋体"/>
          <w:sz w:val="24"/>
          <w:szCs w:val="24"/>
        </w:rPr>
      </w:pPr>
      <w:r>
        <w:rPr>
          <w:rFonts w:hint="eastAsia" w:ascii="宋体" w:hAnsi="宋体" w:eastAsia="宋体" w:cs="宋体"/>
          <w:sz w:val="24"/>
          <w:szCs w:val="24"/>
        </w:rPr>
        <w:t>1.电 源：AC 220V±22V，50Hz / 60Hz，功率≤1000W</w:t>
      </w:r>
    </w:p>
    <w:p>
      <w:pPr>
        <w:spacing w:after="48" w:afterLines="20" w:line="360" w:lineRule="auto"/>
        <w:ind w:firstLine="240" w:firstLineChars="100"/>
        <w:rPr>
          <w:rFonts w:ascii="宋体" w:hAnsi="宋体" w:eastAsia="宋体" w:cs="宋体"/>
          <w:sz w:val="24"/>
          <w:szCs w:val="24"/>
        </w:rPr>
      </w:pPr>
      <w:r>
        <w:rPr>
          <w:rFonts w:hint="eastAsia" w:ascii="宋体" w:hAnsi="宋体" w:eastAsia="宋体" w:cs="宋体"/>
          <w:sz w:val="24"/>
          <w:szCs w:val="24"/>
        </w:rPr>
        <w:t>2.环境温度：10-35℃</w:t>
      </w:r>
    </w:p>
    <w:p>
      <w:pPr>
        <w:spacing w:after="48" w:afterLines="20" w:line="360" w:lineRule="auto"/>
        <w:ind w:firstLine="240" w:firstLineChars="100"/>
        <w:rPr>
          <w:rFonts w:ascii="宋体" w:hAnsi="宋体" w:eastAsia="宋体" w:cs="宋体"/>
          <w:sz w:val="24"/>
          <w:szCs w:val="24"/>
        </w:rPr>
      </w:pPr>
      <w:r>
        <w:rPr>
          <w:rFonts w:hint="eastAsia" w:ascii="宋体" w:hAnsi="宋体" w:eastAsia="宋体" w:cs="宋体"/>
          <w:sz w:val="24"/>
          <w:szCs w:val="24"/>
        </w:rPr>
        <w:t>3.环境湿度：20%~80% RH</w:t>
      </w:r>
    </w:p>
    <w:p>
      <w:pPr>
        <w:spacing w:after="48" w:afterLines="20" w:line="360" w:lineRule="auto"/>
        <w:ind w:firstLine="240" w:firstLineChars="100"/>
        <w:rPr>
          <w:rFonts w:ascii="宋体" w:hAnsi="宋体" w:eastAsia="宋体" w:cs="宋体"/>
          <w:sz w:val="24"/>
          <w:szCs w:val="24"/>
        </w:rPr>
      </w:pPr>
      <w:r>
        <w:rPr>
          <w:rFonts w:hint="eastAsia" w:ascii="宋体" w:hAnsi="宋体" w:eastAsia="宋体" w:cs="宋体"/>
          <w:sz w:val="24"/>
          <w:szCs w:val="24"/>
        </w:rPr>
        <w:t>4.大气压力：75kPa~106kPa</w:t>
      </w:r>
    </w:p>
    <w:p>
      <w:pPr>
        <w:spacing w:after="48" w:afterLines="20" w:line="360" w:lineRule="auto"/>
        <w:ind w:firstLine="240" w:firstLineChars="100"/>
        <w:rPr>
          <w:rFonts w:ascii="宋体" w:hAnsi="宋体" w:eastAsia="宋体" w:cs="宋体"/>
          <w:sz w:val="24"/>
          <w:szCs w:val="24"/>
        </w:rPr>
      </w:pPr>
      <w:r>
        <w:rPr>
          <w:rFonts w:hint="eastAsia" w:ascii="宋体" w:hAnsi="宋体" w:eastAsia="宋体" w:cs="宋体"/>
          <w:sz w:val="24"/>
          <w:szCs w:val="24"/>
        </w:rPr>
        <w:t>5.室内使用</w:t>
      </w:r>
    </w:p>
    <w:p>
      <w:pPr>
        <w:pStyle w:val="34"/>
        <w:spacing w:line="360" w:lineRule="auto"/>
        <w:ind w:firstLine="0"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四、服务要求</w:t>
      </w:r>
    </w:p>
    <w:p>
      <w:pPr>
        <w:spacing w:after="0"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1.免费质保期：本次招标设备质保期≧ 1年。</w:t>
      </w:r>
    </w:p>
    <w:p>
      <w:pPr>
        <w:spacing w:after="0"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2.培训：供应商应为采购方进行人员培训，质保期内提供每年不少于1次的设备操作培训，对人员培训不低于3人。 </w:t>
      </w:r>
    </w:p>
    <w:p>
      <w:pPr>
        <w:spacing w:after="0" w:line="360" w:lineRule="auto"/>
        <w:ind w:firstLine="480" w:firstLineChars="200"/>
        <w:rPr>
          <w:rFonts w:asciiTheme="minorEastAsia" w:hAnsiTheme="minorEastAsia" w:eastAsiaTheme="minorEastAsia"/>
          <w:bCs/>
          <w:sz w:val="52"/>
          <w:szCs w:val="52"/>
        </w:rPr>
      </w:pPr>
      <w:r>
        <w:rPr>
          <w:rFonts w:hint="eastAsia" w:asciiTheme="minorEastAsia" w:hAnsiTheme="minorEastAsia" w:eastAsiaTheme="minorEastAsia"/>
          <w:bCs/>
          <w:sz w:val="24"/>
          <w:szCs w:val="24"/>
        </w:rPr>
        <w:t>3.响应时间：24小时内响应，48小时内上门技术或维修服务。</w:t>
      </w:r>
    </w:p>
    <w:p>
      <w:pPr>
        <w:spacing w:after="0"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4.售后技术服务要求：提供详细的售后服务计划，在仪器有售后服务技术需求时，即时提供电话或网络技术支援服务，电话或网络技术服务无法解决时提供上门技术或维修服务。</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五、安装要求</w:t>
      </w:r>
    </w:p>
    <w:p>
      <w:pPr>
        <w:spacing w:after="0"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1、按照国家现行行业规范标准进行安装，符合国家或行业质量检验评定标准，没有行业标准的产品，投标人应提供相关制造商标准。</w:t>
      </w:r>
    </w:p>
    <w:p>
      <w:pPr>
        <w:spacing w:after="0"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2、设备安装调试：设备到货后，卖方在接到通知的7个工作日内派人前往负责该设备的安装、调试和操作培训，直至达到各项验收指标合格。</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六、</w:t>
      </w:r>
      <w:r>
        <w:rPr>
          <w:rFonts w:asciiTheme="minorEastAsia" w:hAnsiTheme="minorEastAsia" w:eastAsiaTheme="minorEastAsia"/>
          <w:b/>
          <w:bCs/>
          <w:sz w:val="24"/>
          <w:szCs w:val="24"/>
        </w:rPr>
        <w:t>交货期、交货方式及交货地点</w:t>
      </w:r>
    </w:p>
    <w:p>
      <w:pPr>
        <w:spacing w:after="0"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 交货期：合同签订生效后，进口设备（免税）三个月内、国产设备及进口设备（非免税）一个月内全部设备、材料运抵现场，并安装、调试结束，验收合格，交付买方使用</w:t>
      </w:r>
    </w:p>
    <w:p>
      <w:pPr>
        <w:spacing w:after="0"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 交货方式：中标人在买方指定地点交货，并完成安装、验收。</w:t>
      </w:r>
    </w:p>
    <w:p>
      <w:pPr>
        <w:spacing w:after="0" w:line="360" w:lineRule="auto"/>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bCs/>
          <w:sz w:val="24"/>
          <w:szCs w:val="24"/>
        </w:rPr>
        <w:t>3. 交货地点：南京医科大学。</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七、</w:t>
      </w:r>
      <w:r>
        <w:rPr>
          <w:rFonts w:asciiTheme="minorEastAsia" w:hAnsiTheme="minorEastAsia" w:eastAsiaTheme="minorEastAsia"/>
          <w:b/>
          <w:bCs/>
          <w:sz w:val="24"/>
          <w:szCs w:val="24"/>
        </w:rPr>
        <w:t>货款支付</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合同签订后支付合同金额的90%，货到安装验收合格后支付合同金额的10%。</w:t>
      </w:r>
    </w:p>
    <w:p>
      <w:pPr>
        <w:spacing w:line="360" w:lineRule="auto"/>
        <w:ind w:firstLine="480" w:firstLineChars="200"/>
        <w:rPr>
          <w:rFonts w:asciiTheme="minorEastAsia" w:hAnsiTheme="minorEastAsia" w:eastAsiaTheme="minorEastAsia"/>
          <w:bCs/>
          <w:sz w:val="24"/>
          <w:szCs w:val="24"/>
        </w:rPr>
      </w:pPr>
    </w:p>
    <w:p>
      <w:pPr>
        <w:pStyle w:val="2"/>
        <w:keepNext w:val="0"/>
        <w:keepLines/>
        <w:spacing w:line="360" w:lineRule="auto"/>
        <w:jc w:val="both"/>
        <w:rPr>
          <w:rFonts w:ascii="宋体" w:hAnsi="宋体" w:eastAsia="宋体"/>
          <w:b/>
          <w:bCs/>
          <w:sz w:val="44"/>
          <w:szCs w:val="44"/>
        </w:rPr>
      </w:pPr>
      <w:bookmarkStart w:id="167" w:name="_Toc401414769"/>
    </w:p>
    <w:p>
      <w:pPr>
        <w:rPr>
          <w:rFonts w:ascii="宋体" w:hAnsi="宋体" w:eastAsia="宋体"/>
          <w:b/>
          <w:bCs/>
          <w:sz w:val="44"/>
          <w:szCs w:val="44"/>
        </w:rPr>
      </w:pPr>
      <w:bookmarkStart w:id="168" w:name="_Toc523931348"/>
      <w:r>
        <w:rPr>
          <w:rFonts w:hint="eastAsia" w:ascii="宋体" w:hAnsi="宋体" w:eastAsia="宋体"/>
          <w:b/>
          <w:bCs/>
          <w:sz w:val="44"/>
          <w:szCs w:val="44"/>
        </w:rPr>
        <w:br w:type="page"/>
      </w:r>
    </w:p>
    <w:p>
      <w:pPr>
        <w:pStyle w:val="2"/>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68"/>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一、评标方法与定标原则</w:t>
      </w:r>
    </w:p>
    <w:p>
      <w:pPr>
        <w:pStyle w:val="28"/>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二、评标标准</w:t>
      </w:r>
    </w:p>
    <w:p>
      <w:pPr>
        <w:spacing w:after="0" w:line="360" w:lineRule="auto"/>
        <w:ind w:firstLine="480" w:firstLineChars="200"/>
      </w:pPr>
      <w:r>
        <w:rPr>
          <w:rFonts w:asciiTheme="minorEastAsia" w:hAnsiTheme="minorEastAsia" w:eastAsiaTheme="minorEastAsia"/>
          <w:bCs/>
          <w:sz w:val="24"/>
          <w:szCs w:val="24"/>
        </w:rPr>
        <w:t>本项目采用综合评分法确定中标候选人。评标委员会将按下列评分办法和标准进行评分，总分值为100分。</w:t>
      </w:r>
    </w:p>
    <w:bookmarkEnd w:id="167"/>
    <w:tbl>
      <w:tblPr>
        <w:tblStyle w:val="20"/>
        <w:tblpPr w:leftFromText="180" w:rightFromText="180" w:vertAnchor="text" w:horzAnchor="page" w:tblpXSpec="center" w:tblpY="814"/>
        <w:tblOverlap w:val="never"/>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27"/>
        <w:gridCol w:w="5218"/>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序号</w:t>
            </w:r>
          </w:p>
        </w:tc>
        <w:tc>
          <w:tcPr>
            <w:tcW w:w="1727"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评分项目</w:t>
            </w:r>
          </w:p>
        </w:tc>
        <w:tc>
          <w:tcPr>
            <w:tcW w:w="521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评分标准</w:t>
            </w:r>
          </w:p>
        </w:tc>
        <w:tc>
          <w:tcPr>
            <w:tcW w:w="903"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Theme="minorEastAsia" w:hAnsiTheme="minorEastAsia" w:eastAsiaTheme="minorEastAsia"/>
                <w:bCs/>
                <w:sz w:val="24"/>
                <w:szCs w:val="24"/>
              </w:rPr>
            </w:pP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价格</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（30分）</w:t>
            </w:r>
          </w:p>
          <w:p>
            <w:pPr>
              <w:spacing w:line="360" w:lineRule="auto"/>
              <w:ind w:firstLine="480" w:firstLineChars="200"/>
              <w:jc w:val="center"/>
              <w:rPr>
                <w:rFonts w:asciiTheme="minorEastAsia" w:hAnsiTheme="minorEastAsia" w:eastAsiaTheme="minorEastAsia"/>
                <w:bCs/>
                <w:sz w:val="24"/>
                <w:szCs w:val="24"/>
              </w:rPr>
            </w:pPr>
          </w:p>
        </w:tc>
        <w:tc>
          <w:tcPr>
            <w:tcW w:w="521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ind w:left="110" w:leftChars="50" w:right="110" w:rightChars="50"/>
              <w:rPr>
                <w:rFonts w:asciiTheme="minorEastAsia" w:hAnsiTheme="minorEastAsia" w:eastAsiaTheme="minorEastAsia"/>
                <w:bCs/>
                <w:sz w:val="24"/>
                <w:szCs w:val="24"/>
              </w:rPr>
            </w:pPr>
            <w:r>
              <w:rPr>
                <w:rFonts w:hint="eastAsia" w:asciiTheme="minorEastAsia" w:hAnsiTheme="minorEastAsia" w:eastAsiaTheme="minorEastAsia"/>
                <w:bCs/>
                <w:sz w:val="24"/>
                <w:szCs w:val="24"/>
              </w:rPr>
              <w:t>价格分采用低价优先法计算，满足招标文件要求，进入详细评审的各投标人报价的最低值为评标基准价A值，A值为价格分的满分，即30分。其他投标人的价格分统一按照以下公式计算：投标人评标价得分=（A／该投标人评标价）×30（保留小数点后两位）。</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36"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1727"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技术响应情况</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（56分）</w:t>
            </w:r>
          </w:p>
        </w:tc>
        <w:tc>
          <w:tcPr>
            <w:tcW w:w="521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ind w:left="110" w:leftChars="50" w:right="110" w:rightChars="50"/>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投标产品对招标文件具体需求的响应程度：完全响应得56分；带▲号的技术指标为核心指标，</w:t>
            </w:r>
            <w:r>
              <w:rPr>
                <w:rFonts w:hint="eastAsia" w:asciiTheme="minorEastAsia" w:hAnsiTheme="minorEastAsia" w:eastAsiaTheme="minorEastAsia"/>
                <w:bCs/>
                <w:sz w:val="24"/>
                <w:szCs w:val="24"/>
                <w:lang w:val="zh-CN"/>
              </w:rPr>
              <w:t>如带“▲”条款存在负偏离，作无效投标处理。</w:t>
            </w:r>
            <w:r>
              <w:rPr>
                <w:rFonts w:hint="eastAsia" w:asciiTheme="minorEastAsia" w:hAnsiTheme="minorEastAsia" w:eastAsiaTheme="minorEastAsia"/>
                <w:bCs/>
                <w:sz w:val="24"/>
                <w:szCs w:val="24"/>
              </w:rPr>
              <w:t>带★号的技术指标为关键指标，</w:t>
            </w:r>
            <w:r>
              <w:rPr>
                <w:rFonts w:hint="eastAsia" w:asciiTheme="minorEastAsia" w:hAnsiTheme="minorEastAsia" w:eastAsiaTheme="minorEastAsia"/>
                <w:bCs/>
                <w:sz w:val="24"/>
                <w:szCs w:val="24"/>
                <w:lang w:val="zh-CN"/>
              </w:rPr>
              <w:t>如带“</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zh-CN"/>
              </w:rPr>
              <w:t>”条款存在负偏离，</w:t>
            </w:r>
            <w:r>
              <w:rPr>
                <w:rFonts w:hint="eastAsia" w:asciiTheme="minorEastAsia" w:hAnsiTheme="minorEastAsia" w:eastAsiaTheme="minorEastAsia"/>
                <w:bCs/>
                <w:sz w:val="24"/>
                <w:szCs w:val="24"/>
              </w:rPr>
              <w:t>负偏离1项扣2分，负偏离≥4条的本项不得分。其他技术指标，负偏离1项扣0.5分，负偏离≥6条的本项不得分。分数扣完为止。</w:t>
            </w:r>
          </w:p>
        </w:tc>
        <w:tc>
          <w:tcPr>
            <w:tcW w:w="903"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同类产品销售业绩（6分）</w:t>
            </w:r>
          </w:p>
        </w:tc>
        <w:tc>
          <w:tcPr>
            <w:tcW w:w="521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ind w:left="110" w:leftChars="50" w:right="110" w:rightChars="50"/>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投标人2021年01月01日以来的类似项目业绩，每提供一个得2分，最高得6分。（请提供有效的加盖公章的合同复印件,原件备查）</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36" w:type="dxa"/>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1727" w:type="dxa"/>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售后服务</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（8分）</w:t>
            </w:r>
          </w:p>
          <w:p>
            <w:pPr>
              <w:spacing w:line="360" w:lineRule="auto"/>
              <w:ind w:firstLine="480" w:firstLineChars="200"/>
              <w:jc w:val="center"/>
              <w:rPr>
                <w:rFonts w:asciiTheme="minorEastAsia" w:hAnsiTheme="minorEastAsia" w:eastAsiaTheme="minorEastAsia"/>
                <w:bCs/>
                <w:sz w:val="24"/>
                <w:szCs w:val="24"/>
              </w:rPr>
            </w:pPr>
          </w:p>
        </w:tc>
        <w:tc>
          <w:tcPr>
            <w:tcW w:w="521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ind w:left="110" w:leftChars="50" w:right="110" w:rightChars="50"/>
              <w:rPr>
                <w:rFonts w:asciiTheme="minorEastAsia" w:hAnsiTheme="minorEastAsia" w:eastAsiaTheme="minorEastAsia"/>
                <w:bCs/>
                <w:sz w:val="24"/>
                <w:szCs w:val="24"/>
              </w:rPr>
            </w:pPr>
            <w:r>
              <w:rPr>
                <w:rFonts w:hint="eastAsia" w:asciiTheme="minorEastAsia" w:hAnsiTheme="minorEastAsia" w:eastAsiaTheme="minorEastAsia"/>
                <w:bCs/>
                <w:sz w:val="24"/>
                <w:szCs w:val="24"/>
              </w:rPr>
              <w:t>售后服务方案：售后服务体系、售后服务承诺、质保期内的售后服务范围、质保期满后的售后服务范围和收费情况、备品备件的承诺。</w:t>
            </w:r>
          </w:p>
          <w:p>
            <w:pPr>
              <w:spacing w:before="120" w:beforeLines="50" w:after="120" w:afterLines="50" w:line="360" w:lineRule="auto"/>
              <w:ind w:left="110" w:leftChars="50" w:right="110" w:rightChars="50"/>
              <w:rPr>
                <w:rFonts w:asciiTheme="minorEastAsia" w:hAnsiTheme="minorEastAsia" w:eastAsiaTheme="minorEastAsia"/>
                <w:bCs/>
                <w:sz w:val="24"/>
                <w:szCs w:val="24"/>
              </w:rPr>
            </w:pPr>
            <w:r>
              <w:rPr>
                <w:rFonts w:hint="eastAsia" w:asciiTheme="minorEastAsia" w:hAnsiTheme="minorEastAsia" w:eastAsiaTheme="minorEastAsia"/>
                <w:bCs/>
                <w:sz w:val="24"/>
                <w:szCs w:val="24"/>
              </w:rPr>
              <w:t>服务体系完整、详细、提供的故障解决方案合理可行，售后应答及时得6分；</w:t>
            </w:r>
          </w:p>
          <w:p>
            <w:pPr>
              <w:spacing w:before="120" w:beforeLines="50" w:after="120" w:afterLines="50" w:line="360" w:lineRule="auto"/>
              <w:ind w:left="110" w:leftChars="50" w:right="110" w:rightChars="50"/>
              <w:rPr>
                <w:rFonts w:asciiTheme="minorEastAsia" w:hAnsiTheme="minorEastAsia" w:eastAsiaTheme="minorEastAsia"/>
                <w:bCs/>
                <w:sz w:val="24"/>
                <w:szCs w:val="24"/>
              </w:rPr>
            </w:pPr>
            <w:r>
              <w:rPr>
                <w:rFonts w:hint="eastAsia" w:asciiTheme="minorEastAsia" w:hAnsiTheme="minorEastAsia" w:eastAsiaTheme="minorEastAsia"/>
                <w:bCs/>
                <w:sz w:val="24"/>
                <w:szCs w:val="24"/>
              </w:rPr>
              <w:t>服务体系较完整、较详细、较合理可行，售后应答较及时得3分；</w:t>
            </w:r>
          </w:p>
          <w:p>
            <w:pPr>
              <w:spacing w:before="120" w:beforeLines="50" w:after="120" w:afterLines="50" w:line="360" w:lineRule="auto"/>
              <w:ind w:left="110" w:leftChars="50" w:right="110" w:rightChars="50"/>
              <w:rPr>
                <w:rFonts w:asciiTheme="minorEastAsia" w:hAnsiTheme="minorEastAsia" w:eastAsiaTheme="minorEastAsia"/>
                <w:bCs/>
                <w:sz w:val="24"/>
                <w:szCs w:val="24"/>
              </w:rPr>
            </w:pPr>
            <w:r>
              <w:rPr>
                <w:rFonts w:hint="eastAsia" w:asciiTheme="minorEastAsia" w:hAnsiTheme="minorEastAsia" w:eastAsiaTheme="minorEastAsia"/>
                <w:bCs/>
                <w:sz w:val="24"/>
                <w:szCs w:val="24"/>
              </w:rPr>
              <w:t>方案基本完整、基本合理可行、售后应答时间基本及时得1分。</w:t>
            </w:r>
          </w:p>
          <w:p>
            <w:pPr>
              <w:spacing w:before="120" w:beforeLines="50" w:after="120" w:afterLines="50" w:line="360" w:lineRule="auto"/>
              <w:ind w:left="110" w:leftChars="50" w:right="110" w:rightChars="50"/>
              <w:rPr>
                <w:rFonts w:asciiTheme="minorEastAsia" w:hAnsiTheme="minorEastAsia" w:eastAsiaTheme="minorEastAsia"/>
                <w:bCs/>
                <w:sz w:val="24"/>
                <w:szCs w:val="24"/>
              </w:rPr>
            </w:pPr>
            <w:r>
              <w:rPr>
                <w:rFonts w:hint="eastAsia" w:asciiTheme="minorEastAsia" w:hAnsiTheme="minorEastAsia" w:eastAsiaTheme="minorEastAsia"/>
                <w:bCs/>
                <w:sz w:val="24"/>
                <w:szCs w:val="24"/>
              </w:rPr>
              <w:t>其他或无售后方案不得分。</w:t>
            </w:r>
          </w:p>
        </w:tc>
        <w:tc>
          <w:tcPr>
            <w:tcW w:w="903"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36" w:type="dxa"/>
            <w:vMerge w:val="continue"/>
            <w:tcBorders>
              <w:left w:val="single" w:color="auto" w:sz="4" w:space="0"/>
              <w:bottom w:val="single" w:color="auto" w:sz="4" w:space="0"/>
              <w:right w:val="single" w:color="auto" w:sz="4" w:space="0"/>
            </w:tcBorders>
            <w:vAlign w:val="center"/>
          </w:tcPr>
          <w:p>
            <w:pPr>
              <w:spacing w:line="360" w:lineRule="auto"/>
              <w:ind w:firstLine="480" w:firstLineChars="200"/>
              <w:jc w:val="center"/>
              <w:rPr>
                <w:rFonts w:asciiTheme="minorEastAsia" w:hAnsiTheme="minorEastAsia" w:eastAsiaTheme="minorEastAsia"/>
                <w:bCs/>
                <w:sz w:val="24"/>
                <w:szCs w:val="24"/>
              </w:rPr>
            </w:pPr>
          </w:p>
        </w:tc>
        <w:tc>
          <w:tcPr>
            <w:tcW w:w="1727" w:type="dxa"/>
            <w:vMerge w:val="continue"/>
            <w:tcBorders>
              <w:left w:val="single" w:color="auto" w:sz="4" w:space="0"/>
              <w:bottom w:val="single" w:color="auto" w:sz="4" w:space="0"/>
              <w:right w:val="single" w:color="auto" w:sz="4" w:space="0"/>
            </w:tcBorders>
            <w:vAlign w:val="center"/>
          </w:tcPr>
          <w:p>
            <w:pPr>
              <w:spacing w:line="360" w:lineRule="auto"/>
              <w:ind w:firstLine="480" w:firstLineChars="200"/>
              <w:jc w:val="center"/>
              <w:rPr>
                <w:rFonts w:asciiTheme="minorEastAsia" w:hAnsiTheme="minorEastAsia" w:eastAsiaTheme="minorEastAsia"/>
                <w:bCs/>
                <w:sz w:val="24"/>
                <w:szCs w:val="24"/>
              </w:rPr>
            </w:pPr>
          </w:p>
        </w:tc>
        <w:tc>
          <w:tcPr>
            <w:tcW w:w="521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ind w:left="110" w:leftChars="50" w:right="110" w:rightChars="50"/>
              <w:rPr>
                <w:rFonts w:asciiTheme="minorEastAsia" w:hAnsiTheme="minorEastAsia" w:eastAsiaTheme="minorEastAsia"/>
                <w:bCs/>
                <w:sz w:val="24"/>
                <w:szCs w:val="24"/>
              </w:rPr>
            </w:pPr>
            <w:r>
              <w:rPr>
                <w:rFonts w:hint="eastAsia" w:asciiTheme="minorEastAsia" w:hAnsiTheme="minorEastAsia" w:eastAsiaTheme="minorEastAsia"/>
                <w:bCs/>
                <w:sz w:val="24"/>
                <w:szCs w:val="24"/>
              </w:rPr>
              <w:t>免费质保期：项目整体及所有设备满足招标文件免费质保期要求（1年）的得1分，在此基础上整机免费质保期每增加1年加1分，本项最高得2分。如设备质保期不一致按最低质保期计算。</w:t>
            </w:r>
          </w:p>
        </w:tc>
        <w:tc>
          <w:tcPr>
            <w:tcW w:w="903" w:type="dxa"/>
            <w:tcBorders>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881"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auto"/>
              <w:ind w:firstLine="480" w:firstLineChars="200"/>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合计</w:t>
            </w:r>
          </w:p>
        </w:tc>
        <w:tc>
          <w:tcPr>
            <w:tcW w:w="90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100</w:t>
            </w:r>
          </w:p>
        </w:tc>
      </w:tr>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pStyle w:val="2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2"/>
        <w:pageBreakBefore/>
        <w:rPr>
          <w:rFonts w:ascii="宋体" w:hAnsi="宋体" w:eastAsia="宋体"/>
          <w:b/>
          <w:bCs/>
          <w:sz w:val="44"/>
        </w:rPr>
      </w:pPr>
      <w:bookmarkStart w:id="169" w:name="_Toc523931349"/>
      <w:r>
        <w:rPr>
          <w:rFonts w:hint="eastAsia" w:ascii="宋体" w:hAnsi="宋体" w:eastAsia="宋体"/>
          <w:b/>
          <w:bCs/>
          <w:sz w:val="44"/>
        </w:rPr>
        <w:t>第五章  投标文件格式</w:t>
      </w:r>
      <w:bookmarkEnd w:id="169"/>
      <w:r>
        <w:rPr>
          <w:rFonts w:hint="eastAsia" w:ascii="宋体" w:hAnsi="宋体" w:eastAsia="宋体"/>
          <w:b/>
          <w:bCs/>
          <w:sz w:val="44"/>
        </w:rPr>
        <w:t xml:space="preserve"> </w:t>
      </w:r>
    </w:p>
    <w:p>
      <w:pPr>
        <w:jc w:val="center"/>
        <w:rPr>
          <w:rFonts w:ascii="宋体" w:hAnsi="宋体"/>
          <w:b/>
          <w:sz w:val="72"/>
        </w:rPr>
      </w:pPr>
      <w:bookmarkStart w:id="170" w:name="_Hlt26955039"/>
      <w:bookmarkEnd w:id="170"/>
      <w:bookmarkStart w:id="171" w:name="_Hlt26671244"/>
      <w:bookmarkEnd w:id="171"/>
      <w:bookmarkStart w:id="172" w:name="_Toc26554094"/>
      <w:bookmarkStart w:id="173" w:name="_Toc49090576"/>
      <w:bookmarkStart w:id="174" w:name="_Toc120614282"/>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8"/>
        <w:ind w:firstLine="0"/>
        <w:jc w:val="center"/>
        <w:rPr>
          <w:rFonts w:ascii="宋体" w:hAnsi="宋体" w:cs="宋体"/>
          <w:b/>
        </w:rPr>
      </w:pPr>
      <w:bookmarkStart w:id="175" w:name="_Toc517190894"/>
      <w:r>
        <w:rPr>
          <w:rFonts w:hint="eastAsia" w:ascii="宋体" w:hAnsi="宋体" w:cs="宋体"/>
          <w:b/>
        </w:rPr>
        <w:t>投标函格式</w:t>
      </w:r>
      <w:bookmarkEnd w:id="175"/>
    </w:p>
    <w:p>
      <w:pPr>
        <w:pStyle w:val="28"/>
        <w:spacing w:before="0" w:after="0" w:line="420" w:lineRule="exact"/>
        <w:ind w:firstLine="0"/>
        <w:rPr>
          <w:rFonts w:ascii="宋体" w:hAnsi="宋体" w:cs="宋体"/>
          <w:kern w:val="2"/>
        </w:rPr>
      </w:pPr>
      <w:r>
        <w:rPr>
          <w:rFonts w:hint="eastAsia" w:ascii="宋体" w:hAnsi="宋体" w:cs="宋体"/>
          <w:kern w:val="2"/>
        </w:rPr>
        <w:t>致：南京医科大学</w:t>
      </w:r>
    </w:p>
    <w:p>
      <w:pPr>
        <w:pStyle w:val="28"/>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28"/>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28"/>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28"/>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28"/>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28"/>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28"/>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28"/>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28"/>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28"/>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28"/>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28"/>
        <w:spacing w:before="0" w:after="0" w:line="420" w:lineRule="exact"/>
        <w:ind w:left="440" w:leftChars="200" w:firstLine="3000" w:firstLineChars="1250"/>
        <w:rPr>
          <w:rFonts w:ascii="宋体" w:hAnsi="宋体" w:cs="宋体"/>
          <w:kern w:val="2"/>
        </w:rPr>
      </w:pPr>
    </w:p>
    <w:p>
      <w:pPr>
        <w:pStyle w:val="28"/>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120" w:afterLines="50"/>
        <w:rPr>
          <w:rFonts w:ascii="宋体" w:hAnsi="宋体" w:eastAsia="宋体" w:cs="宋体"/>
          <w:sz w:val="24"/>
          <w:szCs w:val="24"/>
        </w:rPr>
      </w:pPr>
    </w:p>
    <w:p>
      <w:pPr>
        <w:pStyle w:val="28"/>
        <w:ind w:firstLine="0"/>
        <w:jc w:val="center"/>
        <w:rPr>
          <w:rFonts w:ascii="宋体" w:hAnsi="宋体" w:cs="宋体"/>
          <w:b/>
        </w:rPr>
      </w:pPr>
      <w:bookmarkStart w:id="176" w:name="_Toc517190895"/>
    </w:p>
    <w:p>
      <w:pPr>
        <w:pStyle w:val="28"/>
        <w:ind w:firstLine="0"/>
        <w:jc w:val="center"/>
        <w:rPr>
          <w:rFonts w:ascii="宋体" w:hAnsi="宋体" w:cs="宋体"/>
          <w:b/>
        </w:rPr>
      </w:pPr>
      <w:r>
        <w:rPr>
          <w:rFonts w:hint="eastAsia" w:ascii="宋体" w:hAnsi="宋体" w:cs="宋体"/>
          <w:b/>
        </w:rPr>
        <w:t>法人授权书</w:t>
      </w:r>
      <w:bookmarkEnd w:id="176"/>
    </w:p>
    <w:p>
      <w:pPr>
        <w:pStyle w:val="44"/>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4"/>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4"/>
        <w:spacing w:line="360" w:lineRule="auto"/>
        <w:ind w:firstLine="480"/>
        <w:rPr>
          <w:rFonts w:ascii="宋体" w:hAnsi="宋体" w:cs="宋体"/>
          <w:sz w:val="24"/>
          <w:szCs w:val="24"/>
        </w:rPr>
      </w:pPr>
      <w:r>
        <w:rPr>
          <w:rFonts w:hint="eastAsia" w:ascii="宋体" w:hAnsi="宋体" w:cs="宋体"/>
          <w:sz w:val="24"/>
          <w:szCs w:val="24"/>
        </w:rPr>
        <w:t>代理人（被授权人）：______________________</w:t>
      </w:r>
    </w:p>
    <w:p>
      <w:pPr>
        <w:pStyle w:val="44"/>
        <w:spacing w:line="360" w:lineRule="auto"/>
        <w:ind w:firstLine="480"/>
        <w:rPr>
          <w:rFonts w:ascii="宋体" w:hAnsi="宋体" w:cs="宋体"/>
          <w:sz w:val="24"/>
          <w:szCs w:val="24"/>
          <w:u w:val="single"/>
        </w:rPr>
      </w:pPr>
      <w:r>
        <w:rPr>
          <w:rFonts w:hint="eastAsia" w:ascii="宋体" w:hAnsi="宋体" w:cs="宋体"/>
          <w:sz w:val="24"/>
          <w:szCs w:val="24"/>
        </w:rPr>
        <w:t>身份证号码：______________________________</w:t>
      </w:r>
    </w:p>
    <w:p>
      <w:pPr>
        <w:pStyle w:val="44"/>
        <w:spacing w:line="360" w:lineRule="auto"/>
        <w:ind w:firstLine="480"/>
        <w:rPr>
          <w:rFonts w:ascii="宋体" w:hAnsi="宋体" w:cs="宋体"/>
          <w:sz w:val="24"/>
          <w:szCs w:val="24"/>
        </w:rPr>
      </w:pPr>
      <w:r>
        <w:rPr>
          <w:rFonts w:hint="eastAsia" w:ascii="宋体" w:hAnsi="宋体" w:cs="宋体"/>
          <w:sz w:val="24"/>
          <w:szCs w:val="24"/>
        </w:rPr>
        <w:t>联系电话：（手机）________________________</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44"/>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4"/>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4"/>
        <w:spacing w:line="360" w:lineRule="auto"/>
        <w:ind w:firstLine="480"/>
        <w:jc w:val="right"/>
        <w:rPr>
          <w:rFonts w:ascii="宋体" w:hAnsi="宋体" w:cs="宋体"/>
          <w:sz w:val="24"/>
          <w:szCs w:val="24"/>
        </w:rPr>
      </w:pPr>
    </w:p>
    <w:p>
      <w:pPr>
        <w:pStyle w:val="44"/>
        <w:spacing w:line="360" w:lineRule="auto"/>
        <w:ind w:firstLine="480"/>
        <w:rPr>
          <w:rFonts w:ascii="宋体" w:hAnsi="宋体" w:cs="宋体"/>
          <w:sz w:val="24"/>
          <w:szCs w:val="24"/>
        </w:rPr>
      </w:pPr>
      <w:r>
        <w:rPr>
          <w:rFonts w:hint="eastAsia" w:ascii="宋体" w:hAnsi="宋体" w:cs="宋体"/>
          <w:sz w:val="24"/>
          <w:szCs w:val="24"/>
        </w:rPr>
        <w:t>法人签字：</w:t>
      </w:r>
    </w:p>
    <w:p>
      <w:pPr>
        <w:pStyle w:val="44"/>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4"/>
        <w:spacing w:line="360" w:lineRule="auto"/>
        <w:ind w:firstLine="480"/>
        <w:jc w:val="right"/>
        <w:rPr>
          <w:rFonts w:ascii="宋体" w:hAnsi="宋体" w:cs="宋体"/>
          <w:sz w:val="24"/>
          <w:szCs w:val="24"/>
        </w:rPr>
      </w:pPr>
    </w:p>
    <w:p>
      <w:pPr>
        <w:pStyle w:val="44"/>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5"/>
        <w:rPr>
          <w:rFonts w:ascii="宋体" w:hAnsi="宋体" w:eastAsia="宋体" w:cs="宋体"/>
          <w:sz w:val="24"/>
          <w:szCs w:val="24"/>
        </w:rPr>
      </w:pPr>
      <w:bookmarkStart w:id="177" w:name="_格式3__银行出具的资信证明"/>
      <w:bookmarkEnd w:id="177"/>
      <w:bookmarkStart w:id="178" w:name="_Hlt26955070"/>
      <w:bookmarkEnd w:id="178"/>
      <w:bookmarkStart w:id="179" w:name="_Hlt26671380"/>
      <w:bookmarkEnd w:id="179"/>
    </w:p>
    <w:p>
      <w:pPr>
        <w:pStyle w:val="3"/>
        <w:rPr>
          <w:rFonts w:ascii="宋体" w:hAnsi="宋体" w:eastAsia="宋体" w:cs="宋体"/>
          <w:sz w:val="24"/>
          <w:szCs w:val="24"/>
        </w:rPr>
      </w:pPr>
    </w:p>
    <w:p>
      <w:pPr>
        <w:pStyle w:val="28"/>
        <w:pageBreakBefore/>
        <w:ind w:firstLine="0"/>
        <w:jc w:val="center"/>
        <w:rPr>
          <w:rFonts w:ascii="宋体" w:hAnsi="宋体" w:cs="宋体"/>
          <w:b/>
        </w:rPr>
      </w:pPr>
      <w:bookmarkStart w:id="180" w:name="_Toc517190896"/>
      <w:r>
        <w:rPr>
          <w:rFonts w:hint="eastAsia" w:ascii="宋体" w:hAnsi="宋体" w:cs="宋体"/>
          <w:b/>
        </w:rPr>
        <w:t>开标一览表</w:t>
      </w:r>
      <w:bookmarkEnd w:id="180"/>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8"/>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28"/>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8"/>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8"/>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8"/>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11"/>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28"/>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0"/>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72"/>
    <w:bookmarkEnd w:id="173"/>
    <w:bookmarkEnd w:id="174"/>
    <w:p>
      <w:pPr>
        <w:jc w:val="center"/>
        <w:rPr>
          <w:rFonts w:ascii="宋体" w:hAnsi="宋体" w:eastAsia="宋体" w:cs="宋体"/>
          <w:b/>
          <w:sz w:val="24"/>
          <w:szCs w:val="24"/>
        </w:rPr>
      </w:pPr>
      <w:bookmarkStart w:id="181"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2" w:name="OLE_LINK9"/>
            <w:bookmarkStart w:id="183" w:name="OLE_LINK10"/>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 xml:space="preserve">无重大违法说明 </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82"/>
      <w:bookmarkEnd w:id="183"/>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5"/>
      </w:pPr>
    </w:p>
    <w:p>
      <w:pPr>
        <w:pStyle w:val="5"/>
      </w:pPr>
    </w:p>
    <w:p>
      <w:pPr>
        <w:pStyle w:val="5"/>
      </w:pPr>
    </w:p>
    <w:p>
      <w:pPr>
        <w:pStyle w:val="5"/>
      </w:pPr>
    </w:p>
    <w:p>
      <w:pPr>
        <w:pStyle w:val="5"/>
      </w:pPr>
    </w:p>
    <w:p>
      <w:pPr>
        <w:pStyle w:val="5"/>
      </w:pPr>
    </w:p>
    <w:p>
      <w:pPr>
        <w:pStyle w:val="5"/>
      </w:pPr>
    </w:p>
    <w:bookmarkEnd w:id="181"/>
    <w:p>
      <w:pPr>
        <w:spacing w:line="360" w:lineRule="auto"/>
        <w:jc w:val="center"/>
        <w:rPr>
          <w:rFonts w:ascii="宋体" w:hAnsi="宋体" w:eastAsia="宋体"/>
          <w:b/>
          <w:bCs/>
          <w:sz w:val="36"/>
          <w:szCs w:val="36"/>
        </w:rPr>
      </w:pPr>
      <w:r>
        <w:rPr>
          <w:rFonts w:hint="eastAsia" w:ascii="宋体" w:hAnsi="宋体" w:eastAsia="宋体"/>
          <w:b/>
          <w:bCs/>
          <w:sz w:val="36"/>
          <w:szCs w:val="36"/>
        </w:rPr>
        <w:t>第六章</w:t>
      </w:r>
      <w:r>
        <w:rPr>
          <w:rFonts w:ascii="宋体" w:hAnsi="宋体" w:eastAsia="宋体"/>
          <w:b/>
          <w:bCs/>
          <w:sz w:val="36"/>
          <w:szCs w:val="36"/>
        </w:rPr>
        <w:t xml:space="preserve">  </w:t>
      </w:r>
      <w:r>
        <w:rPr>
          <w:rFonts w:hint="eastAsia" w:ascii="宋体" w:hAnsi="宋体" w:eastAsia="宋体"/>
          <w:b/>
          <w:sz w:val="32"/>
        </w:rPr>
        <w:t>拟签订的合同文本</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2"/>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2"/>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0"/>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2"/>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2.1结算方式：</w:t>
      </w:r>
      <w:r>
        <w:rPr>
          <w:rFonts w:hint="eastAsia" w:hAnsi="宋体" w:eastAsia="宋体"/>
          <w:sz w:val="24"/>
          <w:szCs w:val="28"/>
        </w:rPr>
        <w:t>（请根据实际情况选择和修改）</w:t>
      </w:r>
    </w:p>
    <w:p>
      <w:pPr>
        <w:pStyle w:val="12"/>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且安装、调试后，并通过验收后一周内甲方支付合同总金额的90%，付款之前需收到乙方开具的合法有效的相应金额发票；自验收合格次日起，甲方正常使用满一年后的一周内，支付剩余合同总金额的10%。</w:t>
      </w:r>
    </w:p>
    <w:p>
      <w:pPr>
        <w:pStyle w:val="12"/>
        <w:spacing w:before="120" w:after="120" w:line="330" w:lineRule="atLeast"/>
        <w:ind w:firstLine="480" w:firstLineChars="200"/>
        <w:rPr>
          <w:rFonts w:hAnsi="宋体" w:eastAsia="宋体"/>
          <w:sz w:val="24"/>
          <w:szCs w:val="28"/>
        </w:rPr>
      </w:pPr>
      <w:r>
        <w:rPr>
          <w:rFonts w:hAnsi="宋体" w:eastAsia="宋体"/>
          <w:sz w:val="24"/>
          <w:szCs w:val="28"/>
        </w:rPr>
        <w:t>B</w:t>
      </w:r>
      <w:r>
        <w:rPr>
          <w:rFonts w:hint="eastAsia" w:hAnsi="宋体" w:eastAsia="宋体"/>
          <w:sz w:val="24"/>
          <w:szCs w:val="28"/>
        </w:rPr>
        <w:t>【进口设备（免税）】</w:t>
      </w:r>
      <w:r>
        <w:rPr>
          <w:rFonts w:hAnsi="宋体" w:eastAsia="宋体"/>
          <w:sz w:val="24"/>
          <w:szCs w:val="28"/>
        </w:rPr>
        <w:t>：根据委托代理进口协议，甲方与外贸代理公司</w:t>
      </w:r>
      <w:r>
        <w:rPr>
          <w:rFonts w:hint="eastAsia" w:hAnsi="宋体" w:eastAsia="宋体"/>
          <w:sz w:val="24"/>
          <w:szCs w:val="28"/>
        </w:rPr>
        <w:t>(</w:t>
      </w:r>
      <w:r>
        <w:rPr>
          <w:rFonts w:hint="eastAsia" w:hAnsi="宋体" w:eastAsia="宋体"/>
          <w:sz w:val="24"/>
          <w:szCs w:val="28"/>
          <w:u w:val="single"/>
        </w:rPr>
        <w:t xml:space="preserve">         </w:t>
      </w:r>
      <w:r>
        <w:rPr>
          <w:rFonts w:hint="eastAsia" w:hAnsi="宋体" w:eastAsia="宋体"/>
          <w:sz w:val="24"/>
          <w:szCs w:val="28"/>
        </w:rPr>
        <w:t>)</w:t>
      </w:r>
      <w:r>
        <w:rPr>
          <w:rFonts w:hAnsi="宋体" w:eastAsia="宋体"/>
          <w:sz w:val="24"/>
          <w:szCs w:val="28"/>
        </w:rPr>
        <w:t>进行结算。</w:t>
      </w:r>
    </w:p>
    <w:p>
      <w:pPr>
        <w:pStyle w:val="12"/>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2"/>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2"/>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2"/>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2"/>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2"/>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2"/>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2"/>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2"/>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2"/>
        <w:spacing w:before="120" w:after="120" w:line="330" w:lineRule="atLeast"/>
        <w:ind w:firstLine="480" w:firstLineChars="200"/>
        <w:rPr>
          <w:rFonts w:hAnsi="宋体" w:eastAsia="宋体"/>
          <w:sz w:val="24"/>
          <w:szCs w:val="24"/>
        </w:rPr>
      </w:pPr>
      <w:r>
        <w:rPr>
          <w:rFonts w:hint="eastAsia" w:hAnsi="宋体" w:eastAsia="宋体"/>
          <w:sz w:val="24"/>
          <w:szCs w:val="24"/>
        </w:rPr>
        <w:t>五、</w:t>
      </w:r>
      <w:r>
        <w:rPr>
          <w:rFonts w:hAnsi="宋体" w:eastAsia="宋体"/>
          <w:b/>
          <w:sz w:val="24"/>
          <w:szCs w:val="24"/>
        </w:rPr>
        <w:t>质量保证及售后服务</w:t>
      </w:r>
    </w:p>
    <w:p>
      <w:pPr>
        <w:pStyle w:val="12"/>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2"/>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2"/>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2"/>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2"/>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2"/>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2"/>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2"/>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2"/>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2"/>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2"/>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w:t>
      </w:r>
      <w:r>
        <w:rPr>
          <w:rFonts w:hAnsi="宋体" w:eastAsia="宋体"/>
          <w:sz w:val="24"/>
          <w:szCs w:val="24"/>
        </w:rPr>
        <w:t>合同法》有关条文执行。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12"/>
        <w:spacing w:before="120" w:after="120" w:line="330" w:lineRule="atLeast"/>
        <w:ind w:firstLine="480" w:firstLineChars="200"/>
        <w:rPr>
          <w:rFonts w:hAnsi="宋体" w:eastAsia="宋体"/>
          <w:sz w:val="28"/>
          <w:szCs w:val="28"/>
        </w:rPr>
      </w:pPr>
      <w:r>
        <w:rPr>
          <w:rFonts w:hAnsi="宋体" w:eastAsia="宋体"/>
          <w:sz w:val="24"/>
          <w:szCs w:val="24"/>
        </w:rPr>
        <w:t xml:space="preserve">12.4 </w:t>
      </w:r>
      <w:r>
        <w:rPr>
          <w:rFonts w:hint="eastAsia" w:hAnsi="宋体" w:eastAsia="宋体"/>
          <w:sz w:val="24"/>
          <w:szCs w:val="24"/>
        </w:rPr>
        <w:t>其他：。</w:t>
      </w:r>
    </w:p>
    <w:p>
      <w:pPr>
        <w:pStyle w:val="12"/>
        <w:spacing w:before="120" w:after="120" w:line="330" w:lineRule="atLeas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2"/>
        <w:spacing w:before="120" w:after="120" w:line="330" w:lineRule="atLeas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2"/>
        <w:spacing w:before="120" w:after="120" w:line="330" w:lineRule="atLeas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2"/>
        <w:spacing w:before="120" w:after="120" w:line="330" w:lineRule="atLeast"/>
        <w:rPr>
          <w:rFonts w:hAnsi="宋体" w:eastAsia="宋体"/>
          <w:sz w:val="24"/>
          <w:szCs w:val="28"/>
        </w:rPr>
      </w:pPr>
      <w:r>
        <w:rPr>
          <w:rFonts w:hint="eastAsia" w:hAnsi="宋体" w:eastAsia="宋体"/>
          <w:sz w:val="24"/>
          <w:szCs w:val="28"/>
        </w:rPr>
        <w:t>联系电话：                                  联系电话：</w:t>
      </w:r>
    </w:p>
    <w:p>
      <w:pPr>
        <w:pStyle w:val="19"/>
        <w:ind w:firstLine="0" w:firstLineChars="0"/>
      </w:pPr>
    </w:p>
    <w:p>
      <w:pPr>
        <w:pStyle w:val="28"/>
        <w:ind w:firstLine="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ascii="宋体" w:hAnsi="宋体"/>
      </w:rPr>
    </w:pPr>
    <w:r>
      <w:rPr>
        <w:rFonts w:ascii="宋体" w:hAnsi="宋体"/>
      </w:rPr>
      <w:fldChar w:fldCharType="begin"/>
    </w:r>
    <w:r>
      <w:rPr>
        <w:rStyle w:val="22"/>
        <w:rFonts w:ascii="宋体" w:hAnsi="宋体"/>
      </w:rPr>
      <w:instrText xml:space="preserve">PAGE  </w:instrText>
    </w:r>
    <w:r>
      <w:rPr>
        <w:rFonts w:ascii="宋体" w:hAnsi="宋体"/>
      </w:rPr>
      <w:fldChar w:fldCharType="separate"/>
    </w:r>
    <w:r>
      <w:rPr>
        <w:rStyle w:val="22"/>
        <w:rFonts w:ascii="宋体" w:hAnsi="宋体"/>
      </w:rPr>
      <w:t>27</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pStyle w:val="3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D31D50"/>
    <w:rsid w:val="00016389"/>
    <w:rsid w:val="00026CA5"/>
    <w:rsid w:val="000458DB"/>
    <w:rsid w:val="000508AB"/>
    <w:rsid w:val="00050D10"/>
    <w:rsid w:val="0005267F"/>
    <w:rsid w:val="00053D8C"/>
    <w:rsid w:val="0008466D"/>
    <w:rsid w:val="0009546A"/>
    <w:rsid w:val="000B08EC"/>
    <w:rsid w:val="000B0E83"/>
    <w:rsid w:val="000B538B"/>
    <w:rsid w:val="000D0163"/>
    <w:rsid w:val="00101A8A"/>
    <w:rsid w:val="001225B3"/>
    <w:rsid w:val="00124A3C"/>
    <w:rsid w:val="00141840"/>
    <w:rsid w:val="0016026B"/>
    <w:rsid w:val="00167738"/>
    <w:rsid w:val="0018443B"/>
    <w:rsid w:val="001925D7"/>
    <w:rsid w:val="001A049C"/>
    <w:rsid w:val="001B6A78"/>
    <w:rsid w:val="001C20DD"/>
    <w:rsid w:val="001C4B26"/>
    <w:rsid w:val="001D0768"/>
    <w:rsid w:val="001E4020"/>
    <w:rsid w:val="001F4F63"/>
    <w:rsid w:val="0020432E"/>
    <w:rsid w:val="002070F5"/>
    <w:rsid w:val="00232127"/>
    <w:rsid w:val="002327D4"/>
    <w:rsid w:val="00272CB4"/>
    <w:rsid w:val="002B2FBB"/>
    <w:rsid w:val="002D2055"/>
    <w:rsid w:val="002D616B"/>
    <w:rsid w:val="002E26AA"/>
    <w:rsid w:val="00300F88"/>
    <w:rsid w:val="00323B43"/>
    <w:rsid w:val="00327947"/>
    <w:rsid w:val="00347E27"/>
    <w:rsid w:val="0036460C"/>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58AB"/>
    <w:rsid w:val="0043654C"/>
    <w:rsid w:val="004419B2"/>
    <w:rsid w:val="0044705E"/>
    <w:rsid w:val="004808C6"/>
    <w:rsid w:val="004A4F2D"/>
    <w:rsid w:val="004E3402"/>
    <w:rsid w:val="004F5C9E"/>
    <w:rsid w:val="005059E0"/>
    <w:rsid w:val="005129DB"/>
    <w:rsid w:val="00515D43"/>
    <w:rsid w:val="00542987"/>
    <w:rsid w:val="00582977"/>
    <w:rsid w:val="005866DD"/>
    <w:rsid w:val="00590D7C"/>
    <w:rsid w:val="005A5F50"/>
    <w:rsid w:val="005B00B9"/>
    <w:rsid w:val="005B44B4"/>
    <w:rsid w:val="0060453F"/>
    <w:rsid w:val="006045FD"/>
    <w:rsid w:val="006411FE"/>
    <w:rsid w:val="00657B2C"/>
    <w:rsid w:val="00663D89"/>
    <w:rsid w:val="00681F07"/>
    <w:rsid w:val="006A096A"/>
    <w:rsid w:val="006A112C"/>
    <w:rsid w:val="006C6B1D"/>
    <w:rsid w:val="00710E53"/>
    <w:rsid w:val="0071106B"/>
    <w:rsid w:val="007178CD"/>
    <w:rsid w:val="00725153"/>
    <w:rsid w:val="00747556"/>
    <w:rsid w:val="00792482"/>
    <w:rsid w:val="0079316D"/>
    <w:rsid w:val="007947E9"/>
    <w:rsid w:val="007A58F8"/>
    <w:rsid w:val="007F18E6"/>
    <w:rsid w:val="007F226B"/>
    <w:rsid w:val="00830E76"/>
    <w:rsid w:val="00841379"/>
    <w:rsid w:val="0085068C"/>
    <w:rsid w:val="008545FA"/>
    <w:rsid w:val="008940B1"/>
    <w:rsid w:val="008B1021"/>
    <w:rsid w:val="008B154E"/>
    <w:rsid w:val="008B7726"/>
    <w:rsid w:val="008F5952"/>
    <w:rsid w:val="008F6FC4"/>
    <w:rsid w:val="008F7663"/>
    <w:rsid w:val="00901E4A"/>
    <w:rsid w:val="00914B43"/>
    <w:rsid w:val="00917C9A"/>
    <w:rsid w:val="009330FF"/>
    <w:rsid w:val="00937A6C"/>
    <w:rsid w:val="00954E6B"/>
    <w:rsid w:val="009569A2"/>
    <w:rsid w:val="00985BBC"/>
    <w:rsid w:val="0099642C"/>
    <w:rsid w:val="009B4528"/>
    <w:rsid w:val="009D140B"/>
    <w:rsid w:val="009E1102"/>
    <w:rsid w:val="009E4FC4"/>
    <w:rsid w:val="009E5541"/>
    <w:rsid w:val="00A02CA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A5C"/>
    <w:rsid w:val="00BD2AED"/>
    <w:rsid w:val="00BD6A49"/>
    <w:rsid w:val="00BD77ED"/>
    <w:rsid w:val="00BE0391"/>
    <w:rsid w:val="00BE7284"/>
    <w:rsid w:val="00BF3F02"/>
    <w:rsid w:val="00C13584"/>
    <w:rsid w:val="00C30C20"/>
    <w:rsid w:val="00C40E65"/>
    <w:rsid w:val="00C541CB"/>
    <w:rsid w:val="00C55166"/>
    <w:rsid w:val="00C76558"/>
    <w:rsid w:val="00C86FD4"/>
    <w:rsid w:val="00D278D7"/>
    <w:rsid w:val="00D31D50"/>
    <w:rsid w:val="00D53633"/>
    <w:rsid w:val="00D55D24"/>
    <w:rsid w:val="00D56CB6"/>
    <w:rsid w:val="00D61AE7"/>
    <w:rsid w:val="00D634CC"/>
    <w:rsid w:val="00D9005C"/>
    <w:rsid w:val="00DA1746"/>
    <w:rsid w:val="00DA4334"/>
    <w:rsid w:val="00DB5FD8"/>
    <w:rsid w:val="00DD78D1"/>
    <w:rsid w:val="00DE05FA"/>
    <w:rsid w:val="00DE421A"/>
    <w:rsid w:val="00DF12D7"/>
    <w:rsid w:val="00E011DE"/>
    <w:rsid w:val="00E14FB9"/>
    <w:rsid w:val="00E31BD3"/>
    <w:rsid w:val="00E34600"/>
    <w:rsid w:val="00E52BFB"/>
    <w:rsid w:val="00E7796D"/>
    <w:rsid w:val="00E81B75"/>
    <w:rsid w:val="00EB187E"/>
    <w:rsid w:val="00F04061"/>
    <w:rsid w:val="00F14151"/>
    <w:rsid w:val="00F30A36"/>
    <w:rsid w:val="00F4455E"/>
    <w:rsid w:val="00F5231B"/>
    <w:rsid w:val="00F64689"/>
    <w:rsid w:val="00F94053"/>
    <w:rsid w:val="00FA4F5F"/>
    <w:rsid w:val="00FB608D"/>
    <w:rsid w:val="00FD4A32"/>
    <w:rsid w:val="00FF44F0"/>
    <w:rsid w:val="00FF7A26"/>
    <w:rsid w:val="013F017A"/>
    <w:rsid w:val="01D9415D"/>
    <w:rsid w:val="02445A7A"/>
    <w:rsid w:val="04844854"/>
    <w:rsid w:val="049975B9"/>
    <w:rsid w:val="05F17CC7"/>
    <w:rsid w:val="062C5DC4"/>
    <w:rsid w:val="063F64EF"/>
    <w:rsid w:val="08137017"/>
    <w:rsid w:val="0A067AB9"/>
    <w:rsid w:val="0D703BC7"/>
    <w:rsid w:val="0D9C55D6"/>
    <w:rsid w:val="0DA87805"/>
    <w:rsid w:val="0FCF40FE"/>
    <w:rsid w:val="11D5049D"/>
    <w:rsid w:val="12694AAA"/>
    <w:rsid w:val="127C6B6A"/>
    <w:rsid w:val="133833D9"/>
    <w:rsid w:val="13A16CBF"/>
    <w:rsid w:val="15681628"/>
    <w:rsid w:val="18897444"/>
    <w:rsid w:val="19183A26"/>
    <w:rsid w:val="19C21C4E"/>
    <w:rsid w:val="1CB02232"/>
    <w:rsid w:val="1E9D624E"/>
    <w:rsid w:val="1F615A66"/>
    <w:rsid w:val="1FD45B0E"/>
    <w:rsid w:val="1FDE464D"/>
    <w:rsid w:val="20052F0F"/>
    <w:rsid w:val="22561DA0"/>
    <w:rsid w:val="23457BEE"/>
    <w:rsid w:val="257B6A85"/>
    <w:rsid w:val="25A71CF8"/>
    <w:rsid w:val="25B83F05"/>
    <w:rsid w:val="28A54BE8"/>
    <w:rsid w:val="2A2878AC"/>
    <w:rsid w:val="2A426494"/>
    <w:rsid w:val="2B2E38BA"/>
    <w:rsid w:val="2B3D38EA"/>
    <w:rsid w:val="2B7A6AFF"/>
    <w:rsid w:val="2C18014C"/>
    <w:rsid w:val="2C46226B"/>
    <w:rsid w:val="2C491D5B"/>
    <w:rsid w:val="2DA3549B"/>
    <w:rsid w:val="2DD13DB6"/>
    <w:rsid w:val="2E3F3416"/>
    <w:rsid w:val="2EE45F66"/>
    <w:rsid w:val="2FD44032"/>
    <w:rsid w:val="303D3985"/>
    <w:rsid w:val="30450A8C"/>
    <w:rsid w:val="30CA3C63"/>
    <w:rsid w:val="326E6078"/>
    <w:rsid w:val="329320C1"/>
    <w:rsid w:val="33B66B8B"/>
    <w:rsid w:val="3518051D"/>
    <w:rsid w:val="366C4688"/>
    <w:rsid w:val="371669D8"/>
    <w:rsid w:val="3723095A"/>
    <w:rsid w:val="37F30DCD"/>
    <w:rsid w:val="39F72DF7"/>
    <w:rsid w:val="3AD0536F"/>
    <w:rsid w:val="3B7B35B3"/>
    <w:rsid w:val="3BC211E2"/>
    <w:rsid w:val="3BF426EE"/>
    <w:rsid w:val="3C0C49FF"/>
    <w:rsid w:val="3CAB7EC8"/>
    <w:rsid w:val="3EB20F1F"/>
    <w:rsid w:val="3F7653D8"/>
    <w:rsid w:val="42B745D5"/>
    <w:rsid w:val="45E06AF9"/>
    <w:rsid w:val="463D6035"/>
    <w:rsid w:val="46FA357B"/>
    <w:rsid w:val="47D63DDA"/>
    <w:rsid w:val="48EE7ABB"/>
    <w:rsid w:val="491A08B0"/>
    <w:rsid w:val="4AB84995"/>
    <w:rsid w:val="4ABE526B"/>
    <w:rsid w:val="4AEA0780"/>
    <w:rsid w:val="4CCB7C2E"/>
    <w:rsid w:val="4D2E0486"/>
    <w:rsid w:val="4E797E21"/>
    <w:rsid w:val="4EDF237F"/>
    <w:rsid w:val="4EF713BA"/>
    <w:rsid w:val="504B57F2"/>
    <w:rsid w:val="52674F44"/>
    <w:rsid w:val="54385FFE"/>
    <w:rsid w:val="5438608E"/>
    <w:rsid w:val="543C792C"/>
    <w:rsid w:val="5485214D"/>
    <w:rsid w:val="55B33C1E"/>
    <w:rsid w:val="57194839"/>
    <w:rsid w:val="57664CC0"/>
    <w:rsid w:val="58E36743"/>
    <w:rsid w:val="594A4899"/>
    <w:rsid w:val="59D614CD"/>
    <w:rsid w:val="59F732C6"/>
    <w:rsid w:val="5C133668"/>
    <w:rsid w:val="5F9E76ED"/>
    <w:rsid w:val="60D55390"/>
    <w:rsid w:val="61C40671"/>
    <w:rsid w:val="61EE5FDE"/>
    <w:rsid w:val="62065A1D"/>
    <w:rsid w:val="622F2F21"/>
    <w:rsid w:val="62D33B51"/>
    <w:rsid w:val="633E7EA2"/>
    <w:rsid w:val="63FC2C34"/>
    <w:rsid w:val="65613696"/>
    <w:rsid w:val="65646CE3"/>
    <w:rsid w:val="662A21BF"/>
    <w:rsid w:val="6764746E"/>
    <w:rsid w:val="67EE6D37"/>
    <w:rsid w:val="694C1F68"/>
    <w:rsid w:val="69A92C6E"/>
    <w:rsid w:val="69B71F24"/>
    <w:rsid w:val="6B2A5B4A"/>
    <w:rsid w:val="6CDA414F"/>
    <w:rsid w:val="6D9263B7"/>
    <w:rsid w:val="6DAD31F1"/>
    <w:rsid w:val="6DBC51E2"/>
    <w:rsid w:val="6DEC7B21"/>
    <w:rsid w:val="6DF36786"/>
    <w:rsid w:val="6F101C89"/>
    <w:rsid w:val="6F5C0A2B"/>
    <w:rsid w:val="70F05E40"/>
    <w:rsid w:val="70F16A74"/>
    <w:rsid w:val="70FC24C5"/>
    <w:rsid w:val="71E511AB"/>
    <w:rsid w:val="71E82A49"/>
    <w:rsid w:val="7294672D"/>
    <w:rsid w:val="73245490"/>
    <w:rsid w:val="73D16A7C"/>
    <w:rsid w:val="74AB629B"/>
    <w:rsid w:val="762D3933"/>
    <w:rsid w:val="77B42785"/>
    <w:rsid w:val="77FC5626"/>
    <w:rsid w:val="786B40D1"/>
    <w:rsid w:val="79F04B91"/>
    <w:rsid w:val="7A4F1C83"/>
    <w:rsid w:val="7C0E40F6"/>
    <w:rsid w:val="7C4D1479"/>
    <w:rsid w:val="7D951CD7"/>
    <w:rsid w:val="7F517E80"/>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6"/>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9"/>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1"/>
    <w:link w:val="30"/>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5"/>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semiHidden/>
    <w:unhideWhenUsed/>
    <w:qFormat/>
    <w:uiPriority w:val="99"/>
  </w:style>
  <w:style w:type="paragraph" w:styleId="8">
    <w:name w:val="Body Text"/>
    <w:basedOn w:val="1"/>
    <w:link w:val="45"/>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qFormat/>
    <w:uiPriority w:val="0"/>
    <w:pPr>
      <w:spacing w:line="440" w:lineRule="exact"/>
      <w:ind w:firstLine="403" w:firstLineChars="192"/>
    </w:pPr>
    <w:rPr>
      <w:rFonts w:ascii="宋体" w:hAnsi="宋体" w:eastAsia="宋体" w:cs="宋体"/>
      <w:szCs w:val="21"/>
    </w:rPr>
  </w:style>
  <w:style w:type="paragraph" w:styleId="10">
    <w:name w:val="envelope return"/>
    <w:basedOn w:val="1"/>
    <w:qFormat/>
    <w:uiPriority w:val="0"/>
    <w:rPr>
      <w:rFonts w:ascii="Arial" w:hAnsi="Arial"/>
    </w:rPr>
  </w:style>
  <w:style w:type="paragraph" w:styleId="11">
    <w:name w:val="index 4"/>
    <w:basedOn w:val="1"/>
    <w:next w:val="1"/>
    <w:qFormat/>
    <w:uiPriority w:val="99"/>
    <w:pPr>
      <w:ind w:left="600" w:leftChars="600"/>
    </w:pPr>
    <w:rPr>
      <w:rFonts w:cs="Times New Roman"/>
    </w:rPr>
  </w:style>
  <w:style w:type="paragraph" w:styleId="12">
    <w:name w:val="Plain Text"/>
    <w:basedOn w:val="1"/>
    <w:link w:val="39"/>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46"/>
    <w:semiHidden/>
    <w:unhideWhenUsed/>
    <w:qFormat/>
    <w:uiPriority w:val="99"/>
    <w:pPr>
      <w:spacing w:after="0"/>
    </w:pPr>
    <w:rPr>
      <w:sz w:val="18"/>
      <w:szCs w:val="18"/>
    </w:rPr>
  </w:style>
  <w:style w:type="paragraph" w:styleId="14">
    <w:name w:val="footer"/>
    <w:basedOn w:val="1"/>
    <w:link w:val="25"/>
    <w:unhideWhenUsed/>
    <w:qFormat/>
    <w:uiPriority w:val="99"/>
    <w:pPr>
      <w:tabs>
        <w:tab w:val="center" w:pos="4153"/>
        <w:tab w:val="right" w:pos="8306"/>
      </w:tabs>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7">
    <w:name w:val="Normal (Web)"/>
    <w:basedOn w:val="1"/>
    <w:qFormat/>
    <w:uiPriority w:val="99"/>
    <w:pPr>
      <w:spacing w:before="100" w:beforeAutospacing="1" w:after="100" w:afterAutospacing="1"/>
    </w:pPr>
    <w:rPr>
      <w:rFonts w:ascii="宋体" w:hAnsi="宋体" w:cs="宋体"/>
      <w:sz w:val="24"/>
      <w:szCs w:val="24"/>
    </w:rPr>
  </w:style>
  <w:style w:type="paragraph" w:styleId="18">
    <w:name w:val="Title"/>
    <w:basedOn w:val="1"/>
    <w:next w:val="1"/>
    <w:link w:val="36"/>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2"/>
    <w:basedOn w:val="9"/>
    <w:next w:val="1"/>
    <w:qFormat/>
    <w:uiPriority w:val="99"/>
    <w:pPr>
      <w:widowControl w:val="0"/>
      <w:ind w:firstLine="420" w:firstLineChars="200"/>
      <w:jc w:val="both"/>
    </w:pPr>
    <w:rPr>
      <w:rFonts w:ascii="Calibri" w:hAnsi="Calibri" w:cs="Calibri"/>
      <w:kern w:val="2"/>
      <w:sz w:val="21"/>
    </w:rPr>
  </w:style>
  <w:style w:type="character" w:styleId="22">
    <w:name w:val="page number"/>
    <w:basedOn w:val="21"/>
    <w:qFormat/>
    <w:uiPriority w:val="0"/>
  </w:style>
  <w:style w:type="character" w:styleId="23">
    <w:name w:val="Hyperlink"/>
    <w:qFormat/>
    <w:uiPriority w:val="99"/>
    <w:rPr>
      <w:color w:val="0000FF"/>
      <w:u w:val="single"/>
    </w:rPr>
  </w:style>
  <w:style w:type="character" w:customStyle="1" w:styleId="24">
    <w:name w:val="页眉 字符"/>
    <w:basedOn w:val="21"/>
    <w:link w:val="15"/>
    <w:qFormat/>
    <w:uiPriority w:val="99"/>
    <w:rPr>
      <w:rFonts w:ascii="Tahoma" w:hAnsi="Tahoma"/>
      <w:sz w:val="18"/>
      <w:szCs w:val="18"/>
    </w:rPr>
  </w:style>
  <w:style w:type="character" w:customStyle="1" w:styleId="25">
    <w:name w:val="页脚 字符"/>
    <w:basedOn w:val="21"/>
    <w:link w:val="14"/>
    <w:qFormat/>
    <w:uiPriority w:val="99"/>
    <w:rPr>
      <w:rFonts w:ascii="Tahoma" w:hAnsi="Tahoma"/>
      <w:sz w:val="18"/>
      <w:szCs w:val="18"/>
    </w:rPr>
  </w:style>
  <w:style w:type="character" w:customStyle="1" w:styleId="26">
    <w:name w:val="标题 1 字符"/>
    <w:basedOn w:val="21"/>
    <w:link w:val="2"/>
    <w:qFormat/>
    <w:uiPriority w:val="9"/>
    <w:rPr>
      <w:rFonts w:ascii="楷体_GB2312" w:hAnsi="Times New Roman" w:eastAsia="楷体_GB2312" w:cs="Times New Roman"/>
      <w:kern w:val="2"/>
      <w:sz w:val="28"/>
      <w:szCs w:val="28"/>
    </w:rPr>
  </w:style>
  <w:style w:type="paragraph" w:customStyle="1" w:styleId="2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8">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9">
    <w:name w:val="标题 3 字符"/>
    <w:basedOn w:val="21"/>
    <w:link w:val="4"/>
    <w:qFormat/>
    <w:uiPriority w:val="0"/>
    <w:rPr>
      <w:rFonts w:ascii="Times New Roman" w:hAnsi="Times New Roman" w:eastAsia="宋体" w:cs="Times New Roman"/>
      <w:b/>
      <w:bCs/>
      <w:kern w:val="2"/>
      <w:sz w:val="32"/>
      <w:szCs w:val="32"/>
    </w:rPr>
  </w:style>
  <w:style w:type="character" w:customStyle="1" w:styleId="30">
    <w:name w:val="标题 4 字符"/>
    <w:basedOn w:val="21"/>
    <w:link w:val="6"/>
    <w:qFormat/>
    <w:uiPriority w:val="9"/>
    <w:rPr>
      <w:rFonts w:ascii="Arial" w:hAnsi="Arial" w:eastAsia="黑体" w:cs="Arial"/>
      <w:b/>
      <w:bCs/>
      <w:kern w:val="2"/>
      <w:sz w:val="28"/>
      <w:szCs w:val="28"/>
    </w:rPr>
  </w:style>
  <w:style w:type="character" w:customStyle="1" w:styleId="31">
    <w:name w:val="标题 Char1"/>
    <w:basedOn w:val="21"/>
    <w:qFormat/>
    <w:uiPriority w:val="0"/>
    <w:rPr>
      <w:rFonts w:ascii="Cambria" w:hAnsi="Cambria"/>
      <w:b/>
      <w:bCs/>
      <w:kern w:val="2"/>
      <w:sz w:val="32"/>
      <w:szCs w:val="32"/>
    </w:rPr>
  </w:style>
  <w:style w:type="character" w:customStyle="1" w:styleId="32">
    <w:name w:val="标题二 Char"/>
    <w:link w:val="33"/>
    <w:qFormat/>
    <w:uiPriority w:val="0"/>
    <w:rPr>
      <w:rFonts w:ascii="宋体" w:hAnsi="宋体" w:cs="Calibri"/>
      <w:b/>
      <w:color w:val="000000"/>
      <w:kern w:val="1"/>
      <w:sz w:val="28"/>
      <w:szCs w:val="28"/>
    </w:rPr>
  </w:style>
  <w:style w:type="paragraph" w:customStyle="1" w:styleId="33">
    <w:name w:val="标题二"/>
    <w:basedOn w:val="34"/>
    <w:link w:val="3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4">
    <w:name w:val="List Paragraph"/>
    <w:basedOn w:val="1"/>
    <w:qFormat/>
    <w:uiPriority w:val="34"/>
    <w:pPr>
      <w:ind w:firstLine="420" w:firstLineChars="200"/>
    </w:pPr>
  </w:style>
  <w:style w:type="character" w:customStyle="1" w:styleId="35">
    <w:name w:val="正文缩进 字符"/>
    <w:link w:val="5"/>
    <w:qFormat/>
    <w:uiPriority w:val="0"/>
    <w:rPr>
      <w:kern w:val="2"/>
      <w:sz w:val="21"/>
      <w:szCs w:val="21"/>
    </w:rPr>
  </w:style>
  <w:style w:type="character" w:customStyle="1" w:styleId="36">
    <w:name w:val="标题 字符"/>
    <w:basedOn w:val="21"/>
    <w:link w:val="18"/>
    <w:qFormat/>
    <w:uiPriority w:val="10"/>
    <w:rPr>
      <w:rFonts w:eastAsia="宋体" w:asciiTheme="majorHAnsi" w:hAnsiTheme="majorHAnsi" w:cstheme="majorBidi"/>
      <w:b/>
      <w:bCs/>
      <w:sz w:val="32"/>
      <w:szCs w:val="32"/>
    </w:rPr>
  </w:style>
  <w:style w:type="character" w:customStyle="1" w:styleId="37">
    <w:name w:val="font1"/>
    <w:qFormat/>
    <w:uiPriority w:val="0"/>
    <w:rPr>
      <w:color w:val="333333"/>
      <w:spacing w:val="450"/>
      <w:sz w:val="18"/>
      <w:szCs w:val="18"/>
      <w:u w:val="none"/>
    </w:rPr>
  </w:style>
  <w:style w:type="character" w:customStyle="1" w:styleId="38">
    <w:name w:val="纯文本 Char"/>
    <w:qFormat/>
    <w:uiPriority w:val="0"/>
    <w:rPr>
      <w:rFonts w:ascii="宋体" w:hAnsi="Courier New" w:cs="Courier New"/>
      <w:kern w:val="2"/>
      <w:sz w:val="21"/>
      <w:szCs w:val="21"/>
    </w:rPr>
  </w:style>
  <w:style w:type="character" w:customStyle="1" w:styleId="39">
    <w:name w:val="纯文本 字符"/>
    <w:basedOn w:val="21"/>
    <w:link w:val="12"/>
    <w:semiHidden/>
    <w:qFormat/>
    <w:uiPriority w:val="99"/>
    <w:rPr>
      <w:rFonts w:ascii="宋体" w:hAnsi="Courier New" w:eastAsia="宋体" w:cs="Courier New"/>
      <w:sz w:val="21"/>
      <w:szCs w:val="21"/>
    </w:rPr>
  </w:style>
  <w:style w:type="character" w:customStyle="1" w:styleId="40">
    <w:name w:val="标题 2 字符"/>
    <w:basedOn w:val="21"/>
    <w:link w:val="3"/>
    <w:semiHidden/>
    <w:qFormat/>
    <w:uiPriority w:val="9"/>
    <w:rPr>
      <w:rFonts w:asciiTheme="majorHAnsi" w:hAnsiTheme="majorHAnsi" w:eastAsiaTheme="majorEastAsia" w:cstheme="majorBidi"/>
      <w:b/>
      <w:bCs/>
      <w:sz w:val="32"/>
      <w:szCs w:val="32"/>
    </w:rPr>
  </w:style>
  <w:style w:type="character" w:customStyle="1" w:styleId="41">
    <w:name w:val="正文文本 Char"/>
    <w:qFormat/>
    <w:uiPriority w:val="0"/>
    <w:rPr>
      <w:rFonts w:ascii="楷体_GB2312" w:hAnsi="Arial" w:eastAsia="楷体_GB2312"/>
      <w:kern w:val="2"/>
      <w:sz w:val="28"/>
      <w:szCs w:val="28"/>
    </w:rPr>
  </w:style>
  <w:style w:type="character" w:customStyle="1" w:styleId="42">
    <w:name w:val="列出段落 Char"/>
    <w:link w:val="43"/>
    <w:qFormat/>
    <w:locked/>
    <w:uiPriority w:val="34"/>
    <w:rPr>
      <w:rFonts w:ascii="Calibri" w:hAnsi="Calibri"/>
      <w:sz w:val="24"/>
      <w:szCs w:val="24"/>
      <w:lang w:eastAsia="en-US" w:bidi="en-US"/>
    </w:rPr>
  </w:style>
  <w:style w:type="paragraph" w:customStyle="1" w:styleId="43">
    <w:name w:val="列出段落11"/>
    <w:basedOn w:val="1"/>
    <w:link w:val="42"/>
    <w:qFormat/>
    <w:uiPriority w:val="34"/>
    <w:pPr>
      <w:adjustRightInd/>
      <w:snapToGrid/>
      <w:spacing w:after="0"/>
      <w:ind w:left="720"/>
      <w:contextualSpacing/>
    </w:pPr>
    <w:rPr>
      <w:rFonts w:ascii="Calibri" w:hAnsi="Calibri"/>
      <w:sz w:val="24"/>
      <w:szCs w:val="24"/>
      <w:lang w:eastAsia="en-US" w:bidi="en-US"/>
    </w:rPr>
  </w:style>
  <w:style w:type="paragraph" w:customStyle="1" w:styleId="44">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5">
    <w:name w:val="正文文本 字符"/>
    <w:basedOn w:val="21"/>
    <w:link w:val="8"/>
    <w:semiHidden/>
    <w:qFormat/>
    <w:uiPriority w:val="99"/>
    <w:rPr>
      <w:rFonts w:ascii="Tahoma" w:hAnsi="Tahoma"/>
    </w:rPr>
  </w:style>
  <w:style w:type="character" w:customStyle="1" w:styleId="46">
    <w:name w:val="批注框文本 字符"/>
    <w:basedOn w:val="21"/>
    <w:link w:val="13"/>
    <w:semiHidden/>
    <w:qFormat/>
    <w:uiPriority w:val="99"/>
    <w:rPr>
      <w:rFonts w:ascii="Tahoma" w:hAnsi="Tahoma"/>
      <w:sz w:val="18"/>
      <w:szCs w:val="18"/>
    </w:rPr>
  </w:style>
  <w:style w:type="paragraph" w:customStyle="1" w:styleId="47">
    <w:name w:val="Body text|1"/>
    <w:basedOn w:val="1"/>
    <w:qFormat/>
    <w:uiPriority w:val="0"/>
    <w:pPr>
      <w:widowControl w:val="0"/>
      <w:spacing w:after="270" w:line="590" w:lineRule="exact"/>
      <w:ind w:left="190" w:firstLine="65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BB8159-4ECD-4012-ABE1-F1D51D215C1A}">
  <ds:schemaRefs/>
</ds:datastoreItem>
</file>

<file path=docProps/app.xml><?xml version="1.0" encoding="utf-8"?>
<Properties xmlns="http://schemas.openxmlformats.org/officeDocument/2006/extended-properties" xmlns:vt="http://schemas.openxmlformats.org/officeDocument/2006/docPropsVTypes">
  <Template>Normal</Template>
  <Pages>34</Pages>
  <Words>2396</Words>
  <Characters>13661</Characters>
  <Lines>113</Lines>
  <Paragraphs>32</Paragraphs>
  <TotalTime>89</TotalTime>
  <ScaleCrop>false</ScaleCrop>
  <LinksUpToDate>false</LinksUpToDate>
  <CharactersWithSpaces>16025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2023-09-20T13:54:00Z</dcterms:created>
  <dc:creator>admin</dc:creator>
  <cp:lastModifiedBy>admin</cp:lastModifiedBy>
  <dcterms:modified xsi:type="dcterms:W3CDTF">2023-09-27T03:31:42Z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5F08DB6AF0AF4507B853ADC553885104_13</vt:lpwstr>
  </property>
</Properties>
</file>