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shd w:val="clear"/>
        <w:autoSpaceDE w:val="0"/>
        <w:autoSpaceDN w:val="0"/>
        <w:adjustRightInd w:val="0"/>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招标公告</w:t>
      </w:r>
    </w:p>
    <w:p w14:paraId="79BDCD7B">
      <w:pPr>
        <w:pBdr>
          <w:top w:val="single" w:color="auto" w:sz="4" w:space="0"/>
          <w:left w:val="single" w:color="auto" w:sz="4" w:space="0"/>
          <w:bottom w:val="single" w:color="auto" w:sz="4" w:space="0"/>
          <w:right w:val="single" w:color="auto" w:sz="4" w:space="0"/>
        </w:pBd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0180EF89">
      <w:pPr>
        <w:pBdr>
          <w:top w:val="single" w:color="auto" w:sz="4" w:space="0"/>
          <w:left w:val="single" w:color="auto" w:sz="4" w:space="0"/>
          <w:bottom w:val="single" w:color="auto" w:sz="4" w:space="0"/>
          <w:right w:val="single" w:color="auto" w:sz="4" w:space="0"/>
        </w:pBd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南京医科大学超低温冰箱采购项目</w:t>
      </w:r>
      <w:r>
        <w:rPr>
          <w:rFonts w:hint="eastAsia" w:ascii="宋体" w:hAnsi="宋体" w:cs="宋体"/>
          <w:color w:val="000000" w:themeColor="text1"/>
          <w:szCs w:val="21"/>
          <w:highlight w:val="none"/>
          <w14:textFill>
            <w14:solidFill>
              <w14:schemeClr w14:val="tx1"/>
            </w14:solidFill>
          </w14:textFill>
        </w:rPr>
        <w:t>招标项目的潜在投标人应在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（北京时间）前递交投标文件。</w:t>
      </w:r>
    </w:p>
    <w:p w14:paraId="4A720268">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bookmarkStart w:id="0" w:name="_Toc35393790"/>
      <w:bookmarkStart w:id="1" w:name="_Toc28359002"/>
      <w:bookmarkStart w:id="2" w:name="_Toc35393621"/>
      <w:bookmarkStart w:id="3" w:name="_Toc28359079"/>
      <w:bookmarkStart w:id="4" w:name="_Hlk24379207"/>
      <w:r>
        <w:rPr>
          <w:rFonts w:hint="eastAsia" w:ascii="宋体" w:hAnsi="宋体" w:cs="宋体"/>
          <w:color w:val="000000" w:themeColor="text1"/>
          <w:szCs w:val="21"/>
          <w:highlight w:val="none"/>
          <w14:textFill>
            <w14:solidFill>
              <w14:schemeClr w14:val="tx1"/>
            </w14:solidFill>
          </w14:textFill>
        </w:rPr>
        <w:t>一、项目基本情况</w:t>
      </w:r>
      <w:bookmarkEnd w:id="0"/>
      <w:bookmarkEnd w:id="1"/>
      <w:bookmarkEnd w:id="2"/>
      <w:bookmarkEnd w:id="3"/>
    </w:p>
    <w:p w14:paraId="1314A4CA">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项目编号：SNZX-20260136</w:t>
      </w:r>
    </w:p>
    <w:p w14:paraId="4A71F014">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End w:id="4"/>
      <w:r>
        <w:rPr>
          <w:rFonts w:hint="eastAsia" w:ascii="宋体" w:hAnsi="宋体" w:cs="宋体"/>
          <w:color w:val="000000" w:themeColor="text1"/>
          <w:szCs w:val="21"/>
          <w:highlight w:val="none"/>
          <w14:textFill>
            <w14:solidFill>
              <w14:schemeClr w14:val="tx1"/>
            </w14:solidFill>
          </w14:textFill>
        </w:rPr>
        <w:t>：南京医科大学超低温冰箱采购项目</w:t>
      </w:r>
    </w:p>
    <w:p w14:paraId="10140703">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预算金额：96万元</w:t>
      </w:r>
    </w:p>
    <w:p w14:paraId="6B5DA619">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最高限价：96万元，其中分包1最高限价52.5万元，分包2最高限价43.5万元。投标报价超过最高限价</w:t>
      </w:r>
      <w:r>
        <w:rPr>
          <w:rFonts w:hint="eastAsia" w:ascii="宋体" w:hAnsi="宋体" w:cs="宋体"/>
          <w:color w:val="000000" w:themeColor="text1"/>
          <w:szCs w:val="21"/>
          <w:highlight w:val="none"/>
          <w:lang w:eastAsia="zh-CN"/>
          <w14:textFill>
            <w14:solidFill>
              <w14:schemeClr w14:val="tx1"/>
            </w14:solidFill>
          </w14:textFill>
        </w:rPr>
        <w:t>或</w:t>
      </w:r>
      <w:r>
        <w:rPr>
          <w:rFonts w:hint="eastAsia" w:ascii="宋体" w:hAnsi="宋体" w:cs="宋体"/>
          <w:color w:val="000000" w:themeColor="text1"/>
          <w:szCs w:val="21"/>
          <w:highlight w:val="none"/>
          <w:lang w:val="en-US" w:eastAsia="zh-CN"/>
          <w14:textFill>
            <w14:solidFill>
              <w14:schemeClr w14:val="tx1"/>
            </w14:solidFill>
          </w14:textFill>
        </w:rPr>
        <w:t>单台最高限价</w:t>
      </w:r>
      <w:r>
        <w:rPr>
          <w:rFonts w:hint="eastAsia" w:ascii="宋体" w:hAnsi="宋体" w:cs="宋体"/>
          <w:color w:val="000000" w:themeColor="text1"/>
          <w:szCs w:val="21"/>
          <w:highlight w:val="none"/>
          <w14:textFill>
            <w14:solidFill>
              <w14:schemeClr w14:val="tx1"/>
            </w14:solidFill>
          </w14:textFill>
        </w:rPr>
        <w:t>的为无效投标。</w:t>
      </w:r>
    </w:p>
    <w:tbl>
      <w:tblPr>
        <w:tblStyle w:val="3"/>
        <w:tblW w:w="45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60"/>
        <w:gridCol w:w="2046"/>
        <w:gridCol w:w="1125"/>
        <w:gridCol w:w="765"/>
        <w:gridCol w:w="1630"/>
        <w:gridCol w:w="1579"/>
      </w:tblGrid>
      <w:tr w14:paraId="09D8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0" w:type="dxa"/>
            <w:vAlign w:val="center"/>
          </w:tcPr>
          <w:p w14:paraId="6A41A83E">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包号</w:t>
            </w:r>
          </w:p>
        </w:tc>
        <w:tc>
          <w:tcPr>
            <w:tcW w:w="660" w:type="dxa"/>
            <w:vAlign w:val="center"/>
          </w:tcPr>
          <w:p w14:paraId="3F9797F1">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2046" w:type="dxa"/>
            <w:vAlign w:val="center"/>
          </w:tcPr>
          <w:p w14:paraId="5ACB31E5">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产品名称</w:t>
            </w:r>
          </w:p>
        </w:tc>
        <w:tc>
          <w:tcPr>
            <w:tcW w:w="1125" w:type="dxa"/>
            <w:vAlign w:val="center"/>
          </w:tcPr>
          <w:p w14:paraId="6AE5C858">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数量</w:t>
            </w:r>
          </w:p>
        </w:tc>
        <w:tc>
          <w:tcPr>
            <w:tcW w:w="765" w:type="dxa"/>
            <w:vAlign w:val="center"/>
          </w:tcPr>
          <w:p w14:paraId="7C643C9E">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单位</w:t>
            </w:r>
          </w:p>
        </w:tc>
        <w:tc>
          <w:tcPr>
            <w:tcW w:w="1630" w:type="dxa"/>
            <w:vAlign w:val="center"/>
          </w:tcPr>
          <w:p w14:paraId="68BEC2F1">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最高限价</w:t>
            </w:r>
          </w:p>
        </w:tc>
        <w:tc>
          <w:tcPr>
            <w:tcW w:w="1579" w:type="dxa"/>
            <w:shd w:val="clear" w:color="auto" w:fill="auto"/>
            <w:vAlign w:val="center"/>
          </w:tcPr>
          <w:p w14:paraId="197C0EFF">
            <w:pPr>
              <w:pStyle w:val="5"/>
              <w:shd w:val="clear"/>
              <w:ind w:firstLine="0" w:firstLineChars="0"/>
              <w:jc w:val="cente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单台最高限价</w:t>
            </w:r>
          </w:p>
        </w:tc>
      </w:tr>
      <w:tr w14:paraId="3417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0" w:type="dxa"/>
            <w:vAlign w:val="center"/>
          </w:tcPr>
          <w:p w14:paraId="6C73311E">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分包1</w:t>
            </w:r>
          </w:p>
        </w:tc>
        <w:tc>
          <w:tcPr>
            <w:tcW w:w="660" w:type="dxa"/>
            <w:vAlign w:val="center"/>
          </w:tcPr>
          <w:p w14:paraId="1A879E67">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2046" w:type="dxa"/>
            <w:vAlign w:val="center"/>
          </w:tcPr>
          <w:p w14:paraId="63F0E368">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超低温冰箱</w:t>
            </w:r>
          </w:p>
        </w:tc>
        <w:tc>
          <w:tcPr>
            <w:tcW w:w="1125" w:type="dxa"/>
            <w:vAlign w:val="center"/>
          </w:tcPr>
          <w:p w14:paraId="619E8F6C">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w:t>
            </w:r>
          </w:p>
        </w:tc>
        <w:tc>
          <w:tcPr>
            <w:tcW w:w="765" w:type="dxa"/>
            <w:vAlign w:val="center"/>
          </w:tcPr>
          <w:p w14:paraId="3C03C014">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台</w:t>
            </w:r>
          </w:p>
        </w:tc>
        <w:tc>
          <w:tcPr>
            <w:tcW w:w="1630" w:type="dxa"/>
            <w:vAlign w:val="center"/>
          </w:tcPr>
          <w:p w14:paraId="2B7D4A7E">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52.5万元</w:t>
            </w:r>
          </w:p>
        </w:tc>
        <w:tc>
          <w:tcPr>
            <w:tcW w:w="1579" w:type="dxa"/>
            <w:shd w:val="clear" w:color="auto" w:fill="auto"/>
            <w:vAlign w:val="center"/>
          </w:tcPr>
          <w:p w14:paraId="345BC030">
            <w:pPr>
              <w:pStyle w:val="5"/>
              <w:shd w:val="clear"/>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7.5万元</w:t>
            </w:r>
          </w:p>
        </w:tc>
      </w:tr>
      <w:tr w14:paraId="3B88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0" w:type="dxa"/>
            <w:vMerge w:val="restart"/>
            <w:vAlign w:val="center"/>
          </w:tcPr>
          <w:p w14:paraId="2C05BFFE">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分包2</w:t>
            </w:r>
          </w:p>
        </w:tc>
        <w:tc>
          <w:tcPr>
            <w:tcW w:w="660" w:type="dxa"/>
            <w:vAlign w:val="center"/>
          </w:tcPr>
          <w:p w14:paraId="6F603A1D">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2046" w:type="dxa"/>
            <w:vAlign w:val="center"/>
          </w:tcPr>
          <w:p w14:paraId="211786EB">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超低温冰箱</w:t>
            </w:r>
          </w:p>
        </w:tc>
        <w:tc>
          <w:tcPr>
            <w:tcW w:w="1125" w:type="dxa"/>
            <w:vAlign w:val="center"/>
          </w:tcPr>
          <w:p w14:paraId="3B0E8ADC">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765" w:type="dxa"/>
            <w:vAlign w:val="center"/>
          </w:tcPr>
          <w:p w14:paraId="7C629369">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台</w:t>
            </w:r>
          </w:p>
        </w:tc>
        <w:tc>
          <w:tcPr>
            <w:tcW w:w="1630" w:type="dxa"/>
            <w:vAlign w:val="center"/>
          </w:tcPr>
          <w:p w14:paraId="4610F4D7">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37.5万元</w:t>
            </w:r>
          </w:p>
        </w:tc>
        <w:tc>
          <w:tcPr>
            <w:tcW w:w="1579" w:type="dxa"/>
            <w:shd w:val="clear" w:color="auto" w:fill="auto"/>
            <w:vAlign w:val="center"/>
          </w:tcPr>
          <w:p w14:paraId="6BAE047F">
            <w:pPr>
              <w:pStyle w:val="5"/>
              <w:shd w:val="clear"/>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7.5万元</w:t>
            </w:r>
          </w:p>
        </w:tc>
      </w:tr>
      <w:tr w14:paraId="5A19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0" w:type="dxa"/>
            <w:vMerge w:val="continue"/>
            <w:vAlign w:val="center"/>
          </w:tcPr>
          <w:p w14:paraId="163EB69F">
            <w:pPr>
              <w:shd w:val="clear"/>
              <w:jc w:val="center"/>
              <w:rPr>
                <w:rFonts w:hint="eastAsia" w:ascii="宋体" w:hAnsi="宋体" w:cs="宋体"/>
                <w:color w:val="000000" w:themeColor="text1"/>
                <w:kern w:val="0"/>
                <w:sz w:val="21"/>
                <w:szCs w:val="21"/>
                <w:highlight w:val="none"/>
                <w14:textFill>
                  <w14:solidFill>
                    <w14:schemeClr w14:val="tx1"/>
                  </w14:solidFill>
                </w14:textFill>
              </w:rPr>
            </w:pPr>
          </w:p>
        </w:tc>
        <w:tc>
          <w:tcPr>
            <w:tcW w:w="660" w:type="dxa"/>
            <w:vAlign w:val="center"/>
          </w:tcPr>
          <w:p w14:paraId="08B72EA3">
            <w:pPr>
              <w:shd w:val="clear"/>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2046" w:type="dxa"/>
            <w:vAlign w:val="center"/>
          </w:tcPr>
          <w:p w14:paraId="77385FFA">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-20℃冰箱</w:t>
            </w:r>
          </w:p>
        </w:tc>
        <w:tc>
          <w:tcPr>
            <w:tcW w:w="1125" w:type="dxa"/>
            <w:vAlign w:val="center"/>
          </w:tcPr>
          <w:p w14:paraId="60687681">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765" w:type="dxa"/>
            <w:vAlign w:val="center"/>
          </w:tcPr>
          <w:p w14:paraId="7F85E648">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台</w:t>
            </w:r>
          </w:p>
        </w:tc>
        <w:tc>
          <w:tcPr>
            <w:tcW w:w="1630" w:type="dxa"/>
            <w:vAlign w:val="center"/>
          </w:tcPr>
          <w:p w14:paraId="01C132AE">
            <w:pPr>
              <w:pStyle w:val="5"/>
              <w:shd w:val="clear"/>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6万元</w:t>
            </w:r>
          </w:p>
        </w:tc>
        <w:tc>
          <w:tcPr>
            <w:tcW w:w="1579" w:type="dxa"/>
            <w:shd w:val="clear" w:color="auto" w:fill="auto"/>
            <w:vAlign w:val="center"/>
          </w:tcPr>
          <w:p w14:paraId="7BB63938">
            <w:pPr>
              <w:pStyle w:val="5"/>
              <w:shd w:val="clear"/>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1.2万元</w:t>
            </w:r>
          </w:p>
        </w:tc>
      </w:tr>
    </w:tbl>
    <w:p w14:paraId="648E302C">
      <w:pPr>
        <w:shd w:val="clear"/>
        <w:spacing w:line="360" w:lineRule="auto"/>
        <w:ind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b/>
          <w:bCs/>
          <w:color w:val="000000" w:themeColor="text1"/>
          <w:szCs w:val="21"/>
          <w:highlight w:val="none"/>
          <w:shd w:val="clear" w:color="auto" w:fill="FFFFFF"/>
          <w:lang w:bidi="ar"/>
          <w14:textFill>
            <w14:solidFill>
              <w14:schemeClr w14:val="tx1"/>
            </w14:solidFill>
          </w14:textFill>
        </w:rPr>
        <w:t>本项目共有2个分包，本次招标为①分包1、②分包2， 2个标包同时进行招标，同一投标人可以同时参加2个</w:t>
      </w:r>
      <w:r>
        <w:rPr>
          <w:rFonts w:hint="eastAsia"/>
          <w:b/>
          <w:bCs/>
          <w:color w:val="000000" w:themeColor="text1"/>
          <w:szCs w:val="21"/>
          <w:highlight w:val="none"/>
          <w:shd w:val="clear" w:color="auto" w:fill="FFFFFF"/>
          <w:lang w:eastAsia="zh-CN" w:bidi="ar"/>
          <w14:textFill>
            <w14:solidFill>
              <w14:schemeClr w14:val="tx1"/>
            </w14:solidFill>
          </w14:textFill>
        </w:rPr>
        <w:t>分</w:t>
      </w:r>
      <w:r>
        <w:rPr>
          <w:rFonts w:hint="eastAsia"/>
          <w:b/>
          <w:bCs/>
          <w:color w:val="000000" w:themeColor="text1"/>
          <w:szCs w:val="21"/>
          <w:highlight w:val="none"/>
          <w:shd w:val="clear" w:color="auto" w:fill="FFFFFF"/>
          <w:lang w:bidi="ar"/>
          <w14:textFill>
            <w14:solidFill>
              <w14:schemeClr w14:val="tx1"/>
            </w14:solidFill>
          </w14:textFill>
        </w:rPr>
        <w:t>包招标，兼投兼中，投标人需按分包分别制作投标文件。</w:t>
      </w:r>
    </w:p>
    <w:p w14:paraId="02BA0D23">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采购需求：南京医科大学超低温冰箱采购项目，具体详见招标文件。</w:t>
      </w:r>
    </w:p>
    <w:p w14:paraId="3D9DADF3">
      <w:pPr>
        <w:shd w:val="clear"/>
        <w:spacing w:line="360" w:lineRule="auto"/>
        <w:ind w:firstLine="42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合同履行期限（交货期）：</w:t>
      </w:r>
      <w:bookmarkStart w:id="5" w:name="_Toc28359003"/>
      <w:bookmarkStart w:id="6" w:name="_Toc35393622"/>
      <w:bookmarkStart w:id="7" w:name="_Toc28359080"/>
      <w:bookmarkStart w:id="8" w:name="_Toc35393791"/>
      <w:r>
        <w:rPr>
          <w:rFonts w:hint="eastAsia" w:ascii="宋体" w:hAnsi="宋体" w:cs="宋体"/>
          <w:color w:val="000000" w:themeColor="text1"/>
          <w:szCs w:val="21"/>
          <w:highlight w:val="none"/>
          <w14:textFill>
            <w14:solidFill>
              <w14:schemeClr w14:val="tx1"/>
            </w14:solidFill>
          </w14:textFill>
        </w:rPr>
        <w:t>合同签订生效后，进口设备（免税）三个月内、国产设备及进口设备（非免税）一个月内全部设备、材料运抵现场，并安装、调试结束</w:t>
      </w:r>
      <w:bookmarkStart w:id="30" w:name="_GoBack"/>
      <w:bookmarkEnd w:id="30"/>
      <w:r>
        <w:rPr>
          <w:rFonts w:hint="eastAsia" w:ascii="宋体" w:hAnsi="宋体" w:cs="宋体"/>
          <w:color w:val="000000" w:themeColor="text1"/>
          <w:szCs w:val="21"/>
          <w:highlight w:val="none"/>
          <w14:textFill>
            <w14:solidFill>
              <w14:schemeClr w14:val="tx1"/>
            </w14:solidFill>
          </w14:textFill>
        </w:rPr>
        <w:t>，验收合格，交付采购方使用。</w:t>
      </w:r>
    </w:p>
    <w:p w14:paraId="3696BB87">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p w14:paraId="4FA4EC48">
      <w:pPr>
        <w:shd w:val="clea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是否专门面向中小企业：否</w:t>
      </w:r>
    </w:p>
    <w:p w14:paraId="05096685">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本项目采购标的所属行业为：</w:t>
      </w:r>
      <w:r>
        <w:rPr>
          <w:rFonts w:hint="eastAsia" w:ascii="宋体" w:hAnsi="宋体" w:cs="宋体"/>
          <w:color w:val="000000" w:themeColor="text1"/>
          <w:szCs w:val="21"/>
          <w:highlight w:val="none"/>
          <w14:textFill>
            <w14:solidFill>
              <w14:schemeClr w14:val="tx1"/>
            </w14:solidFill>
          </w14:textFill>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54AEA00E">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p>
    <w:p w14:paraId="186B0D69">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9" w:name="_Toc35393792"/>
      <w:bookmarkStart w:id="10" w:name="_Toc35393623"/>
      <w:bookmarkStart w:id="11" w:name="_Toc28359005"/>
      <w:bookmarkStart w:id="12" w:name="_Toc28359082"/>
      <w:bookmarkStart w:id="13" w:name="_Toc35393624"/>
      <w:bookmarkStart w:id="14" w:name="_Toc35393793"/>
      <w:r>
        <w:rPr>
          <w:rFonts w:hint="eastAsia" w:ascii="宋体" w:hAnsi="宋体" w:cs="宋体"/>
          <w:color w:val="000000" w:themeColor="text1"/>
          <w:szCs w:val="21"/>
          <w:highlight w:val="none"/>
          <w14:textFill>
            <w14:solidFill>
              <w14:schemeClr w14:val="tx1"/>
            </w14:solidFill>
          </w14:textFill>
        </w:rPr>
        <w:t>（一）满足《中华人民共和国政府采购法》第二十二条规定；</w:t>
      </w:r>
    </w:p>
    <w:p w14:paraId="373FF1F6">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12A5272F">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p>
    <w:p w14:paraId="61FF2AA1">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2AC5B0E4">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任意一个月的依法为员工缴纳社会保障资金的证明材料（依法不需要缴纳社会保障资金的应提供相应文件说明）；</w:t>
      </w:r>
    </w:p>
    <w:p w14:paraId="78D3377D">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5.参加政府采购活动前三年内，在经营活动中没有重大违法记录（提供承诺书原件）；</w:t>
      </w:r>
    </w:p>
    <w:p w14:paraId="02BE6485">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6.法律、行政法规规定的其他条件，提供相关证明材料：无。</w:t>
      </w:r>
    </w:p>
    <w:p w14:paraId="1248C254">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7.注:①前款第（5）项中所称重大违法记录，是指投标人因违法经营受到刑事处罚或者责令停产停业、吊销许可证或者执照、较大数额罚款等行政处罚。</w:t>
      </w:r>
    </w:p>
    <w:p w14:paraId="2337C9DF">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52C0FC47">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5FE2AEA3">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项目的特定资格要求：若所投产品为进口产品且为非生产商投标，必须具有生产者或其驻中国办事机构（或生产者授权的中国境内最高级别代理机构）针对本项目的专项授权书。（提供授权书复印件加盖投标人公章）。</w:t>
      </w:r>
    </w:p>
    <w:p w14:paraId="7E373AD9">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（四）本项目不接受转包、分包。</w:t>
      </w:r>
    </w:p>
    <w:p w14:paraId="3A707FB4">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（五）拒绝下述供应商参加本次采购活动：</w:t>
      </w:r>
    </w:p>
    <w:p w14:paraId="0B624300">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61D3361B">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0A3D0560">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2799EA1">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（六）本项目接受进口产品投标。（注：本文件所称进口产品是指通过中国海关报关验放进入中国境内且产自关境外的产品）</w:t>
      </w:r>
    </w:p>
    <w:p w14:paraId="77C70D36">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三、获取招标文件</w:t>
      </w:r>
      <w:bookmarkEnd w:id="9"/>
      <w:bookmarkEnd w:id="10"/>
    </w:p>
    <w:p w14:paraId="069B58C1">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1、时间：2026年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日上午09:00至2026年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日下午17:00，每天上午9:00至11:30，下午14:00至17:00（北京时间，法定节假日除外）</w:t>
      </w:r>
    </w:p>
    <w:p w14:paraId="1EFF449D">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2、获取方式：网址为：分包1：https://njsnzx.cn/#/detail?id=3018；分包2：https://njsnzx.cn/#/detail?id=301</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0E7D08D5">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未按照上述要求合法获取招标（采购）文件的，招标（采购）人将不予受理其投标（响应）。</w:t>
      </w:r>
    </w:p>
    <w:p w14:paraId="324367DD">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w:t>
      </w:r>
      <w:r>
        <w:rPr>
          <w:rFonts w:hint="eastAsia" w:ascii="宋体" w:hAnsi="宋体" w:cs="宋体"/>
          <w:color w:val="000000" w:themeColor="text1"/>
          <w:szCs w:val="21"/>
          <w:highlight w:val="none"/>
          <w:lang w:val="en-US" w:eastAsia="zh-CN"/>
          <w14:textFill>
            <w14:solidFill>
              <w14:schemeClr w14:val="tx1"/>
            </w14:solidFill>
          </w14:textFill>
        </w:rPr>
        <w:t>/分包</w:t>
      </w:r>
      <w:r>
        <w:rPr>
          <w:rFonts w:hint="eastAsia" w:ascii="宋体" w:hAnsi="宋体" w:cs="宋体"/>
          <w:color w:val="000000" w:themeColor="text1"/>
          <w:szCs w:val="21"/>
          <w:highlight w:val="none"/>
          <w14:textFill>
            <w14:solidFill>
              <w14:schemeClr w14:val="tx1"/>
            </w14:solidFill>
          </w14:textFill>
        </w:rPr>
        <w:t>，本公告包含的招标文件售价总和。</w:t>
      </w:r>
    </w:p>
    <w:p w14:paraId="20BA2DFC">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四、提交投标文件</w:t>
      </w:r>
      <w:bookmarkEnd w:id="11"/>
      <w:bookmarkEnd w:id="12"/>
      <w:r>
        <w:rPr>
          <w:rFonts w:hint="eastAsia" w:ascii="宋体" w:hAnsi="宋体" w:cs="宋体"/>
          <w:color w:val="000000" w:themeColor="text1"/>
          <w:szCs w:val="21"/>
          <w:highlight w:val="none"/>
          <w14:textFill>
            <w14:solidFill>
              <w14:schemeClr w14:val="tx1"/>
            </w14:solidFill>
          </w14:textFill>
        </w:rPr>
        <w:t>截止时间、开标时间和地点</w:t>
      </w:r>
      <w:bookmarkEnd w:id="13"/>
      <w:bookmarkEnd w:id="14"/>
    </w:p>
    <w:p w14:paraId="2182D45F">
      <w:pPr>
        <w:shd w:val="clear"/>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分（北京时间）</w:t>
      </w:r>
    </w:p>
    <w:p w14:paraId="331A005A">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078C4D3F">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5" w:name="_Toc28359007"/>
      <w:bookmarkStart w:id="16" w:name="_Toc28359084"/>
      <w:bookmarkStart w:id="17" w:name="_Toc35393625"/>
      <w:bookmarkStart w:id="18" w:name="_Toc35393794"/>
      <w:r>
        <w:rPr>
          <w:rFonts w:hint="eastAsia" w:ascii="宋体" w:hAnsi="宋体" w:cs="宋体"/>
          <w:color w:val="000000" w:themeColor="text1"/>
          <w:szCs w:val="21"/>
          <w:highlight w:val="none"/>
          <w14:textFill>
            <w14:solidFill>
              <w14:schemeClr w14:val="tx1"/>
            </w14:solidFill>
          </w14:textFill>
        </w:rPr>
        <w:t>五、公告期限</w:t>
      </w:r>
      <w:bookmarkEnd w:id="15"/>
      <w:bookmarkEnd w:id="16"/>
      <w:bookmarkEnd w:id="17"/>
      <w:bookmarkEnd w:id="18"/>
    </w:p>
    <w:p w14:paraId="2C7C277B">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32035900">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9" w:name="_Toc35393795"/>
      <w:bookmarkStart w:id="20" w:name="_Toc35393626"/>
      <w:r>
        <w:rPr>
          <w:rFonts w:hint="eastAsia" w:ascii="宋体" w:hAnsi="宋体" w:cs="宋体"/>
          <w:color w:val="000000" w:themeColor="text1"/>
          <w:szCs w:val="21"/>
          <w:highlight w:val="none"/>
          <w14:textFill>
            <w14:solidFill>
              <w14:schemeClr w14:val="tx1"/>
            </w14:solidFill>
          </w14:textFill>
        </w:rPr>
        <w:t>六、其他补充事宜</w:t>
      </w:r>
      <w:bookmarkEnd w:id="19"/>
      <w:bookmarkEnd w:id="20"/>
    </w:p>
    <w:p w14:paraId="457A1B22">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1.集中勘察或答疑：</w:t>
      </w:r>
    </w:p>
    <w:p w14:paraId="786FC1C9">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1" w:name="_Toc35393796"/>
      <w:bookmarkStart w:id="22" w:name="_Toc35393627"/>
      <w:bookmarkStart w:id="23" w:name="_Toc28359008"/>
      <w:bookmarkStart w:id="24" w:name="_Toc28359085"/>
      <w:r>
        <w:rPr>
          <w:rFonts w:hint="eastAsia" w:ascii="宋体" w:hAnsi="宋体" w:cs="宋体"/>
          <w:color w:val="000000" w:themeColor="text1"/>
          <w:szCs w:val="21"/>
          <w:highlight w:val="none"/>
          <w14:textFill>
            <w14:solidFill>
              <w14:schemeClr w14:val="tx1"/>
            </w14:solidFill>
          </w14:textFill>
        </w:rPr>
        <w:t>3.公告媒体</w:t>
      </w:r>
    </w:p>
    <w:p w14:paraId="21158AFF">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（1）本采购公告在南京医科大学（https://sjfwc.njmu.edu.cn/zbgg/list1.htm）公示发布，敬请各投标人关注；</w:t>
      </w:r>
    </w:p>
    <w:p w14:paraId="52822D61">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（2）若有关本次采购存在变动或修改，敬请各投标人及时关注南京医科大学（https://sjfwc.njmu.edu.cn/zbgg/list1.htm）发布的关于本项目的信息更正公告。</w:t>
      </w:r>
    </w:p>
    <w:p w14:paraId="6713CCC9">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4.采购项目需要落实的政府采购政策：</w:t>
      </w:r>
    </w:p>
    <w:p w14:paraId="7DA42018">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1C703A33">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18756536">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6AB8824F">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436C0BA8">
      <w:pPr>
        <w:shd w:val="clea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七、对本次招标提出询问，请按以下方式联系。</w:t>
      </w:r>
      <w:bookmarkEnd w:id="21"/>
      <w:bookmarkEnd w:id="22"/>
      <w:bookmarkEnd w:id="23"/>
      <w:bookmarkEnd w:id="24"/>
    </w:p>
    <w:p w14:paraId="230808A5">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064068E7">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5" w:name="_Toc28359086"/>
      <w:bookmarkStart w:id="26" w:name="_Toc28359009"/>
      <w:r>
        <w:rPr>
          <w:rFonts w:hint="eastAsia" w:ascii="宋体" w:hAnsi="宋体" w:cs="宋体"/>
          <w:color w:val="000000" w:themeColor="text1"/>
          <w:szCs w:val="21"/>
          <w:highlight w:val="none"/>
          <w14:textFill>
            <w14:solidFill>
              <w14:schemeClr w14:val="tx1"/>
            </w14:solidFill>
          </w14:textFill>
        </w:rPr>
        <w:t>名称：南京医科大学</w:t>
      </w:r>
    </w:p>
    <w:p w14:paraId="700519EA">
      <w:pPr>
        <w:widowControl/>
        <w:shd w:val="clear"/>
        <w:spacing w:line="360" w:lineRule="auto"/>
        <w:ind w:firstLine="452" w:firstLineChars="200"/>
        <w:jc w:val="left"/>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地址：</w:t>
      </w: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南京市江宁区龙眠大道101号</w:t>
      </w:r>
    </w:p>
    <w:p w14:paraId="43CD2690">
      <w:pPr>
        <w:shd w:val="clea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联系人：马老师</w:t>
      </w:r>
    </w:p>
    <w:p w14:paraId="03FAC50A">
      <w:pPr>
        <w:shd w:val="clea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联系电话：025-86868572</w:t>
      </w:r>
    </w:p>
    <w:p w14:paraId="4375B3DD">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5"/>
      <w:bookmarkEnd w:id="26"/>
    </w:p>
    <w:p w14:paraId="1581FAA2">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bookmarkStart w:id="27" w:name="OLE_LINK1"/>
      <w:r>
        <w:rPr>
          <w:rFonts w:hint="eastAsia" w:ascii="宋体" w:hAnsi="宋体" w:cs="宋体"/>
          <w:color w:val="000000" w:themeColor="text1"/>
          <w:szCs w:val="21"/>
          <w:highlight w:val="none"/>
          <w14:textFill>
            <w14:solidFill>
              <w14:schemeClr w14:val="tx1"/>
            </w14:solidFill>
          </w14:textFill>
        </w:rPr>
        <w:t>南京苏宁工程咨询有限公司</w:t>
      </w:r>
      <w:bookmarkEnd w:id="27"/>
    </w:p>
    <w:p w14:paraId="3678C80F">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地址：南京市鼓楼区中山路99号12楼1212室</w:t>
      </w:r>
    </w:p>
    <w:p w14:paraId="529FAB8F">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28" w:name="_Toc28359010"/>
      <w:bookmarkStart w:id="29" w:name="_Toc28359087"/>
      <w:r>
        <w:rPr>
          <w:rFonts w:hint="eastAsia" w:ascii="宋体" w:hAnsi="宋体" w:cs="宋体"/>
          <w:color w:val="000000" w:themeColor="text1"/>
          <w:szCs w:val="21"/>
          <w:highlight w:val="none"/>
          <w14:textFill>
            <w14:solidFill>
              <w14:schemeClr w14:val="tx1"/>
            </w14:solidFill>
          </w14:textFill>
        </w:rPr>
        <w:t>李佳蓉025-84200809</w:t>
      </w:r>
    </w:p>
    <w:p w14:paraId="3947480E">
      <w:pPr>
        <w:shd w:val="clea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项目联系方式</w:t>
      </w:r>
      <w:bookmarkEnd w:id="28"/>
      <w:bookmarkEnd w:id="29"/>
    </w:p>
    <w:p w14:paraId="4886EF64">
      <w:pPr>
        <w:shd w:val="clear"/>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项目联系人：李佳蓉 电话：025-84200809</w:t>
      </w:r>
    </w:p>
    <w:p w14:paraId="4C735CD9"/>
    <w:sectPr>
      <w:pgSz w:w="11906" w:h="16838"/>
      <w:pgMar w:top="850" w:right="850"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13E29"/>
    <w:rsid w:val="31C01CE3"/>
    <w:rsid w:val="7941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spacing w:line="360" w:lineRule="auto"/>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2026-05-11T03:12:00Z</dcterms:created>
  <dc:creator>代理</dc:creator>
  <cp:lastModifiedBy>代理</cp:lastModifiedBy>
  <dcterms:modified xsi:type="dcterms:W3CDTF">2026-05-11T03:13:49Z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D1667CFD8CE441C1A968708B73DBCE80_11</vt:lpwstr>
  </property>
  <property fmtid="{D5CDD505-2E9C-101B-9397-08002B2CF9AE}" pid="4" name="KSOTemplateDocerSaveRecord">
    <vt:lpwstr>eyJoZGlkIjoiMzYwM2E0OTM1MTNmYjdhZDYzZTk0ZmY4ODg5YjlmZWEiLCJ1c2VySWQiOiI0MzkyODMxNDkifQ==</vt:lpwstr>
  </property>
</Properties>
</file>