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62AB21">
      <w:pPr>
        <w:autoSpaceDE w:val="0"/>
        <w:autoSpaceDN w:val="0"/>
        <w:adjustRightInd w:val="0"/>
        <w:jc w:val="center"/>
        <w:outlineLvl w:val="0"/>
        <w:rPr>
          <w:rFonts w:hint="eastAsia" w:ascii="宋体" w:hAnsi="宋体" w:eastAsia="宋体" w:cs="宋体"/>
          <w:color w:val="000000"/>
          <w:sz w:val="28"/>
          <w:szCs w:val="28"/>
          <w:highlight w:val="none"/>
          <w:lang w:eastAsia="zh-CN"/>
        </w:rPr>
      </w:pPr>
      <w:bookmarkStart w:id="0" w:name="_Toc32620"/>
      <w:r>
        <w:rPr>
          <w:rFonts w:hint="eastAsia" w:ascii="宋体" w:hAnsi="宋体" w:eastAsia="宋体" w:cs="宋体"/>
          <w:color w:val="000000"/>
          <w:sz w:val="36"/>
          <w:szCs w:val="36"/>
          <w:highlight w:val="none"/>
          <w:lang w:val="zh-CN"/>
        </w:rPr>
        <w:t>竞争性磋商</w:t>
      </w:r>
      <w:bookmarkEnd w:id="0"/>
      <w:r>
        <w:rPr>
          <w:rFonts w:hint="eastAsia" w:ascii="宋体" w:hAnsi="宋体" w:eastAsia="宋体" w:cs="宋体"/>
          <w:color w:val="000000"/>
          <w:sz w:val="36"/>
          <w:szCs w:val="36"/>
          <w:highlight w:val="none"/>
          <w:lang w:val="en-US" w:eastAsia="zh-CN"/>
        </w:rPr>
        <w:t>公告</w:t>
      </w:r>
    </w:p>
    <w:p w14:paraId="4C4BB508">
      <w:pPr>
        <w:pBdr>
          <w:top w:val="single" w:color="auto" w:sz="4" w:space="0"/>
          <w:left w:val="single" w:color="auto" w:sz="4" w:space="0"/>
          <w:bottom w:val="single" w:color="auto" w:sz="4" w:space="0"/>
          <w:right w:val="single" w:color="auto" w:sz="4" w:space="0"/>
        </w:pBd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项目概况</w:t>
      </w:r>
    </w:p>
    <w:p w14:paraId="0F6CCC8A">
      <w:pPr>
        <w:pBdr>
          <w:top w:val="single" w:color="auto" w:sz="4" w:space="0"/>
          <w:left w:val="single" w:color="auto" w:sz="4" w:space="0"/>
          <w:bottom w:val="single" w:color="auto" w:sz="4" w:space="0"/>
          <w:right w:val="single" w:color="auto" w:sz="4" w:space="0"/>
        </w:pBd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u w:val="single"/>
        </w:rPr>
        <w:t>南京医科大学大模型服务采购项目</w:t>
      </w:r>
      <w:r>
        <w:rPr>
          <w:rFonts w:hint="eastAsia" w:ascii="宋体" w:hAnsi="宋体" w:eastAsia="宋体" w:cs="宋体"/>
          <w:color w:val="000000"/>
          <w:szCs w:val="21"/>
          <w:highlight w:val="none"/>
        </w:rPr>
        <w:t>的潜在供应商应在</w:t>
      </w:r>
      <w:r>
        <w:rPr>
          <w:rFonts w:hint="eastAsia" w:ascii="宋体" w:hAnsi="宋体" w:eastAsia="宋体" w:cs="宋体"/>
          <w:color w:val="000000"/>
          <w:szCs w:val="21"/>
          <w:highlight w:val="none"/>
          <w:u w:val="single"/>
        </w:rPr>
        <w:t>南京市中山路99号12楼1212室</w:t>
      </w:r>
      <w:r>
        <w:rPr>
          <w:rFonts w:hint="eastAsia" w:ascii="宋体" w:hAnsi="宋体" w:eastAsia="宋体" w:cs="宋体"/>
          <w:color w:val="000000"/>
          <w:szCs w:val="21"/>
          <w:highlight w:val="none"/>
        </w:rPr>
        <w:t>获取磋商文件，并于</w:t>
      </w:r>
      <w:r>
        <w:rPr>
          <w:rFonts w:hint="eastAsia" w:ascii="宋体" w:hAnsi="宋体" w:eastAsia="宋体" w:cs="宋体"/>
          <w:color w:val="auto"/>
          <w:szCs w:val="21"/>
          <w:highlight w:val="none"/>
          <w:u w:val="single"/>
        </w:rPr>
        <w:t>2026年</w:t>
      </w:r>
      <w:r>
        <w:rPr>
          <w:rFonts w:hint="eastAsia" w:ascii="宋体" w:hAnsi="宋体" w:eastAsia="宋体" w:cs="宋体"/>
          <w:color w:val="auto"/>
          <w:szCs w:val="21"/>
          <w:highlight w:val="none"/>
          <w:u w:val="single"/>
          <w:lang w:val="en-US" w:eastAsia="zh-CN"/>
        </w:rPr>
        <w:t>9</w:t>
      </w:r>
      <w:r>
        <w:rPr>
          <w:rFonts w:hint="eastAsia" w:ascii="宋体" w:hAnsi="宋体" w:eastAsia="宋体" w:cs="宋体"/>
          <w:color w:val="auto"/>
          <w:szCs w:val="21"/>
          <w:highlight w:val="none"/>
          <w:u w:val="single"/>
        </w:rPr>
        <w:t>月</w:t>
      </w:r>
      <w:r>
        <w:rPr>
          <w:rFonts w:hint="eastAsia" w:ascii="宋体" w:hAnsi="宋体" w:eastAsia="宋体" w:cs="宋体"/>
          <w:color w:val="auto"/>
          <w:szCs w:val="21"/>
          <w:highlight w:val="none"/>
          <w:u w:val="single"/>
          <w:lang w:val="en-US" w:eastAsia="zh-CN"/>
        </w:rPr>
        <w:t>15</w:t>
      </w:r>
      <w:r>
        <w:rPr>
          <w:rFonts w:hint="eastAsia" w:ascii="宋体" w:hAnsi="宋体" w:eastAsia="宋体" w:cs="宋体"/>
          <w:color w:val="auto"/>
          <w:szCs w:val="21"/>
          <w:highlight w:val="none"/>
          <w:u w:val="single"/>
        </w:rPr>
        <w:t>日</w:t>
      </w:r>
      <w:r>
        <w:rPr>
          <w:rFonts w:hint="eastAsia" w:ascii="宋体" w:hAnsi="宋体" w:eastAsia="宋体" w:cs="宋体"/>
          <w:color w:val="auto"/>
          <w:szCs w:val="21"/>
          <w:highlight w:val="none"/>
          <w:u w:val="single"/>
          <w:lang w:val="en-US" w:eastAsia="zh-CN"/>
        </w:rPr>
        <w:t>9</w:t>
      </w:r>
      <w:r>
        <w:rPr>
          <w:rFonts w:hint="eastAsia" w:ascii="宋体" w:hAnsi="宋体" w:eastAsia="宋体" w:cs="宋体"/>
          <w:color w:val="auto"/>
          <w:szCs w:val="21"/>
          <w:highlight w:val="none"/>
          <w:u w:val="single"/>
        </w:rPr>
        <w:t>点</w:t>
      </w:r>
      <w:r>
        <w:rPr>
          <w:rFonts w:hint="eastAsia" w:ascii="宋体" w:hAnsi="宋体" w:eastAsia="宋体" w:cs="宋体"/>
          <w:color w:val="auto"/>
          <w:szCs w:val="21"/>
          <w:highlight w:val="none"/>
          <w:u w:val="single"/>
          <w:lang w:val="en-US" w:eastAsia="zh-CN"/>
        </w:rPr>
        <w:t>30</w:t>
      </w:r>
      <w:r>
        <w:rPr>
          <w:rFonts w:hint="eastAsia" w:ascii="宋体" w:hAnsi="宋体" w:eastAsia="宋体" w:cs="宋体"/>
          <w:color w:val="auto"/>
          <w:szCs w:val="21"/>
          <w:highlight w:val="none"/>
          <w:u w:val="single"/>
        </w:rPr>
        <w:t>分</w:t>
      </w:r>
      <w:r>
        <w:rPr>
          <w:rFonts w:hint="eastAsia" w:ascii="宋体" w:hAnsi="宋体" w:eastAsia="宋体" w:cs="宋体"/>
          <w:color w:val="000000"/>
          <w:szCs w:val="21"/>
          <w:highlight w:val="none"/>
        </w:rPr>
        <w:t>（北京时间）前提交响应文件。</w:t>
      </w:r>
    </w:p>
    <w:p w14:paraId="5BEF901D">
      <w:pPr>
        <w:spacing w:line="312" w:lineRule="auto"/>
        <w:jc w:val="left"/>
        <w:rPr>
          <w:rFonts w:ascii="宋体" w:hAnsi="宋体" w:eastAsia="宋体" w:cs="宋体"/>
          <w:color w:val="000000"/>
          <w:szCs w:val="21"/>
          <w:highlight w:val="none"/>
        </w:rPr>
      </w:pPr>
      <w:bookmarkStart w:id="1" w:name="_Toc35393621"/>
      <w:bookmarkStart w:id="2" w:name="_Toc28359079"/>
      <w:bookmarkStart w:id="3" w:name="_Toc35393790"/>
      <w:bookmarkStart w:id="4" w:name="_Toc28359002"/>
      <w:bookmarkStart w:id="5" w:name="_Hlk24379207"/>
      <w:r>
        <w:rPr>
          <w:rFonts w:hint="eastAsia" w:ascii="宋体" w:hAnsi="宋体" w:eastAsia="宋体" w:cs="宋体"/>
          <w:color w:val="000000"/>
          <w:szCs w:val="21"/>
          <w:highlight w:val="none"/>
        </w:rPr>
        <w:t>一、项目基本情况</w:t>
      </w:r>
      <w:bookmarkEnd w:id="1"/>
      <w:bookmarkEnd w:id="2"/>
      <w:bookmarkEnd w:id="3"/>
      <w:bookmarkEnd w:id="4"/>
    </w:p>
    <w:bookmarkEnd w:id="5"/>
    <w:p w14:paraId="10789B67">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项目编号：SNZX-20260439</w:t>
      </w:r>
    </w:p>
    <w:p w14:paraId="7DEE8359">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项目名称：南京医科大学大模型服务采购项目</w:t>
      </w:r>
    </w:p>
    <w:p w14:paraId="4231F1BB">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采购方式：竞争性磋商</w:t>
      </w:r>
    </w:p>
    <w:p w14:paraId="11136B47">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预算金额：20万元</w:t>
      </w:r>
    </w:p>
    <w:p w14:paraId="31073C30">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最高限价：详见下表，响应报价超过单项限价的为无效响应。</w:t>
      </w:r>
    </w:p>
    <w:tbl>
      <w:tblPr>
        <w:tblStyle w:val="3"/>
        <w:tblW w:w="52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1501"/>
        <w:gridCol w:w="2441"/>
        <w:gridCol w:w="1459"/>
        <w:gridCol w:w="1473"/>
        <w:gridCol w:w="1420"/>
      </w:tblGrid>
      <w:tr w14:paraId="720C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611" w:type="dxa"/>
            <w:shd w:val="clear" w:color="auto" w:fill="D9E2F3"/>
            <w:vAlign w:val="center"/>
          </w:tcPr>
          <w:p w14:paraId="637E809C">
            <w:pPr>
              <w:jc w:val="center"/>
              <w:rPr>
                <w:rFonts w:ascii="宋体" w:hAnsi="宋体" w:eastAsia="宋体" w:cs="宋体"/>
                <w:color w:val="000000"/>
                <w:szCs w:val="21"/>
                <w:highlight w:val="none"/>
              </w:rPr>
            </w:pPr>
            <w:r>
              <w:rPr>
                <w:rFonts w:hint="eastAsia" w:ascii="宋体" w:hAnsi="宋体" w:eastAsia="宋体" w:cs="宋体"/>
                <w:b/>
                <w:color w:val="000000"/>
                <w:szCs w:val="21"/>
                <w:highlight w:val="none"/>
              </w:rPr>
              <w:t>序号</w:t>
            </w:r>
          </w:p>
        </w:tc>
        <w:tc>
          <w:tcPr>
            <w:tcW w:w="1501" w:type="dxa"/>
            <w:shd w:val="clear" w:color="auto" w:fill="D9E2F3"/>
            <w:vAlign w:val="center"/>
          </w:tcPr>
          <w:p w14:paraId="589587CD">
            <w:pPr>
              <w:jc w:val="center"/>
              <w:rPr>
                <w:rFonts w:ascii="宋体" w:hAnsi="宋体" w:eastAsia="宋体" w:cs="宋体"/>
                <w:b/>
                <w:color w:val="000000"/>
                <w:szCs w:val="21"/>
                <w:highlight w:val="none"/>
              </w:rPr>
            </w:pPr>
            <w:r>
              <w:rPr>
                <w:rFonts w:hint="eastAsia" w:ascii="宋体" w:hAnsi="宋体" w:eastAsia="宋体" w:cs="宋体"/>
                <w:b/>
                <w:color w:val="000000"/>
                <w:szCs w:val="21"/>
                <w:highlight w:val="none"/>
              </w:rPr>
              <w:t>模型类别</w:t>
            </w:r>
          </w:p>
        </w:tc>
        <w:tc>
          <w:tcPr>
            <w:tcW w:w="2441" w:type="dxa"/>
            <w:shd w:val="clear" w:color="auto" w:fill="D9E2F3"/>
            <w:vAlign w:val="center"/>
          </w:tcPr>
          <w:p w14:paraId="30192471">
            <w:pPr>
              <w:jc w:val="center"/>
              <w:rPr>
                <w:rFonts w:ascii="宋体" w:hAnsi="宋体" w:eastAsia="宋体" w:cs="宋体"/>
                <w:color w:val="000000"/>
                <w:szCs w:val="21"/>
                <w:highlight w:val="none"/>
              </w:rPr>
            </w:pPr>
            <w:r>
              <w:rPr>
                <w:rFonts w:hint="eastAsia" w:ascii="宋体" w:hAnsi="宋体" w:eastAsia="宋体" w:cs="宋体"/>
                <w:b/>
                <w:color w:val="000000"/>
                <w:szCs w:val="21"/>
                <w:highlight w:val="none"/>
              </w:rPr>
              <w:t>模型名称</w:t>
            </w:r>
          </w:p>
        </w:tc>
        <w:tc>
          <w:tcPr>
            <w:tcW w:w="1459" w:type="dxa"/>
            <w:shd w:val="clear" w:color="auto" w:fill="D9E2F3"/>
            <w:vAlign w:val="center"/>
          </w:tcPr>
          <w:p w14:paraId="79B660FB">
            <w:pPr>
              <w:jc w:val="center"/>
              <w:rPr>
                <w:rFonts w:ascii="宋体" w:hAnsi="宋体" w:eastAsia="宋体" w:cs="宋体"/>
                <w:color w:val="000000"/>
                <w:szCs w:val="21"/>
                <w:highlight w:val="none"/>
              </w:rPr>
            </w:pPr>
            <w:r>
              <w:rPr>
                <w:rFonts w:hint="eastAsia" w:ascii="宋体" w:hAnsi="宋体" w:eastAsia="宋体" w:cs="宋体"/>
                <w:b/>
                <w:color w:val="000000"/>
                <w:szCs w:val="21"/>
                <w:highlight w:val="none"/>
              </w:rPr>
              <w:t>计费单位</w:t>
            </w:r>
          </w:p>
        </w:tc>
        <w:tc>
          <w:tcPr>
            <w:tcW w:w="1473" w:type="dxa"/>
            <w:shd w:val="clear" w:color="auto" w:fill="D9E2F3"/>
            <w:vAlign w:val="center"/>
          </w:tcPr>
          <w:p w14:paraId="03C9C270">
            <w:pPr>
              <w:jc w:val="center"/>
              <w:rPr>
                <w:rFonts w:ascii="宋体" w:hAnsi="宋体" w:eastAsia="宋体" w:cs="宋体"/>
                <w:b/>
                <w:color w:val="000000"/>
                <w:szCs w:val="21"/>
                <w:highlight w:val="none"/>
              </w:rPr>
            </w:pPr>
            <w:r>
              <w:rPr>
                <w:rFonts w:hint="eastAsia" w:ascii="宋体" w:hAnsi="宋体" w:eastAsia="宋体" w:cs="宋体"/>
                <w:b/>
                <w:color w:val="000000"/>
                <w:szCs w:val="21"/>
                <w:highlight w:val="none"/>
              </w:rPr>
              <w:t>单项限价</w:t>
            </w:r>
          </w:p>
          <w:p w14:paraId="5E7C0481">
            <w:pPr>
              <w:jc w:val="center"/>
              <w:rPr>
                <w:rFonts w:ascii="宋体" w:hAnsi="宋体" w:eastAsia="宋体" w:cs="宋体"/>
                <w:b/>
                <w:color w:val="000000"/>
                <w:szCs w:val="21"/>
                <w:highlight w:val="none"/>
              </w:rPr>
            </w:pPr>
            <w:r>
              <w:rPr>
                <w:rFonts w:hint="eastAsia" w:ascii="宋体" w:hAnsi="宋体" w:eastAsia="宋体" w:cs="宋体"/>
                <w:b/>
                <w:color w:val="000000"/>
                <w:szCs w:val="21"/>
                <w:highlight w:val="none"/>
              </w:rPr>
              <w:t>（输入单价）</w:t>
            </w:r>
            <w:r>
              <w:rPr>
                <w:rFonts w:hint="eastAsia" w:ascii="宋体" w:hAnsi="宋体" w:eastAsia="宋体" w:cs="宋体"/>
                <w:b/>
                <w:color w:val="000000"/>
                <w:szCs w:val="21"/>
                <w:highlight w:val="none"/>
              </w:rPr>
              <w:br w:type="textWrapping"/>
            </w:r>
            <w:r>
              <w:rPr>
                <w:rFonts w:hint="eastAsia" w:ascii="宋体" w:hAnsi="宋体" w:eastAsia="宋体" w:cs="宋体"/>
                <w:b/>
                <w:color w:val="000000"/>
                <w:szCs w:val="21"/>
                <w:highlight w:val="none"/>
              </w:rPr>
              <w:t>（元）</w:t>
            </w:r>
          </w:p>
        </w:tc>
        <w:tc>
          <w:tcPr>
            <w:tcW w:w="1420" w:type="dxa"/>
            <w:shd w:val="clear" w:color="auto" w:fill="D9E2F3"/>
            <w:vAlign w:val="center"/>
          </w:tcPr>
          <w:p w14:paraId="148EB5A9">
            <w:pPr>
              <w:jc w:val="center"/>
              <w:rPr>
                <w:rFonts w:ascii="宋体" w:hAnsi="宋体" w:eastAsia="宋体" w:cs="宋体"/>
                <w:b/>
                <w:color w:val="000000"/>
                <w:szCs w:val="21"/>
                <w:highlight w:val="none"/>
              </w:rPr>
            </w:pPr>
            <w:r>
              <w:rPr>
                <w:rFonts w:hint="eastAsia" w:ascii="宋体" w:hAnsi="宋体" w:eastAsia="宋体" w:cs="宋体"/>
                <w:b/>
                <w:color w:val="000000"/>
                <w:szCs w:val="21"/>
                <w:highlight w:val="none"/>
              </w:rPr>
              <w:t>单项限价</w:t>
            </w:r>
          </w:p>
          <w:p w14:paraId="5E260B6D">
            <w:pPr>
              <w:jc w:val="center"/>
              <w:rPr>
                <w:rFonts w:ascii="宋体" w:hAnsi="宋体" w:eastAsia="宋体" w:cs="宋体"/>
                <w:b/>
                <w:color w:val="000000"/>
                <w:szCs w:val="21"/>
                <w:highlight w:val="none"/>
              </w:rPr>
            </w:pPr>
            <w:r>
              <w:rPr>
                <w:rFonts w:hint="eastAsia" w:ascii="宋体" w:hAnsi="宋体" w:eastAsia="宋体" w:cs="宋体"/>
                <w:b/>
                <w:color w:val="000000"/>
                <w:szCs w:val="21"/>
                <w:highlight w:val="none"/>
              </w:rPr>
              <w:t>（输出单价）</w:t>
            </w:r>
            <w:r>
              <w:rPr>
                <w:rFonts w:hint="eastAsia" w:ascii="宋体" w:hAnsi="宋体" w:eastAsia="宋体" w:cs="宋体"/>
                <w:b/>
                <w:color w:val="000000"/>
                <w:szCs w:val="21"/>
                <w:highlight w:val="none"/>
              </w:rPr>
              <w:br w:type="textWrapping"/>
            </w:r>
            <w:r>
              <w:rPr>
                <w:rFonts w:hint="eastAsia" w:ascii="宋体" w:hAnsi="宋体" w:eastAsia="宋体" w:cs="宋体"/>
                <w:b/>
                <w:color w:val="000000"/>
                <w:szCs w:val="21"/>
                <w:highlight w:val="none"/>
              </w:rPr>
              <w:t>（元）</w:t>
            </w:r>
          </w:p>
        </w:tc>
      </w:tr>
      <w:tr w14:paraId="4A9B1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11" w:type="dxa"/>
            <w:vAlign w:val="center"/>
          </w:tcPr>
          <w:p w14:paraId="35F8971D">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p>
        </w:tc>
        <w:tc>
          <w:tcPr>
            <w:tcW w:w="1501" w:type="dxa"/>
            <w:shd w:val="clear" w:color="auto" w:fill="auto"/>
            <w:vAlign w:val="center"/>
          </w:tcPr>
          <w:p w14:paraId="2D4BDA95">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通用大模型（旗舰）</w:t>
            </w:r>
          </w:p>
        </w:tc>
        <w:tc>
          <w:tcPr>
            <w:tcW w:w="2441" w:type="dxa"/>
            <w:vAlign w:val="center"/>
          </w:tcPr>
          <w:p w14:paraId="0113D4C8">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 xml:space="preserve">通义千问 Qwen3.7-Max </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 xml:space="preserve"> Qwen3.6-Plus </w:t>
            </w:r>
            <w:r>
              <w:rPr>
                <w:rFonts w:hint="eastAsia" w:ascii="宋体" w:hAnsi="宋体" w:eastAsia="宋体" w:cs="宋体"/>
                <w:color w:val="000000"/>
                <w:szCs w:val="21"/>
                <w:highlight w:val="none"/>
                <w:lang w:val="en-US" w:eastAsia="zh-CN"/>
              </w:rPr>
              <w:t>及</w:t>
            </w:r>
            <w:r>
              <w:rPr>
                <w:rFonts w:hint="eastAsia" w:ascii="宋体" w:hAnsi="宋体" w:eastAsia="宋体" w:cs="宋体"/>
                <w:color w:val="000000"/>
                <w:szCs w:val="21"/>
                <w:highlight w:val="none"/>
              </w:rPr>
              <w:t xml:space="preserve"> Flash</w:t>
            </w:r>
          </w:p>
        </w:tc>
        <w:tc>
          <w:tcPr>
            <w:tcW w:w="1459" w:type="dxa"/>
            <w:vAlign w:val="center"/>
          </w:tcPr>
          <w:p w14:paraId="2DDA1561">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百万tokens</w:t>
            </w:r>
          </w:p>
        </w:tc>
        <w:tc>
          <w:tcPr>
            <w:tcW w:w="1473" w:type="dxa"/>
            <w:vAlign w:val="center"/>
          </w:tcPr>
          <w:p w14:paraId="2BE150B8">
            <w:pPr>
              <w:jc w:val="center"/>
              <w:rPr>
                <w:rFonts w:ascii="宋体" w:hAnsi="宋体" w:eastAsia="宋体" w:cs="宋体"/>
                <w:color w:val="000000"/>
                <w:szCs w:val="21"/>
                <w:highlight w:val="none"/>
              </w:rPr>
            </w:pPr>
            <w:r>
              <w:rPr>
                <w:rFonts w:hint="eastAsia" w:ascii="宋体" w:hAnsi="宋体" w:eastAsia="宋体" w:cs="宋体"/>
                <w:color w:val="000000"/>
                <w:sz w:val="24"/>
                <w:highlight w:val="none"/>
                <w:lang w:val="en-US" w:eastAsia="zh-CN"/>
              </w:rPr>
              <w:t>12</w:t>
            </w:r>
          </w:p>
        </w:tc>
        <w:tc>
          <w:tcPr>
            <w:tcW w:w="1420" w:type="dxa"/>
            <w:vAlign w:val="center"/>
          </w:tcPr>
          <w:p w14:paraId="65B4BE78">
            <w:pPr>
              <w:jc w:val="center"/>
              <w:rPr>
                <w:rFonts w:ascii="宋体" w:hAnsi="宋体" w:eastAsia="宋体" w:cs="宋体"/>
                <w:color w:val="000000"/>
                <w:szCs w:val="21"/>
                <w:highlight w:val="none"/>
              </w:rPr>
            </w:pPr>
            <w:r>
              <w:rPr>
                <w:rFonts w:hint="eastAsia" w:ascii="宋体" w:hAnsi="宋体" w:eastAsia="宋体" w:cs="宋体"/>
                <w:color w:val="000000"/>
                <w:sz w:val="24"/>
                <w:highlight w:val="none"/>
                <w:lang w:val="en-US" w:eastAsia="zh-CN"/>
              </w:rPr>
              <w:t>36</w:t>
            </w:r>
          </w:p>
        </w:tc>
      </w:tr>
      <w:tr w14:paraId="0903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11" w:type="dxa"/>
            <w:vAlign w:val="center"/>
          </w:tcPr>
          <w:p w14:paraId="795C040B">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p>
        </w:tc>
        <w:tc>
          <w:tcPr>
            <w:tcW w:w="1501" w:type="dxa"/>
            <w:shd w:val="clear" w:color="auto" w:fill="auto"/>
            <w:vAlign w:val="center"/>
          </w:tcPr>
          <w:p w14:paraId="5CA5E499">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通用大模型（旗舰）</w:t>
            </w:r>
          </w:p>
        </w:tc>
        <w:tc>
          <w:tcPr>
            <w:tcW w:w="2441" w:type="dxa"/>
            <w:vAlign w:val="center"/>
          </w:tcPr>
          <w:p w14:paraId="7910B4A0">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 xml:space="preserve">DeepSeek-V4-Pro </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 xml:space="preserve"> V4-Flash</w:t>
            </w:r>
          </w:p>
        </w:tc>
        <w:tc>
          <w:tcPr>
            <w:tcW w:w="1459" w:type="dxa"/>
            <w:vAlign w:val="center"/>
          </w:tcPr>
          <w:p w14:paraId="3B0FCA02">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百万tokens</w:t>
            </w:r>
          </w:p>
        </w:tc>
        <w:tc>
          <w:tcPr>
            <w:tcW w:w="1473" w:type="dxa"/>
            <w:vAlign w:val="center"/>
          </w:tcPr>
          <w:p w14:paraId="08851D6C">
            <w:pPr>
              <w:jc w:val="center"/>
              <w:rPr>
                <w:rFonts w:ascii="宋体" w:hAnsi="宋体" w:eastAsia="宋体" w:cs="宋体"/>
                <w:color w:val="000000"/>
                <w:szCs w:val="21"/>
                <w:highlight w:val="none"/>
              </w:rPr>
            </w:pPr>
            <w:r>
              <w:rPr>
                <w:rFonts w:hint="eastAsia" w:ascii="宋体" w:hAnsi="宋体" w:eastAsia="宋体" w:cs="宋体"/>
                <w:color w:val="000000"/>
                <w:sz w:val="24"/>
                <w:highlight w:val="none"/>
                <w:lang w:val="en-US" w:eastAsia="zh-CN"/>
              </w:rPr>
              <w:t>1</w:t>
            </w:r>
          </w:p>
        </w:tc>
        <w:tc>
          <w:tcPr>
            <w:tcW w:w="1420" w:type="dxa"/>
            <w:vAlign w:val="center"/>
          </w:tcPr>
          <w:p w14:paraId="4D067132">
            <w:pPr>
              <w:jc w:val="center"/>
              <w:rPr>
                <w:rFonts w:ascii="宋体" w:hAnsi="宋体" w:eastAsia="宋体" w:cs="宋体"/>
                <w:color w:val="000000"/>
                <w:szCs w:val="21"/>
                <w:highlight w:val="none"/>
              </w:rPr>
            </w:pPr>
            <w:r>
              <w:rPr>
                <w:rFonts w:hint="eastAsia" w:ascii="宋体" w:hAnsi="宋体" w:eastAsia="宋体" w:cs="宋体"/>
                <w:color w:val="000000"/>
                <w:sz w:val="24"/>
                <w:highlight w:val="none"/>
                <w:lang w:val="en-US" w:eastAsia="zh-CN"/>
              </w:rPr>
              <w:t>2</w:t>
            </w:r>
          </w:p>
        </w:tc>
      </w:tr>
      <w:tr w14:paraId="6246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611" w:type="dxa"/>
            <w:vAlign w:val="center"/>
          </w:tcPr>
          <w:p w14:paraId="1959FEBA">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3</w:t>
            </w:r>
          </w:p>
        </w:tc>
        <w:tc>
          <w:tcPr>
            <w:tcW w:w="1501" w:type="dxa"/>
            <w:shd w:val="clear" w:color="auto" w:fill="auto"/>
            <w:vAlign w:val="center"/>
          </w:tcPr>
          <w:p w14:paraId="0BABDA2A">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通用大模型</w:t>
            </w:r>
          </w:p>
        </w:tc>
        <w:tc>
          <w:tcPr>
            <w:tcW w:w="2441" w:type="dxa"/>
            <w:vAlign w:val="center"/>
          </w:tcPr>
          <w:p w14:paraId="5BD54196">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 xml:space="preserve">GLM-5.1  </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GLM-5.2</w:t>
            </w:r>
          </w:p>
        </w:tc>
        <w:tc>
          <w:tcPr>
            <w:tcW w:w="1459" w:type="dxa"/>
            <w:vAlign w:val="center"/>
          </w:tcPr>
          <w:p w14:paraId="678503F3">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百万tokens</w:t>
            </w:r>
          </w:p>
        </w:tc>
        <w:tc>
          <w:tcPr>
            <w:tcW w:w="1473" w:type="dxa"/>
            <w:vAlign w:val="center"/>
          </w:tcPr>
          <w:p w14:paraId="58980F67">
            <w:pPr>
              <w:jc w:val="center"/>
              <w:rPr>
                <w:rFonts w:ascii="宋体" w:hAnsi="宋体" w:eastAsia="宋体" w:cs="宋体"/>
                <w:color w:val="000000"/>
                <w:szCs w:val="21"/>
                <w:highlight w:val="none"/>
              </w:rPr>
            </w:pPr>
            <w:r>
              <w:rPr>
                <w:rFonts w:hint="eastAsia" w:ascii="宋体" w:hAnsi="宋体" w:eastAsia="宋体" w:cs="宋体"/>
                <w:color w:val="000000"/>
                <w:sz w:val="24"/>
                <w:highlight w:val="none"/>
                <w:lang w:val="en-US" w:eastAsia="zh-CN"/>
              </w:rPr>
              <w:t>8</w:t>
            </w:r>
          </w:p>
        </w:tc>
        <w:tc>
          <w:tcPr>
            <w:tcW w:w="1420" w:type="dxa"/>
            <w:vAlign w:val="center"/>
          </w:tcPr>
          <w:p w14:paraId="048695BA">
            <w:pPr>
              <w:jc w:val="center"/>
              <w:rPr>
                <w:rFonts w:ascii="宋体" w:hAnsi="宋体" w:eastAsia="宋体" w:cs="宋体"/>
                <w:color w:val="000000"/>
                <w:szCs w:val="21"/>
                <w:highlight w:val="none"/>
              </w:rPr>
            </w:pPr>
            <w:r>
              <w:rPr>
                <w:rFonts w:hint="eastAsia" w:ascii="宋体" w:hAnsi="宋体" w:eastAsia="宋体" w:cs="宋体"/>
                <w:color w:val="000000"/>
                <w:sz w:val="24"/>
                <w:highlight w:val="none"/>
                <w:lang w:val="en-US" w:eastAsia="zh-CN"/>
              </w:rPr>
              <w:t>28</w:t>
            </w:r>
          </w:p>
        </w:tc>
      </w:tr>
      <w:tr w14:paraId="101CD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611" w:type="dxa"/>
            <w:vAlign w:val="center"/>
          </w:tcPr>
          <w:p w14:paraId="6FEB9601">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4</w:t>
            </w:r>
          </w:p>
        </w:tc>
        <w:tc>
          <w:tcPr>
            <w:tcW w:w="1501" w:type="dxa"/>
            <w:shd w:val="clear" w:color="auto" w:fill="auto"/>
            <w:vAlign w:val="center"/>
          </w:tcPr>
          <w:p w14:paraId="279C8458">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通用大模型</w:t>
            </w:r>
          </w:p>
        </w:tc>
        <w:tc>
          <w:tcPr>
            <w:tcW w:w="2441" w:type="dxa"/>
            <w:vAlign w:val="center"/>
          </w:tcPr>
          <w:p w14:paraId="15FBA768">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Kimi-K2.6</w:t>
            </w:r>
          </w:p>
        </w:tc>
        <w:tc>
          <w:tcPr>
            <w:tcW w:w="1459" w:type="dxa"/>
            <w:vAlign w:val="center"/>
          </w:tcPr>
          <w:p w14:paraId="02B8E8A8">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百万tokens</w:t>
            </w:r>
          </w:p>
        </w:tc>
        <w:tc>
          <w:tcPr>
            <w:tcW w:w="1473" w:type="dxa"/>
            <w:vAlign w:val="center"/>
          </w:tcPr>
          <w:p w14:paraId="0C3D3C17">
            <w:pPr>
              <w:jc w:val="center"/>
              <w:rPr>
                <w:rFonts w:ascii="宋体" w:hAnsi="宋体" w:eastAsia="宋体" w:cs="宋体"/>
                <w:color w:val="000000"/>
                <w:szCs w:val="21"/>
                <w:highlight w:val="none"/>
              </w:rPr>
            </w:pPr>
            <w:r>
              <w:rPr>
                <w:rFonts w:hint="eastAsia" w:ascii="宋体" w:hAnsi="宋体" w:eastAsia="宋体" w:cs="宋体"/>
                <w:color w:val="000000"/>
                <w:sz w:val="24"/>
                <w:highlight w:val="none"/>
                <w:lang w:val="en-US" w:eastAsia="zh-CN"/>
              </w:rPr>
              <w:t>6.5</w:t>
            </w:r>
          </w:p>
        </w:tc>
        <w:tc>
          <w:tcPr>
            <w:tcW w:w="1420" w:type="dxa"/>
            <w:vAlign w:val="center"/>
          </w:tcPr>
          <w:p w14:paraId="0EFB09F2">
            <w:pPr>
              <w:jc w:val="center"/>
              <w:rPr>
                <w:rFonts w:ascii="宋体" w:hAnsi="宋体" w:eastAsia="宋体" w:cs="宋体"/>
                <w:color w:val="000000"/>
                <w:szCs w:val="21"/>
                <w:highlight w:val="none"/>
              </w:rPr>
            </w:pPr>
            <w:r>
              <w:rPr>
                <w:rFonts w:hint="eastAsia" w:ascii="宋体" w:hAnsi="宋体" w:eastAsia="宋体" w:cs="宋体"/>
                <w:color w:val="000000"/>
                <w:sz w:val="24"/>
                <w:highlight w:val="none"/>
                <w:lang w:val="en-US" w:eastAsia="zh-CN"/>
              </w:rPr>
              <w:t>27</w:t>
            </w:r>
          </w:p>
        </w:tc>
      </w:tr>
      <w:tr w14:paraId="3392E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611" w:type="dxa"/>
            <w:vAlign w:val="center"/>
          </w:tcPr>
          <w:p w14:paraId="39702E50">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5</w:t>
            </w:r>
          </w:p>
        </w:tc>
        <w:tc>
          <w:tcPr>
            <w:tcW w:w="1501" w:type="dxa"/>
            <w:shd w:val="clear" w:color="auto" w:fill="auto"/>
            <w:vAlign w:val="center"/>
          </w:tcPr>
          <w:p w14:paraId="2FBEB00D">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通用大模型</w:t>
            </w:r>
          </w:p>
        </w:tc>
        <w:tc>
          <w:tcPr>
            <w:tcW w:w="2441" w:type="dxa"/>
            <w:vAlign w:val="center"/>
          </w:tcPr>
          <w:p w14:paraId="5A02607B">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MiniMax-M2.5</w:t>
            </w:r>
          </w:p>
        </w:tc>
        <w:tc>
          <w:tcPr>
            <w:tcW w:w="1459" w:type="dxa"/>
            <w:vAlign w:val="center"/>
          </w:tcPr>
          <w:p w14:paraId="2BC211CC">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百万tokens</w:t>
            </w:r>
          </w:p>
        </w:tc>
        <w:tc>
          <w:tcPr>
            <w:tcW w:w="1473" w:type="dxa"/>
            <w:vAlign w:val="center"/>
          </w:tcPr>
          <w:p w14:paraId="3CAE6800">
            <w:pPr>
              <w:jc w:val="center"/>
              <w:rPr>
                <w:rFonts w:ascii="宋体" w:hAnsi="宋体" w:eastAsia="宋体" w:cs="宋体"/>
                <w:color w:val="000000"/>
                <w:szCs w:val="21"/>
                <w:highlight w:val="none"/>
              </w:rPr>
            </w:pPr>
            <w:r>
              <w:rPr>
                <w:rFonts w:hint="eastAsia" w:ascii="宋体" w:hAnsi="宋体" w:eastAsia="宋体" w:cs="宋体"/>
                <w:color w:val="000000"/>
                <w:sz w:val="24"/>
                <w:highlight w:val="none"/>
                <w:lang w:val="en-US" w:eastAsia="zh-CN"/>
              </w:rPr>
              <w:t>2.1</w:t>
            </w:r>
          </w:p>
        </w:tc>
        <w:tc>
          <w:tcPr>
            <w:tcW w:w="1420" w:type="dxa"/>
            <w:vAlign w:val="center"/>
          </w:tcPr>
          <w:p w14:paraId="209473EB">
            <w:pPr>
              <w:jc w:val="center"/>
              <w:rPr>
                <w:rFonts w:ascii="宋体" w:hAnsi="宋体" w:eastAsia="宋体" w:cs="宋体"/>
                <w:color w:val="000000"/>
                <w:szCs w:val="21"/>
                <w:highlight w:val="none"/>
              </w:rPr>
            </w:pPr>
            <w:r>
              <w:rPr>
                <w:rFonts w:hint="eastAsia" w:ascii="宋体" w:hAnsi="宋体" w:eastAsia="宋体" w:cs="宋体"/>
                <w:color w:val="000000"/>
                <w:sz w:val="24"/>
                <w:highlight w:val="none"/>
                <w:lang w:val="en-US" w:eastAsia="zh-CN"/>
              </w:rPr>
              <w:t>8.4</w:t>
            </w:r>
          </w:p>
        </w:tc>
      </w:tr>
      <w:tr w14:paraId="35CCF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611" w:type="dxa"/>
            <w:vAlign w:val="center"/>
          </w:tcPr>
          <w:p w14:paraId="12FAB42A">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6</w:t>
            </w:r>
          </w:p>
        </w:tc>
        <w:tc>
          <w:tcPr>
            <w:tcW w:w="1501" w:type="dxa"/>
            <w:shd w:val="clear" w:color="auto" w:fill="auto"/>
            <w:vAlign w:val="center"/>
          </w:tcPr>
          <w:p w14:paraId="423FF58E">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多模态模型（文字生视频）</w:t>
            </w:r>
          </w:p>
        </w:tc>
        <w:tc>
          <w:tcPr>
            <w:tcW w:w="2441" w:type="dxa"/>
            <w:vAlign w:val="center"/>
          </w:tcPr>
          <w:p w14:paraId="54453EBF">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happyhorse</w:t>
            </w:r>
          </w:p>
        </w:tc>
        <w:tc>
          <w:tcPr>
            <w:tcW w:w="1459" w:type="dxa"/>
            <w:vAlign w:val="center"/>
          </w:tcPr>
          <w:p w14:paraId="1D85F664">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秒</w:t>
            </w:r>
          </w:p>
        </w:tc>
        <w:tc>
          <w:tcPr>
            <w:tcW w:w="1473" w:type="dxa"/>
            <w:vAlign w:val="center"/>
          </w:tcPr>
          <w:p w14:paraId="454D8F09">
            <w:pPr>
              <w:jc w:val="cente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w:t>
            </w:r>
          </w:p>
        </w:tc>
        <w:tc>
          <w:tcPr>
            <w:tcW w:w="1420" w:type="dxa"/>
            <w:vAlign w:val="center"/>
          </w:tcPr>
          <w:p w14:paraId="578833C5">
            <w:pPr>
              <w:jc w:val="center"/>
              <w:rPr>
                <w:rFonts w:ascii="宋体" w:hAnsi="宋体" w:eastAsia="宋体" w:cs="宋体"/>
                <w:color w:val="000000"/>
                <w:szCs w:val="21"/>
                <w:highlight w:val="none"/>
              </w:rPr>
            </w:pPr>
            <w:r>
              <w:rPr>
                <w:rFonts w:hint="eastAsia" w:ascii="宋体" w:hAnsi="宋体" w:eastAsia="宋体" w:cs="宋体"/>
                <w:color w:val="000000"/>
                <w:sz w:val="24"/>
                <w:highlight w:val="none"/>
                <w:lang w:val="en-US" w:eastAsia="zh-CN"/>
              </w:rPr>
              <w:t>1.2</w:t>
            </w:r>
          </w:p>
        </w:tc>
      </w:tr>
      <w:tr w14:paraId="26789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611" w:type="dxa"/>
            <w:vAlign w:val="center"/>
          </w:tcPr>
          <w:p w14:paraId="7810C94E">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7</w:t>
            </w:r>
          </w:p>
        </w:tc>
        <w:tc>
          <w:tcPr>
            <w:tcW w:w="1501" w:type="dxa"/>
            <w:shd w:val="clear" w:color="auto" w:fill="auto"/>
            <w:vAlign w:val="center"/>
          </w:tcPr>
          <w:p w14:paraId="50897609">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多模态模型（文字生图）</w:t>
            </w:r>
          </w:p>
        </w:tc>
        <w:tc>
          <w:tcPr>
            <w:tcW w:w="2441" w:type="dxa"/>
            <w:vAlign w:val="center"/>
          </w:tcPr>
          <w:p w14:paraId="45806D1B">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wan2.7-image</w:t>
            </w:r>
          </w:p>
        </w:tc>
        <w:tc>
          <w:tcPr>
            <w:tcW w:w="1459" w:type="dxa"/>
            <w:vAlign w:val="center"/>
          </w:tcPr>
          <w:p w14:paraId="6E00F37D">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张</w:t>
            </w:r>
          </w:p>
        </w:tc>
        <w:tc>
          <w:tcPr>
            <w:tcW w:w="1473" w:type="dxa"/>
            <w:vAlign w:val="center"/>
          </w:tcPr>
          <w:p w14:paraId="14807B0A">
            <w:pPr>
              <w:jc w:val="cente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w:t>
            </w:r>
          </w:p>
        </w:tc>
        <w:tc>
          <w:tcPr>
            <w:tcW w:w="1420" w:type="dxa"/>
            <w:vAlign w:val="center"/>
          </w:tcPr>
          <w:p w14:paraId="3DEF04F5">
            <w:pPr>
              <w:jc w:val="center"/>
              <w:rPr>
                <w:rFonts w:ascii="宋体" w:hAnsi="宋体" w:eastAsia="宋体" w:cs="宋体"/>
                <w:color w:val="000000"/>
                <w:szCs w:val="21"/>
                <w:highlight w:val="none"/>
              </w:rPr>
            </w:pPr>
            <w:r>
              <w:rPr>
                <w:rFonts w:hint="eastAsia" w:ascii="宋体" w:hAnsi="宋体" w:eastAsia="宋体" w:cs="宋体"/>
                <w:color w:val="000000"/>
                <w:sz w:val="24"/>
                <w:highlight w:val="none"/>
                <w:lang w:val="en-US" w:eastAsia="zh-CN"/>
              </w:rPr>
              <w:t>1.2</w:t>
            </w:r>
          </w:p>
        </w:tc>
      </w:tr>
      <w:tr w14:paraId="0E1CE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611" w:type="dxa"/>
            <w:vAlign w:val="center"/>
          </w:tcPr>
          <w:p w14:paraId="629D741F">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8</w:t>
            </w:r>
          </w:p>
        </w:tc>
        <w:tc>
          <w:tcPr>
            <w:tcW w:w="1501" w:type="dxa"/>
            <w:shd w:val="clear" w:color="auto" w:fill="auto"/>
            <w:vAlign w:val="center"/>
          </w:tcPr>
          <w:p w14:paraId="52905D98">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多模态模型（语音合成）</w:t>
            </w:r>
          </w:p>
        </w:tc>
        <w:tc>
          <w:tcPr>
            <w:tcW w:w="2441" w:type="dxa"/>
            <w:vAlign w:val="center"/>
          </w:tcPr>
          <w:p w14:paraId="7042AD3F">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cosyvoice-v3.5-plus</w:t>
            </w:r>
          </w:p>
        </w:tc>
        <w:tc>
          <w:tcPr>
            <w:tcW w:w="1459" w:type="dxa"/>
            <w:vAlign w:val="center"/>
          </w:tcPr>
          <w:p w14:paraId="10AE4520">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每万字符</w:t>
            </w:r>
          </w:p>
        </w:tc>
        <w:tc>
          <w:tcPr>
            <w:tcW w:w="1473" w:type="dxa"/>
            <w:vAlign w:val="center"/>
          </w:tcPr>
          <w:p w14:paraId="0397BB7C">
            <w:pPr>
              <w:jc w:val="cente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w:t>
            </w:r>
          </w:p>
        </w:tc>
        <w:tc>
          <w:tcPr>
            <w:tcW w:w="1420" w:type="dxa"/>
            <w:vAlign w:val="center"/>
          </w:tcPr>
          <w:p w14:paraId="5FD44F0D">
            <w:pPr>
              <w:jc w:val="center"/>
              <w:rPr>
                <w:rFonts w:ascii="宋体" w:hAnsi="宋体" w:eastAsia="宋体" w:cs="宋体"/>
                <w:color w:val="000000"/>
                <w:szCs w:val="21"/>
                <w:highlight w:val="none"/>
              </w:rPr>
            </w:pPr>
            <w:r>
              <w:rPr>
                <w:rFonts w:hint="eastAsia" w:ascii="宋体" w:hAnsi="宋体" w:eastAsia="宋体" w:cs="宋体"/>
                <w:color w:val="000000"/>
                <w:sz w:val="24"/>
                <w:highlight w:val="none"/>
                <w:lang w:val="en-US" w:eastAsia="zh-CN"/>
              </w:rPr>
              <w:t>1.5</w:t>
            </w:r>
          </w:p>
        </w:tc>
      </w:tr>
      <w:tr w14:paraId="7BFD3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611" w:type="dxa"/>
            <w:vAlign w:val="center"/>
          </w:tcPr>
          <w:p w14:paraId="594799A9">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9</w:t>
            </w:r>
          </w:p>
        </w:tc>
        <w:tc>
          <w:tcPr>
            <w:tcW w:w="1501" w:type="dxa"/>
            <w:shd w:val="clear" w:color="auto" w:fill="auto"/>
            <w:vAlign w:val="center"/>
          </w:tcPr>
          <w:p w14:paraId="4BB50E6B">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桌面智能体终端</w:t>
            </w:r>
          </w:p>
        </w:tc>
        <w:tc>
          <w:tcPr>
            <w:tcW w:w="2441" w:type="dxa"/>
            <w:vAlign w:val="center"/>
          </w:tcPr>
          <w:p w14:paraId="0CA7C950">
            <w:pPr>
              <w:jc w:val="center"/>
              <w:rPr>
                <w:rFonts w:ascii="宋体" w:hAnsi="宋体" w:eastAsia="宋体" w:cs="宋体"/>
                <w:color w:val="000000"/>
                <w:szCs w:val="21"/>
                <w:highlight w:val="none"/>
              </w:rPr>
            </w:pPr>
            <w:r>
              <w:rPr>
                <w:rFonts w:hint="eastAsia" w:ascii="Times New Roman" w:hAnsi="Times New Roman" w:eastAsia="宋体" w:cs="Times New Roman"/>
                <w:color w:val="000000"/>
                <w:highlight w:val="none"/>
              </w:rPr>
              <w:t>支持序号1-8所有模型</w:t>
            </w:r>
          </w:p>
        </w:tc>
        <w:tc>
          <w:tcPr>
            <w:tcW w:w="1459" w:type="dxa"/>
            <w:vAlign w:val="center"/>
          </w:tcPr>
          <w:p w14:paraId="514C63D9">
            <w:pPr>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席位</w:t>
            </w:r>
          </w:p>
        </w:tc>
        <w:tc>
          <w:tcPr>
            <w:tcW w:w="1473" w:type="dxa"/>
            <w:vAlign w:val="center"/>
          </w:tcPr>
          <w:p w14:paraId="01FA9974">
            <w:pPr>
              <w:jc w:val="cente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w:t>
            </w:r>
          </w:p>
        </w:tc>
        <w:tc>
          <w:tcPr>
            <w:tcW w:w="1420" w:type="dxa"/>
            <w:vAlign w:val="center"/>
          </w:tcPr>
          <w:p w14:paraId="728DEBF8">
            <w:pPr>
              <w:jc w:val="center"/>
              <w:rPr>
                <w:rFonts w:ascii="宋体" w:hAnsi="宋体" w:eastAsia="宋体" w:cs="宋体"/>
                <w:color w:val="000000"/>
                <w:szCs w:val="21"/>
                <w:highlight w:val="none"/>
              </w:rPr>
            </w:pPr>
            <w:r>
              <w:rPr>
                <w:rFonts w:hint="eastAsia" w:ascii="宋体" w:hAnsi="宋体" w:eastAsia="宋体" w:cs="宋体"/>
                <w:color w:val="000000"/>
                <w:sz w:val="24"/>
                <w:highlight w:val="none"/>
                <w:lang w:val="en-US" w:eastAsia="zh-CN"/>
              </w:rPr>
              <w:t>298</w:t>
            </w:r>
          </w:p>
        </w:tc>
      </w:tr>
    </w:tbl>
    <w:p w14:paraId="5E96B2F4">
      <w:pPr>
        <w:spacing w:line="312" w:lineRule="auto"/>
        <w:ind w:firstLine="420" w:firstLineChars="200"/>
        <w:jc w:val="left"/>
        <w:rPr>
          <w:rFonts w:ascii="宋体" w:hAnsi="宋体" w:eastAsia="宋体" w:cs="宋体"/>
          <w:color w:val="000000"/>
          <w:szCs w:val="21"/>
          <w:highlight w:val="none"/>
        </w:rPr>
      </w:pPr>
    </w:p>
    <w:p w14:paraId="7D9CDC85">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采购需求：南京医科大学大模型服务采购项目，具体详见磋商文件。</w:t>
      </w:r>
    </w:p>
    <w:p w14:paraId="2CB03A68">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合同履行期限：</w:t>
      </w:r>
      <w:bookmarkStart w:id="6" w:name="_Toc35393622"/>
      <w:bookmarkStart w:id="7" w:name="_Toc35393791"/>
      <w:bookmarkStart w:id="8" w:name="_Toc28359003"/>
      <w:bookmarkStart w:id="9" w:name="_Toc28359080"/>
      <w:r>
        <w:rPr>
          <w:rFonts w:hint="eastAsia" w:ascii="宋体" w:hAnsi="宋体" w:eastAsia="宋体" w:cs="宋体"/>
          <w:color w:val="000000"/>
          <w:szCs w:val="21"/>
          <w:highlight w:val="none"/>
        </w:rPr>
        <w:t>自合同签订之日起一年。</w:t>
      </w:r>
    </w:p>
    <w:p w14:paraId="6922F2F7">
      <w:pPr>
        <w:spacing w:line="312" w:lineRule="auto"/>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本项目（是/否）接受联合体：否。</w:t>
      </w:r>
    </w:p>
    <w:p w14:paraId="7CCFD62D">
      <w:pPr>
        <w:spacing w:line="312" w:lineRule="auto"/>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二、申请人的资格要求：</w:t>
      </w:r>
      <w:bookmarkEnd w:id="6"/>
      <w:bookmarkEnd w:id="7"/>
      <w:bookmarkEnd w:id="8"/>
      <w:bookmarkEnd w:id="9"/>
    </w:p>
    <w:p w14:paraId="4C58847E">
      <w:pPr>
        <w:spacing w:line="312" w:lineRule="auto"/>
        <w:ind w:firstLine="420" w:firstLineChars="200"/>
        <w:jc w:val="left"/>
        <w:rPr>
          <w:rFonts w:ascii="宋体" w:hAnsi="宋体" w:eastAsia="宋体" w:cs="宋体"/>
          <w:color w:val="000000"/>
          <w:szCs w:val="21"/>
          <w:highlight w:val="none"/>
        </w:rPr>
      </w:pPr>
      <w:bookmarkStart w:id="10" w:name="_Toc28359004"/>
      <w:bookmarkStart w:id="11" w:name="_Toc28359081"/>
      <w:bookmarkStart w:id="12" w:name="_Toc35393623"/>
      <w:bookmarkStart w:id="13" w:name="_Toc35393792"/>
      <w:bookmarkStart w:id="14" w:name="_Toc28359005"/>
      <w:bookmarkStart w:id="15" w:name="_Toc28359082"/>
      <w:bookmarkStart w:id="16" w:name="_Toc35393793"/>
      <w:bookmarkStart w:id="17" w:name="_Toc35393624"/>
      <w:r>
        <w:rPr>
          <w:rFonts w:hint="eastAsia" w:ascii="宋体" w:hAnsi="宋体" w:eastAsia="宋体" w:cs="宋体"/>
          <w:color w:val="000000"/>
          <w:szCs w:val="21"/>
          <w:highlight w:val="none"/>
        </w:rPr>
        <w:t>（一）满足《中华人民共和国政府采购法》第二十二条规定；</w:t>
      </w:r>
    </w:p>
    <w:p w14:paraId="7ADFB142">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具有独立承担民事责任的能力（提供法人或者其他组织的营业执照；供应商为自然人的提供其身份证，提供相关证明材料复印件并加盖公章）；</w:t>
      </w:r>
    </w:p>
    <w:p w14:paraId="72A028DC">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2.具有良好的商业信誉和健全的财务会计制度（提供上一年度审计报告，或提交响应文件截止时间前六个月内任意一个月的财务状况报告（至少包括资产负债表和利润表）或提交响应文件截止时间前六个月内银行出具的资信证明）</w:t>
      </w:r>
      <w:r>
        <w:rPr>
          <w:rFonts w:ascii="宋体" w:hAnsi="宋体" w:eastAsia="宋体" w:cs="宋体"/>
          <w:color w:val="000000"/>
          <w:szCs w:val="21"/>
          <w:highlight w:val="none"/>
        </w:rPr>
        <w:t>；</w:t>
      </w:r>
    </w:p>
    <w:p w14:paraId="054C71BE">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3.</w:t>
      </w:r>
      <w:bookmarkStart w:id="32" w:name="_GoBack"/>
      <w:r>
        <w:rPr>
          <w:rFonts w:ascii="宋体" w:hAnsi="宋体" w:eastAsia="宋体" w:cs="宋体"/>
          <w:color w:val="000000"/>
          <w:szCs w:val="21"/>
          <w:highlight w:val="none"/>
        </w:rPr>
        <w:t>具有履行合同所必需的设备和专业技术能力</w:t>
      </w:r>
      <w:bookmarkEnd w:id="32"/>
      <w:r>
        <w:rPr>
          <w:rFonts w:ascii="宋体" w:hAnsi="宋体" w:eastAsia="宋体" w:cs="宋体"/>
          <w:color w:val="000000"/>
          <w:szCs w:val="21"/>
          <w:highlight w:val="none"/>
        </w:rPr>
        <w:t>（</w:t>
      </w:r>
      <w:r>
        <w:rPr>
          <w:rFonts w:hint="eastAsia" w:ascii="宋体" w:hAnsi="宋体" w:eastAsia="宋体" w:cs="宋体"/>
          <w:color w:val="000000"/>
          <w:szCs w:val="21"/>
          <w:highlight w:val="none"/>
        </w:rPr>
        <w:t>供应商根据履行采购项目合同需要，提供履行合同所必需的设备和专业技术能力的相关证明材料复印件并加盖公章或声明函原件</w:t>
      </w:r>
      <w:r>
        <w:rPr>
          <w:rFonts w:ascii="宋体" w:hAnsi="宋体" w:eastAsia="宋体" w:cs="宋体"/>
          <w:color w:val="000000"/>
          <w:szCs w:val="21"/>
          <w:highlight w:val="none"/>
        </w:rPr>
        <w:t>）；</w:t>
      </w:r>
    </w:p>
    <w:p w14:paraId="60B43633">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4.有依法缴纳税收和社会保障资金的良好记录（提供投标截止时间前六个月内任意一个月的纳税证明文件（依法免缴的应提供相应文件说明）；并提供投标截止时间前六个月内任意一个月的依法为员工缴纳社会保障资金的证明材料（依法不需要缴纳社会保障资金的应提供相应文件说明））；</w:t>
      </w:r>
    </w:p>
    <w:p w14:paraId="7C903ADC">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5.</w:t>
      </w:r>
      <w:r>
        <w:rPr>
          <w:rFonts w:ascii="宋体" w:hAnsi="宋体" w:eastAsia="宋体" w:cs="宋体"/>
          <w:color w:val="000000"/>
          <w:szCs w:val="21"/>
          <w:highlight w:val="none"/>
        </w:rPr>
        <w:t>参加政府采购活动前三年内，在经营活动中没有重大违法记录（提供承诺书原件）；</w:t>
      </w:r>
    </w:p>
    <w:p w14:paraId="442EFF2F">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6.</w:t>
      </w:r>
      <w:r>
        <w:rPr>
          <w:rFonts w:ascii="宋体" w:hAnsi="宋体" w:eastAsia="宋体" w:cs="宋体"/>
          <w:color w:val="000000"/>
          <w:szCs w:val="21"/>
          <w:highlight w:val="none"/>
        </w:rPr>
        <w:t>法律、行政法规规定的其他条件，提供相关证明材料：无。</w:t>
      </w:r>
    </w:p>
    <w:p w14:paraId="5A009241">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7.注：①前款第5条所称重大违法记录，是指供应商因违法经营受到刑事处罚或者责令停产停业、吊销许可证或者执照、较大数额罚款等行政处罚。</w:t>
      </w:r>
    </w:p>
    <w:p w14:paraId="62F79BD5">
      <w:pPr>
        <w:spacing w:line="312" w:lineRule="auto"/>
        <w:ind w:firstLine="420" w:firstLineChars="200"/>
        <w:jc w:val="left"/>
        <w:rPr>
          <w:rFonts w:ascii="Times New Roman" w:hAnsi="Times New Roman" w:eastAsia="宋体" w:cs="Times New Roman"/>
          <w:color w:val="000000"/>
          <w:highlight w:val="none"/>
        </w:rPr>
      </w:pPr>
      <w:r>
        <w:rPr>
          <w:rFonts w:hint="eastAsia" w:ascii="宋体" w:hAnsi="宋体" w:eastAsia="宋体" w:cs="宋体"/>
          <w:color w:val="000000"/>
          <w:szCs w:val="21"/>
          <w:highlight w:val="none"/>
        </w:rPr>
        <w:t>②供应商在参加政府采购活动前3年内因违法经营被禁止在一定期限内参加政府采购活动，期限届满的，可以参加政府采购活动。</w:t>
      </w:r>
    </w:p>
    <w:p w14:paraId="50221A83">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（二）落实政府采购政策需满足的资格要求：如为中小微型企业、监狱企业、残疾人福利性单位，提供的产品为国家认定的节能产品和环保产品的须按要求提供相关材料。</w:t>
      </w:r>
    </w:p>
    <w:p w14:paraId="475FEF27">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（三）本项目的特定资格要求：无。</w:t>
      </w:r>
    </w:p>
    <w:p w14:paraId="466683A9">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（四）本项目不接受转包、分包。</w:t>
      </w:r>
    </w:p>
    <w:p w14:paraId="65D5B1B9">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（五）拒绝下述供应商参加本次采购活动：</w:t>
      </w:r>
    </w:p>
    <w:p w14:paraId="52100369">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1.供应商单位负责人为同一人或者存在直接控股、管理关系的不同供应商，不得参加同一合同项下的采购活动。</w:t>
      </w:r>
    </w:p>
    <w:p w14:paraId="4B5FC0FD">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2.凡为采购项目提供整体设计、规范编制或者项目管理、监理、检测等服务的供应商，不得再参加本项目的采购活动。</w:t>
      </w:r>
    </w:p>
    <w:p w14:paraId="337B8EB1">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3.拒绝列入失信被执行人、重大税收违法失信主体、政府采购严重违法失信行为记录名单中的供应商参加本项目的采购活动。采购人或代理机构通过 “信用中国”网站（www.creditchina.gov.cn）、“中国政府采购网”网站（www.ccgp.gov.cn）等渠道查询供应商信用记录并保存。</w:t>
      </w:r>
    </w:p>
    <w:bookmarkEnd w:id="10"/>
    <w:bookmarkEnd w:id="11"/>
    <w:p w14:paraId="627C22A9">
      <w:pPr>
        <w:spacing w:line="312" w:lineRule="auto"/>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三、获取磋商文件</w:t>
      </w:r>
      <w:bookmarkEnd w:id="12"/>
      <w:bookmarkEnd w:id="13"/>
    </w:p>
    <w:p w14:paraId="48066669">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1、获取时间：2026年</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月</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日至2026年</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月</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日，每天上午9:00至11:30，下午14:00至17:00（北京时间，法定节假日除外）</w:t>
      </w:r>
    </w:p>
    <w:p w14:paraId="7AF2709F">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2、获取方式：</w:t>
      </w:r>
    </w:p>
    <w:p w14:paraId="54721B14">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（1）文件提供方式：纸质文件。售价：500元/份，售后不退。</w:t>
      </w:r>
    </w:p>
    <w:p w14:paraId="4554C547">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支付方式：凡有意参加本项目的供应商，请于上述获取时间内登陆网址，网址为：https://njsnzx.cn/#/detail?id=3456，按照网页提示完成采购文件领购申请。申请时须上传以下材料：营业执照副本复印件（加盖公章）、加盖公章的法人授权委托书原件、被受托人身份证复印件（加盖公章），所提供信息务必真实有效。材料上传完成后，进行对应项目费用支付。</w:t>
      </w:r>
    </w:p>
    <w:p w14:paraId="32553FC2">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（3）支付完成后，纸质文件可通过现场领取或邮寄送达两种方式，现场领取地址：南京市中山路99号12楼1212室，需邮寄送达的，请联系代理机构提供邮寄信息。</w:t>
      </w:r>
    </w:p>
    <w:p w14:paraId="5F6F524A">
      <w:pPr>
        <w:spacing w:line="360"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（4）未按照上述要求合法获取招标（采购）文件的，招标（采购）人将不予受理其投标（响应）。售价：￥500元，本公告包含的采购文件售价总和。</w:t>
      </w:r>
    </w:p>
    <w:p w14:paraId="789DAEA7">
      <w:pPr>
        <w:spacing w:line="312" w:lineRule="auto"/>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四、提交响应文件</w:t>
      </w:r>
      <w:bookmarkEnd w:id="14"/>
      <w:bookmarkEnd w:id="15"/>
      <w:r>
        <w:rPr>
          <w:rFonts w:hint="eastAsia" w:ascii="宋体" w:hAnsi="宋体" w:eastAsia="宋体" w:cs="宋体"/>
          <w:color w:val="000000"/>
          <w:szCs w:val="21"/>
          <w:highlight w:val="none"/>
        </w:rPr>
        <w:t>截止时间、开标时间和地点</w:t>
      </w:r>
      <w:bookmarkEnd w:id="16"/>
      <w:bookmarkEnd w:id="17"/>
    </w:p>
    <w:p w14:paraId="544246D6">
      <w:pPr>
        <w:spacing w:line="312" w:lineRule="auto"/>
        <w:ind w:firstLine="420" w:firstLineChars="200"/>
        <w:jc w:val="left"/>
        <w:rPr>
          <w:rFonts w:ascii="宋体" w:hAnsi="宋体" w:eastAsia="宋体" w:cs="宋体"/>
          <w:color w:val="000000"/>
          <w:szCs w:val="21"/>
          <w:highlight w:val="none"/>
          <w:u w:val="single"/>
        </w:rPr>
      </w:pPr>
      <w:r>
        <w:rPr>
          <w:rFonts w:hint="eastAsia" w:ascii="宋体" w:hAnsi="宋体" w:eastAsia="宋体" w:cs="宋体"/>
          <w:color w:val="000000"/>
          <w:szCs w:val="21"/>
          <w:highlight w:val="none"/>
        </w:rPr>
        <w:t>截止时间及开标时间：</w:t>
      </w:r>
      <w:r>
        <w:rPr>
          <w:rFonts w:hint="eastAsia" w:ascii="宋体" w:hAnsi="宋体" w:eastAsia="宋体" w:cs="宋体"/>
          <w:color w:val="000000"/>
          <w:szCs w:val="21"/>
          <w:highlight w:val="none"/>
          <w:u w:val="single"/>
        </w:rPr>
        <w:t>2026年</w:t>
      </w:r>
      <w:r>
        <w:rPr>
          <w:rFonts w:hint="eastAsia" w:ascii="宋体" w:hAnsi="宋体" w:eastAsia="宋体" w:cs="宋体"/>
          <w:color w:val="000000"/>
          <w:szCs w:val="21"/>
          <w:highlight w:val="none"/>
          <w:u w:val="single"/>
          <w:lang w:val="en-US" w:eastAsia="zh-CN"/>
        </w:rPr>
        <w:t>9</w:t>
      </w:r>
      <w:r>
        <w:rPr>
          <w:rFonts w:hint="eastAsia" w:ascii="宋体" w:hAnsi="宋体" w:eastAsia="宋体" w:cs="宋体"/>
          <w:color w:val="000000"/>
          <w:szCs w:val="21"/>
          <w:highlight w:val="none"/>
          <w:u w:val="single"/>
        </w:rPr>
        <w:t>月</w:t>
      </w:r>
      <w:r>
        <w:rPr>
          <w:rFonts w:hint="eastAsia" w:ascii="宋体" w:hAnsi="宋体" w:eastAsia="宋体" w:cs="宋体"/>
          <w:color w:val="000000"/>
          <w:szCs w:val="21"/>
          <w:highlight w:val="none"/>
          <w:u w:val="single"/>
          <w:lang w:val="en-US" w:eastAsia="zh-CN"/>
        </w:rPr>
        <w:t>15</w:t>
      </w:r>
      <w:r>
        <w:rPr>
          <w:rFonts w:hint="eastAsia" w:ascii="宋体" w:hAnsi="宋体" w:eastAsia="宋体" w:cs="宋体"/>
          <w:color w:val="000000"/>
          <w:szCs w:val="21"/>
          <w:highlight w:val="none"/>
          <w:u w:val="single"/>
        </w:rPr>
        <w:t>日</w:t>
      </w:r>
      <w:r>
        <w:rPr>
          <w:rFonts w:hint="eastAsia" w:ascii="宋体" w:hAnsi="宋体" w:eastAsia="宋体" w:cs="宋体"/>
          <w:color w:val="000000"/>
          <w:szCs w:val="21"/>
          <w:highlight w:val="none"/>
          <w:u w:val="single"/>
          <w:lang w:val="en-US" w:eastAsia="zh-CN"/>
        </w:rPr>
        <w:t>9</w:t>
      </w:r>
      <w:r>
        <w:rPr>
          <w:rFonts w:hint="eastAsia" w:ascii="宋体" w:hAnsi="宋体" w:eastAsia="宋体" w:cs="宋体"/>
          <w:color w:val="000000"/>
          <w:szCs w:val="21"/>
          <w:highlight w:val="none"/>
          <w:u w:val="single"/>
        </w:rPr>
        <w:t>点</w:t>
      </w:r>
      <w:r>
        <w:rPr>
          <w:rFonts w:hint="eastAsia" w:ascii="宋体" w:hAnsi="宋体" w:eastAsia="宋体" w:cs="宋体"/>
          <w:color w:val="000000"/>
          <w:szCs w:val="21"/>
          <w:highlight w:val="none"/>
          <w:u w:val="single"/>
          <w:lang w:val="en-US" w:eastAsia="zh-CN"/>
        </w:rPr>
        <w:t>30</w:t>
      </w:r>
      <w:r>
        <w:rPr>
          <w:rFonts w:hint="eastAsia" w:ascii="宋体" w:hAnsi="宋体" w:eastAsia="宋体" w:cs="宋体"/>
          <w:color w:val="000000"/>
          <w:szCs w:val="21"/>
          <w:highlight w:val="none"/>
          <w:u w:val="single"/>
        </w:rPr>
        <w:t>分</w:t>
      </w:r>
    </w:p>
    <w:p w14:paraId="0DA4577D">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地点：</w:t>
      </w:r>
      <w:r>
        <w:rPr>
          <w:rFonts w:hint="eastAsia" w:ascii="宋体" w:hAnsi="宋体" w:eastAsia="宋体" w:cs="宋体"/>
          <w:color w:val="000000"/>
          <w:szCs w:val="21"/>
          <w:highlight w:val="none"/>
          <w:u w:val="single"/>
        </w:rPr>
        <w:t>南京市中山路99号12楼1212室</w:t>
      </w:r>
    </w:p>
    <w:p w14:paraId="74BCFE6B">
      <w:pPr>
        <w:spacing w:line="312" w:lineRule="auto"/>
        <w:jc w:val="left"/>
        <w:rPr>
          <w:rFonts w:ascii="宋体" w:hAnsi="宋体" w:eastAsia="宋体" w:cs="宋体"/>
          <w:color w:val="000000"/>
          <w:szCs w:val="21"/>
          <w:highlight w:val="none"/>
        </w:rPr>
      </w:pPr>
      <w:bookmarkStart w:id="18" w:name="_Toc28359084"/>
      <w:bookmarkStart w:id="19" w:name="_Toc35393794"/>
      <w:bookmarkStart w:id="20" w:name="_Toc28359007"/>
      <w:bookmarkStart w:id="21" w:name="_Toc35393625"/>
      <w:r>
        <w:rPr>
          <w:rFonts w:hint="eastAsia" w:ascii="宋体" w:hAnsi="宋体" w:eastAsia="宋体" w:cs="宋体"/>
          <w:color w:val="000000"/>
          <w:szCs w:val="21"/>
          <w:highlight w:val="none"/>
        </w:rPr>
        <w:t>五、公告期限</w:t>
      </w:r>
      <w:bookmarkEnd w:id="18"/>
      <w:bookmarkEnd w:id="19"/>
      <w:bookmarkEnd w:id="20"/>
      <w:bookmarkEnd w:id="21"/>
    </w:p>
    <w:p w14:paraId="11794EED">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自本公告发布之日起3个工作日。</w:t>
      </w:r>
    </w:p>
    <w:p w14:paraId="75D59DE8">
      <w:pPr>
        <w:spacing w:line="312" w:lineRule="auto"/>
        <w:jc w:val="left"/>
        <w:rPr>
          <w:rFonts w:ascii="宋体" w:hAnsi="宋体" w:eastAsia="宋体" w:cs="宋体"/>
          <w:color w:val="000000"/>
          <w:szCs w:val="21"/>
          <w:highlight w:val="none"/>
        </w:rPr>
      </w:pPr>
      <w:bookmarkStart w:id="22" w:name="_Toc35393795"/>
      <w:bookmarkStart w:id="23" w:name="_Toc35393626"/>
      <w:r>
        <w:rPr>
          <w:rFonts w:hint="eastAsia" w:ascii="宋体" w:hAnsi="宋体" w:eastAsia="宋体" w:cs="宋体"/>
          <w:color w:val="000000"/>
          <w:szCs w:val="21"/>
          <w:highlight w:val="none"/>
        </w:rPr>
        <w:t>六、其他补充事宜</w:t>
      </w:r>
      <w:bookmarkEnd w:id="22"/>
      <w:bookmarkEnd w:id="23"/>
    </w:p>
    <w:p w14:paraId="1F17B5E2">
      <w:pPr>
        <w:spacing w:line="312" w:lineRule="auto"/>
        <w:ind w:firstLine="420" w:firstLineChars="200"/>
        <w:jc w:val="left"/>
        <w:rPr>
          <w:rFonts w:ascii="Times New Roman" w:hAnsi="Times New Roman" w:eastAsia="宋体" w:cs="Times New Roman"/>
          <w:color w:val="000000"/>
          <w:highlight w:val="none"/>
        </w:rPr>
      </w:pPr>
      <w:r>
        <w:rPr>
          <w:rFonts w:hint="eastAsia" w:ascii="宋体" w:hAnsi="宋体" w:eastAsia="宋体" w:cs="宋体"/>
          <w:color w:val="000000"/>
          <w:szCs w:val="21"/>
          <w:highlight w:val="none"/>
        </w:rPr>
        <w:t>1.</w:t>
      </w:r>
      <w:r>
        <w:rPr>
          <w:rFonts w:hint="eastAsia" w:ascii="宋体" w:hAnsi="宋体" w:eastAsia="宋体" w:cs="Times New Roman"/>
          <w:color w:val="000000"/>
          <w:szCs w:val="21"/>
          <w:highlight w:val="none"/>
        </w:rPr>
        <w:t>是否专门面向中小企业：否。</w:t>
      </w:r>
    </w:p>
    <w:p w14:paraId="6BA96874">
      <w:pPr>
        <w:spacing w:line="312" w:lineRule="auto"/>
        <w:ind w:firstLine="420" w:firstLineChars="200"/>
        <w:jc w:val="left"/>
        <w:rPr>
          <w:rFonts w:ascii="Times New Roman" w:hAnsi="Times New Roman" w:eastAsia="宋体" w:cs="Times New Roman"/>
          <w:color w:val="000000"/>
          <w:highlight w:val="none"/>
        </w:rPr>
      </w:pPr>
      <w:r>
        <w:rPr>
          <w:rFonts w:hint="eastAsia" w:ascii="宋体" w:hAnsi="宋体" w:eastAsia="宋体" w:cs="Times New Roman"/>
          <w:color w:val="000000"/>
          <w:szCs w:val="21"/>
          <w:highlight w:val="none"/>
        </w:rPr>
        <w:t>2.本项目采购标的所属行业为：软件和信息技术服务业。</w:t>
      </w:r>
    </w:p>
    <w:p w14:paraId="5D1923AC">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3.集中勘察或答疑：</w:t>
      </w:r>
    </w:p>
    <w:p w14:paraId="287A6F4D">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采购人不组织，供应商可自行联系采购人。未踏勘现场或踏勘工作不详细的供应商中标后，不得以不完全了解现场情况为理由而向采购人提出任何索赔或其他要求，对此采购人不承担任何责任并将不作任何答复。</w:t>
      </w:r>
    </w:p>
    <w:p w14:paraId="7C0CB370">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4.响应文件份数：一式伍份（壹份正本、肆份副本），（电子版须为响应文件盖公章（红章）正本的PDF扫描件，扫描件内容应与纸质文件完全一致。文件名建议修改为公司名+项目编号简写、U盘形式，随纸质正本文件一并提交）。当纸质正本文件和电子版文件不一致时，以纸质正本文件为准。电子版文件用于存档，供应商需承担前述不一致造成的不利后果。每份纸质文件须清楚标明“正本”或“副本”字样。一旦正本和副本不符，以正本为准。</w:t>
      </w:r>
    </w:p>
    <w:p w14:paraId="0E4CC10F">
      <w:pPr>
        <w:spacing w:line="312" w:lineRule="auto"/>
        <w:ind w:firstLine="420" w:firstLineChars="200"/>
        <w:jc w:val="left"/>
        <w:rPr>
          <w:rFonts w:ascii="宋体" w:hAnsi="宋体" w:eastAsia="宋体" w:cs="宋体"/>
          <w:color w:val="000000"/>
          <w:szCs w:val="21"/>
          <w:highlight w:val="none"/>
        </w:rPr>
      </w:pPr>
      <w:bookmarkStart w:id="24" w:name="_Toc35393627"/>
      <w:bookmarkStart w:id="25" w:name="_Toc35393796"/>
      <w:bookmarkStart w:id="26" w:name="_Toc28359085"/>
      <w:bookmarkStart w:id="27" w:name="_Toc28359008"/>
      <w:r>
        <w:rPr>
          <w:rFonts w:hint="eastAsia" w:ascii="宋体" w:hAnsi="宋体" w:eastAsia="宋体" w:cs="宋体"/>
          <w:color w:val="000000"/>
          <w:szCs w:val="21"/>
          <w:highlight w:val="none"/>
        </w:rPr>
        <w:t>5.公告媒体</w:t>
      </w:r>
    </w:p>
    <w:p w14:paraId="3197092F">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（1）本采购公告在南京医科大学（https://sjfwc.njmu.edu.cn/zbgg/list.htm）公示发布，敬请各供应商关注；</w:t>
      </w:r>
    </w:p>
    <w:p w14:paraId="0A48146A">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（2）若有关本次采购存在变动或修改，敬请各供应商及时关注南京医科大学（https://sjfwc.njmu.edu.cn/zbgg/list.htm）发布的关于本项目的信息更正公告。</w:t>
      </w:r>
    </w:p>
    <w:p w14:paraId="0A43CCCD">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6.采购项目需要落实的政府采购政策：</w:t>
      </w:r>
    </w:p>
    <w:p w14:paraId="661480FA">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（1）政府采购促进中小企业发展</w:t>
      </w:r>
    </w:p>
    <w:p w14:paraId="3BA4F2FA">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（2）政府采购支持监狱企业发展</w:t>
      </w:r>
    </w:p>
    <w:p w14:paraId="420A39D6">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（3）政府采购促进残疾人就业</w:t>
      </w:r>
    </w:p>
    <w:p w14:paraId="1D59987E">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（4）政府采购鼓励采购节能环保产品</w:t>
      </w:r>
    </w:p>
    <w:p w14:paraId="113BD3C5">
      <w:pPr>
        <w:spacing w:line="312" w:lineRule="auto"/>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七、对本次采购提出询问，请按以下方式联系。</w:t>
      </w:r>
      <w:bookmarkEnd w:id="24"/>
      <w:bookmarkEnd w:id="25"/>
      <w:bookmarkEnd w:id="26"/>
      <w:bookmarkEnd w:id="27"/>
    </w:p>
    <w:p w14:paraId="3F37F6AC">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1.采购人信息</w:t>
      </w:r>
    </w:p>
    <w:p w14:paraId="60FEF09C">
      <w:pPr>
        <w:spacing w:line="312" w:lineRule="auto"/>
        <w:ind w:firstLine="420" w:firstLineChars="200"/>
        <w:jc w:val="left"/>
        <w:rPr>
          <w:rFonts w:ascii="宋体" w:hAnsi="宋体" w:eastAsia="宋体" w:cs="宋体"/>
          <w:color w:val="000000"/>
          <w:szCs w:val="21"/>
          <w:highlight w:val="none"/>
        </w:rPr>
      </w:pPr>
      <w:bookmarkStart w:id="28" w:name="_Toc28359086"/>
      <w:bookmarkStart w:id="29" w:name="_Toc28359009"/>
      <w:r>
        <w:rPr>
          <w:rFonts w:hint="eastAsia" w:ascii="宋体" w:hAnsi="宋体" w:eastAsia="宋体" w:cs="宋体"/>
          <w:color w:val="000000"/>
          <w:szCs w:val="21"/>
          <w:highlight w:val="none"/>
        </w:rPr>
        <w:t>名称：南京医科大学</w:t>
      </w:r>
    </w:p>
    <w:p w14:paraId="2F617F7E">
      <w:pPr>
        <w:widowControl/>
        <w:shd w:val="clear" w:color="auto" w:fill="FFFFFF"/>
        <w:spacing w:line="312" w:lineRule="auto"/>
        <w:ind w:firstLine="452" w:firstLineChars="200"/>
        <w:jc w:val="left"/>
        <w:rPr>
          <w:rFonts w:ascii="宋体" w:hAnsi="宋体" w:eastAsia="宋体" w:cs="宋体"/>
          <w:color w:val="000000"/>
          <w:spacing w:val="8"/>
          <w:kern w:val="0"/>
          <w:szCs w:val="21"/>
          <w:highlight w:val="none"/>
        </w:rPr>
      </w:pPr>
      <w:r>
        <w:rPr>
          <w:rFonts w:hint="eastAsia" w:ascii="宋体" w:hAnsi="宋体" w:eastAsia="宋体" w:cs="宋体"/>
          <w:color w:val="000000"/>
          <w:spacing w:val="8"/>
          <w:kern w:val="0"/>
          <w:szCs w:val="21"/>
          <w:highlight w:val="none"/>
        </w:rPr>
        <w:t>地址：南京市江宁区龙眠大道101号</w:t>
      </w:r>
    </w:p>
    <w:p w14:paraId="4A64D10D">
      <w:pPr>
        <w:widowControl/>
        <w:shd w:val="clear" w:color="auto" w:fill="FFFFFF"/>
        <w:spacing w:line="312" w:lineRule="auto"/>
        <w:ind w:firstLine="452" w:firstLineChars="200"/>
        <w:jc w:val="left"/>
        <w:rPr>
          <w:rFonts w:ascii="宋体" w:hAnsi="宋体" w:eastAsia="宋体" w:cs="宋体"/>
          <w:color w:val="000000"/>
          <w:spacing w:val="8"/>
          <w:kern w:val="0"/>
          <w:szCs w:val="21"/>
          <w:highlight w:val="none"/>
        </w:rPr>
      </w:pPr>
      <w:r>
        <w:rPr>
          <w:rFonts w:hint="eastAsia" w:ascii="宋体" w:hAnsi="宋体" w:eastAsia="宋体" w:cs="宋体"/>
          <w:color w:val="000000"/>
          <w:spacing w:val="8"/>
          <w:kern w:val="0"/>
          <w:szCs w:val="21"/>
          <w:highlight w:val="none"/>
        </w:rPr>
        <w:t>联系方式：汪老师</w:t>
      </w:r>
    </w:p>
    <w:p w14:paraId="18B4B61E">
      <w:pPr>
        <w:widowControl/>
        <w:shd w:val="clear" w:color="auto" w:fill="FFFFFF"/>
        <w:spacing w:line="312" w:lineRule="auto"/>
        <w:ind w:firstLine="452" w:firstLineChars="200"/>
        <w:jc w:val="left"/>
        <w:rPr>
          <w:rFonts w:ascii="宋体" w:hAnsi="宋体" w:eastAsia="宋体" w:cs="宋体"/>
          <w:color w:val="000000"/>
          <w:spacing w:val="8"/>
          <w:kern w:val="0"/>
          <w:szCs w:val="21"/>
          <w:highlight w:val="none"/>
        </w:rPr>
      </w:pPr>
      <w:r>
        <w:rPr>
          <w:rFonts w:hint="eastAsia" w:ascii="宋体" w:hAnsi="宋体" w:eastAsia="宋体" w:cs="宋体"/>
          <w:color w:val="000000"/>
          <w:spacing w:val="8"/>
          <w:kern w:val="0"/>
          <w:szCs w:val="21"/>
          <w:highlight w:val="none"/>
        </w:rPr>
        <w:t>联系电话：025-86868603</w:t>
      </w:r>
    </w:p>
    <w:p w14:paraId="67BB60EE">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2.采购代理机构信息</w:t>
      </w:r>
      <w:bookmarkEnd w:id="28"/>
      <w:bookmarkEnd w:id="29"/>
    </w:p>
    <w:p w14:paraId="1A8287F8">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名称：南京苏宁工程咨询有限公司</w:t>
      </w:r>
    </w:p>
    <w:p w14:paraId="1CA6F216">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地址：南京市鼓楼区中山路99号12楼1212室</w:t>
      </w:r>
    </w:p>
    <w:p w14:paraId="4BA20A49">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联系方式：</w:t>
      </w:r>
      <w:bookmarkStart w:id="30" w:name="_Toc28359010"/>
      <w:bookmarkStart w:id="31" w:name="_Toc28359087"/>
      <w:r>
        <w:rPr>
          <w:rFonts w:hint="eastAsia" w:ascii="宋体" w:hAnsi="宋体" w:eastAsia="宋体" w:cs="宋体"/>
          <w:color w:val="000000"/>
          <w:szCs w:val="21"/>
          <w:highlight w:val="none"/>
        </w:rPr>
        <w:t>李佳蓉025-84200809</w:t>
      </w:r>
    </w:p>
    <w:p w14:paraId="2271799F">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项目联系方式</w:t>
      </w:r>
      <w:bookmarkEnd w:id="30"/>
      <w:bookmarkEnd w:id="31"/>
    </w:p>
    <w:p w14:paraId="7653A033">
      <w:pPr>
        <w:spacing w:line="312" w:lineRule="auto"/>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 xml:space="preserve">项目联系人：李佳蓉 </w:t>
      </w:r>
    </w:p>
    <w:p w14:paraId="0135C3C2">
      <w:pPr>
        <w:spacing w:line="312" w:lineRule="auto"/>
        <w:ind w:firstLine="420" w:firstLineChars="200"/>
        <w:jc w:val="left"/>
        <w:rPr>
          <w:rFonts w:ascii="宋体" w:hAnsi="宋体" w:eastAsia="宋体" w:cs="宋体"/>
          <w:color w:val="000000"/>
          <w:szCs w:val="21"/>
          <w:highlight w:val="none"/>
          <w:u w:val="single"/>
        </w:rPr>
      </w:pPr>
      <w:r>
        <w:rPr>
          <w:rFonts w:hint="eastAsia" w:ascii="宋体" w:hAnsi="宋体" w:eastAsia="宋体" w:cs="宋体"/>
          <w:color w:val="000000"/>
          <w:szCs w:val="21"/>
          <w:highlight w:val="none"/>
        </w:rPr>
        <w:t>电话：025-84200809</w:t>
      </w:r>
    </w:p>
    <w:p w14:paraId="07A2764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237C1C"/>
    <w:rsid w:val="07571BB0"/>
    <w:rsid w:val="23430744"/>
    <w:rsid w:val="325D7C5B"/>
    <w:rsid w:val="6B237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2455</Words>
  <Characters>2882</Characters>
  <Lines>0</Lines>
  <Paragraphs>0</Paragraphs>
  <TotalTime>9</TotalTime>
  <ScaleCrop>false</ScaleCrop>
  <LinksUpToDate>false</LinksUpToDate>
  <CharactersWithSpaces>2893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2026-08-31T03:21:00Z</dcterms:created>
  <dc:creator>李朝阳</dc:creator>
  <cp:lastModifiedBy>李朝阳</cp:lastModifiedBy>
  <dcterms:modified xsi:type="dcterms:W3CDTF">2026-08-31T06:40:37Z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CFE109D277814301BAED02564785FFAC_11</vt:lpwstr>
  </property>
  <property fmtid="{D5CDD505-2E9C-101B-9397-08002B2CF9AE}" pid="4" name="KSOTemplateDocerSaveRecord">
    <vt:lpwstr>eyJoZGlkIjoiZTlkOWU4YzFkN2MzZmI5ZmQyOGY0ZTBmYzM3ZDMyY2EiLCJ1c2VySWQiOiIxNjQ5OTE5MjIyIn0=</vt:lpwstr>
  </property>
</Properties>
</file>