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CB5BDC">
      <w:pPr>
        <w:autoSpaceDE w:val="0"/>
        <w:autoSpaceDN w:val="0"/>
        <w:adjustRightInd w:val="0"/>
        <w:jc w:val="center"/>
        <w:rPr>
          <w:rFonts w:hint="eastAsia" w:ascii="宋体" w:hAnsi="宋体" w:eastAsia="宋体" w:cs="宋体"/>
          <w:color w:val="000000" w:themeColor="text1"/>
          <w:sz w:val="36"/>
          <w:szCs w:val="36"/>
          <w:lang w:val="en-US" w:eastAsia="zh-CN"/>
          <w14:textFill>
            <w14:solidFill>
              <w14:schemeClr w14:val="tx1"/>
            </w14:solidFill>
          </w14:textFill>
        </w:rPr>
      </w:pPr>
      <w:r>
        <w:rPr>
          <w:rFonts w:hint="eastAsia" w:ascii="宋体" w:hAnsi="宋体" w:eastAsia="宋体" w:cs="宋体"/>
          <w:color w:val="000000" w:themeColor="text1"/>
          <w:sz w:val="36"/>
          <w:szCs w:val="36"/>
          <w:lang w:val="en-US" w:eastAsia="zh-CN"/>
          <w14:textFill>
            <w14:solidFill>
              <w14:schemeClr w14:val="tx1"/>
            </w14:solidFill>
          </w14:textFill>
        </w:rPr>
        <w:t>招标公告</w:t>
      </w:r>
    </w:p>
    <w:p w14:paraId="79BDCD7B">
      <w:pPr>
        <w:keepNext w:val="0"/>
        <w:keepLines w:val="0"/>
        <w:pageBreakBefore w:val="0"/>
        <w:widowControl/>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val="0"/>
        <w:snapToGrid w:val="0"/>
        <w:spacing w:before="40" w:after="40" w:line="288" w:lineRule="auto"/>
        <w:ind w:firstLine="44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项目概况</w:t>
      </w:r>
    </w:p>
    <w:p w14:paraId="0180EF89">
      <w:pPr>
        <w:keepNext w:val="0"/>
        <w:keepLines w:val="0"/>
        <w:pageBreakBefore w:val="0"/>
        <w:widowControl/>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val="0"/>
        <w:snapToGrid w:val="0"/>
        <w:spacing w:before="40" w:after="40" w:line="288" w:lineRule="auto"/>
        <w:ind w:firstLine="44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u w:val="single"/>
          <w:lang w:eastAsia="zh-CN"/>
        </w:rPr>
        <w:t>南京医科大学</w:t>
      </w:r>
      <w:r>
        <w:rPr>
          <w:rFonts w:hint="eastAsia" w:ascii="宋体" w:hAnsi="宋体" w:eastAsia="宋体" w:cs="宋体"/>
          <w:color w:val="auto"/>
          <w:szCs w:val="21"/>
          <w:highlight w:val="none"/>
          <w:lang w:val="en-US" w:eastAsia="zh-CN"/>
        </w:rPr>
        <w:t>的</w:t>
      </w:r>
      <w:r>
        <w:rPr>
          <w:rFonts w:hint="eastAsia" w:ascii="宋体" w:hAnsi="宋体" w:eastAsia="宋体" w:cs="宋体"/>
          <w:color w:val="auto"/>
          <w:szCs w:val="21"/>
          <w:highlight w:val="none"/>
          <w:u w:val="single"/>
        </w:rPr>
        <w:t>南京医科大学实时荧光定量PCR仪采购</w:t>
      </w:r>
      <w:r>
        <w:rPr>
          <w:rFonts w:hint="eastAsia" w:ascii="宋体" w:hAnsi="宋体" w:eastAsia="宋体" w:cs="宋体"/>
          <w:color w:val="auto"/>
          <w:szCs w:val="21"/>
          <w:highlight w:val="none"/>
        </w:rPr>
        <w:t>招标项目的潜在投标人应在</w:t>
      </w:r>
      <w:r>
        <w:rPr>
          <w:rFonts w:hint="eastAsia" w:ascii="宋体" w:hAnsi="宋体" w:eastAsia="宋体" w:cs="宋体"/>
          <w:color w:val="auto"/>
          <w:szCs w:val="21"/>
          <w:highlight w:val="none"/>
          <w:u w:val="single"/>
        </w:rPr>
        <w:t>南京市中山路99号12楼1212室</w:t>
      </w:r>
      <w:r>
        <w:rPr>
          <w:rFonts w:hint="eastAsia" w:ascii="宋体" w:hAnsi="宋体" w:eastAsia="宋体" w:cs="宋体"/>
          <w:color w:val="auto"/>
          <w:szCs w:val="21"/>
          <w:highlight w:val="none"/>
        </w:rPr>
        <w:t>获取招标文件，并于</w:t>
      </w:r>
      <w:r>
        <w:rPr>
          <w:rFonts w:hint="eastAsia" w:ascii="宋体" w:hAnsi="宋体" w:eastAsia="宋体" w:cs="宋体"/>
          <w:color w:val="auto"/>
          <w:szCs w:val="21"/>
          <w:highlight w:val="none"/>
          <w:u w:val="single"/>
        </w:rPr>
        <w:t>2025年</w:t>
      </w:r>
      <w:r>
        <w:rPr>
          <w:rFonts w:hint="eastAsia" w:ascii="宋体" w:hAnsi="宋体" w:eastAsia="宋体" w:cs="宋体"/>
          <w:color w:val="auto"/>
          <w:szCs w:val="21"/>
          <w:highlight w:val="none"/>
          <w:u w:val="single"/>
          <w:lang w:val="en-US" w:eastAsia="zh-CN"/>
        </w:rPr>
        <w:t>11</w:t>
      </w:r>
      <w:r>
        <w:rPr>
          <w:rFonts w:hint="eastAsia" w:ascii="宋体" w:hAnsi="宋体" w:eastAsia="宋体" w:cs="宋体"/>
          <w:color w:val="auto"/>
          <w:szCs w:val="21"/>
          <w:highlight w:val="none"/>
          <w:u w:val="single"/>
        </w:rPr>
        <w:t>月</w:t>
      </w:r>
      <w:r>
        <w:rPr>
          <w:rFonts w:hint="eastAsia" w:ascii="宋体" w:hAnsi="宋体" w:eastAsia="宋体" w:cs="宋体"/>
          <w:color w:val="auto"/>
          <w:szCs w:val="21"/>
          <w:highlight w:val="none"/>
          <w:u w:val="single"/>
          <w:lang w:val="en-US" w:eastAsia="zh-CN"/>
        </w:rPr>
        <w:t>28</w:t>
      </w:r>
      <w:r>
        <w:rPr>
          <w:rFonts w:hint="eastAsia" w:ascii="宋体" w:hAnsi="宋体" w:eastAsia="宋体" w:cs="宋体"/>
          <w:color w:val="auto"/>
          <w:szCs w:val="21"/>
          <w:highlight w:val="none"/>
          <w:u w:val="single"/>
        </w:rPr>
        <w:t>日</w:t>
      </w:r>
      <w:r>
        <w:rPr>
          <w:rFonts w:hint="eastAsia" w:ascii="宋体" w:hAnsi="宋体" w:eastAsia="宋体" w:cs="宋体"/>
          <w:color w:val="auto"/>
          <w:szCs w:val="21"/>
          <w:highlight w:val="none"/>
          <w:u w:val="single"/>
          <w:lang w:val="en-US" w:eastAsia="zh-CN"/>
        </w:rPr>
        <w:t>9</w:t>
      </w:r>
      <w:r>
        <w:rPr>
          <w:rFonts w:hint="eastAsia" w:ascii="宋体" w:hAnsi="宋体" w:eastAsia="宋体" w:cs="宋体"/>
          <w:color w:val="auto"/>
          <w:szCs w:val="21"/>
          <w:highlight w:val="none"/>
          <w:u w:val="single"/>
        </w:rPr>
        <w:t>点</w:t>
      </w:r>
      <w:r>
        <w:rPr>
          <w:rFonts w:hint="eastAsia" w:ascii="宋体" w:hAnsi="宋体" w:eastAsia="宋体" w:cs="宋体"/>
          <w:color w:val="auto"/>
          <w:szCs w:val="21"/>
          <w:highlight w:val="none"/>
          <w:u w:val="single"/>
          <w:lang w:val="en-US" w:eastAsia="zh-CN"/>
        </w:rPr>
        <w:t>30</w:t>
      </w:r>
      <w:r>
        <w:rPr>
          <w:rFonts w:hint="eastAsia" w:ascii="宋体" w:hAnsi="宋体" w:eastAsia="宋体" w:cs="宋体"/>
          <w:color w:val="auto"/>
          <w:szCs w:val="21"/>
          <w:highlight w:val="none"/>
          <w:u w:val="single"/>
        </w:rPr>
        <w:t>分</w:t>
      </w:r>
      <w:r>
        <w:rPr>
          <w:rFonts w:hint="eastAsia" w:ascii="宋体" w:hAnsi="宋体" w:eastAsia="宋体" w:cs="宋体"/>
          <w:color w:val="auto"/>
          <w:szCs w:val="21"/>
          <w:highlight w:val="none"/>
        </w:rPr>
        <w:t>（北京时间）前递交投标文件。</w:t>
      </w:r>
    </w:p>
    <w:p w14:paraId="4A720268">
      <w:pPr>
        <w:keepNext w:val="0"/>
        <w:keepLines w:val="0"/>
        <w:pageBreakBefore w:val="0"/>
        <w:widowControl/>
        <w:kinsoku/>
        <w:wordWrap/>
        <w:overflowPunct/>
        <w:topLinePunct w:val="0"/>
        <w:autoSpaceDE/>
        <w:autoSpaceDN/>
        <w:bidi w:val="0"/>
        <w:adjustRightInd w:val="0"/>
        <w:snapToGrid w:val="0"/>
        <w:spacing w:before="40" w:after="40" w:line="288" w:lineRule="auto"/>
        <w:ind w:firstLine="440" w:firstLineChars="200"/>
        <w:jc w:val="left"/>
        <w:textAlignment w:val="auto"/>
        <w:rPr>
          <w:rFonts w:hint="eastAsia" w:ascii="宋体" w:hAnsi="宋体" w:eastAsia="宋体" w:cs="宋体"/>
          <w:color w:val="auto"/>
          <w:szCs w:val="21"/>
          <w:highlight w:val="none"/>
        </w:rPr>
      </w:pPr>
      <w:bookmarkStart w:id="0" w:name="_Toc35393621"/>
      <w:bookmarkStart w:id="1" w:name="_Toc28359079"/>
      <w:bookmarkStart w:id="2" w:name="_Toc35393790"/>
      <w:bookmarkStart w:id="3" w:name="_Toc28359002"/>
      <w:bookmarkStart w:id="4" w:name="_Hlk24379207"/>
      <w:r>
        <w:rPr>
          <w:rFonts w:hint="eastAsia" w:ascii="宋体" w:hAnsi="宋体" w:eastAsia="宋体" w:cs="宋体"/>
          <w:color w:val="auto"/>
          <w:szCs w:val="21"/>
          <w:highlight w:val="none"/>
        </w:rPr>
        <w:t>一、项目基本情况</w:t>
      </w:r>
      <w:bookmarkEnd w:id="0"/>
      <w:bookmarkEnd w:id="1"/>
      <w:bookmarkEnd w:id="2"/>
      <w:bookmarkEnd w:id="3"/>
    </w:p>
    <w:p w14:paraId="12D32CFF">
      <w:pPr>
        <w:keepNext w:val="0"/>
        <w:keepLines w:val="0"/>
        <w:pageBreakBefore w:val="0"/>
        <w:widowControl/>
        <w:kinsoku/>
        <w:wordWrap/>
        <w:overflowPunct/>
        <w:topLinePunct w:val="0"/>
        <w:autoSpaceDE/>
        <w:autoSpaceDN/>
        <w:bidi w:val="0"/>
        <w:adjustRightInd w:val="0"/>
        <w:snapToGrid w:val="0"/>
        <w:spacing w:before="40" w:after="40" w:line="288" w:lineRule="auto"/>
        <w:ind w:firstLine="44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项目编号：SNZX-</w:t>
      </w:r>
      <w:r>
        <w:rPr>
          <w:rFonts w:hint="eastAsia" w:ascii="宋体" w:hAnsi="宋体" w:eastAsia="宋体" w:cs="宋体"/>
          <w:color w:val="auto"/>
          <w:szCs w:val="21"/>
          <w:highlight w:val="none"/>
          <w:lang w:eastAsia="zh-CN"/>
        </w:rPr>
        <w:t>20250498</w:t>
      </w:r>
      <w:bookmarkStart w:id="30" w:name="_GoBack"/>
      <w:bookmarkEnd w:id="30"/>
    </w:p>
    <w:p w14:paraId="4A71F014">
      <w:pPr>
        <w:keepNext w:val="0"/>
        <w:keepLines w:val="0"/>
        <w:pageBreakBefore w:val="0"/>
        <w:widowControl/>
        <w:kinsoku/>
        <w:wordWrap/>
        <w:overflowPunct/>
        <w:topLinePunct w:val="0"/>
        <w:autoSpaceDE/>
        <w:autoSpaceDN/>
        <w:bidi w:val="0"/>
        <w:adjustRightInd w:val="0"/>
        <w:snapToGrid w:val="0"/>
        <w:spacing w:before="40" w:after="40" w:line="288" w:lineRule="auto"/>
        <w:ind w:firstLine="440" w:firstLineChars="200"/>
        <w:jc w:val="left"/>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项目名称</w:t>
      </w:r>
      <w:bookmarkEnd w:id="4"/>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南京医科大学实时荧光定量PCR仪采购</w:t>
      </w:r>
    </w:p>
    <w:p w14:paraId="10140703">
      <w:pPr>
        <w:keepNext w:val="0"/>
        <w:keepLines w:val="0"/>
        <w:pageBreakBefore w:val="0"/>
        <w:widowControl/>
        <w:kinsoku/>
        <w:wordWrap/>
        <w:overflowPunct/>
        <w:topLinePunct w:val="0"/>
        <w:autoSpaceDE/>
        <w:autoSpaceDN/>
        <w:bidi w:val="0"/>
        <w:adjustRightInd w:val="0"/>
        <w:snapToGrid w:val="0"/>
        <w:spacing w:before="40" w:after="40" w:line="288" w:lineRule="auto"/>
        <w:ind w:firstLine="44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预算金额：</w:t>
      </w:r>
      <w:r>
        <w:rPr>
          <w:rFonts w:hint="eastAsia" w:ascii="宋体" w:hAnsi="宋体" w:eastAsia="宋体" w:cs="宋体"/>
          <w:color w:val="auto"/>
          <w:szCs w:val="21"/>
          <w:highlight w:val="none"/>
          <w:lang w:val="en-US" w:eastAsia="zh-CN"/>
        </w:rPr>
        <w:t>78</w:t>
      </w:r>
      <w:r>
        <w:rPr>
          <w:rFonts w:hint="eastAsia" w:ascii="宋体" w:hAnsi="宋体" w:eastAsia="宋体" w:cs="宋体"/>
          <w:color w:val="auto"/>
          <w:szCs w:val="21"/>
          <w:highlight w:val="none"/>
        </w:rPr>
        <w:t>万元</w:t>
      </w:r>
    </w:p>
    <w:p w14:paraId="6B5DA619">
      <w:pPr>
        <w:keepNext w:val="0"/>
        <w:keepLines w:val="0"/>
        <w:pageBreakBefore w:val="0"/>
        <w:widowControl/>
        <w:kinsoku/>
        <w:wordWrap/>
        <w:overflowPunct/>
        <w:topLinePunct w:val="0"/>
        <w:autoSpaceDE/>
        <w:autoSpaceDN/>
        <w:bidi w:val="0"/>
        <w:adjustRightInd w:val="0"/>
        <w:snapToGrid w:val="0"/>
        <w:spacing w:before="40" w:after="40" w:line="288" w:lineRule="auto"/>
        <w:ind w:firstLine="44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最高限价：</w:t>
      </w:r>
      <w:r>
        <w:rPr>
          <w:rFonts w:hint="eastAsia" w:ascii="宋体" w:hAnsi="宋体" w:eastAsia="宋体" w:cs="宋体"/>
          <w:color w:val="auto"/>
          <w:szCs w:val="21"/>
          <w:highlight w:val="none"/>
          <w:lang w:val="en-US" w:eastAsia="zh-CN"/>
        </w:rPr>
        <w:t>78</w:t>
      </w:r>
      <w:r>
        <w:rPr>
          <w:rFonts w:hint="eastAsia" w:ascii="宋体" w:hAnsi="宋体" w:eastAsia="宋体" w:cs="宋体"/>
          <w:color w:val="auto"/>
          <w:szCs w:val="21"/>
          <w:highlight w:val="none"/>
        </w:rPr>
        <w:t>万元，其中分包1：</w:t>
      </w:r>
      <w:r>
        <w:rPr>
          <w:rFonts w:hint="eastAsia" w:ascii="宋体" w:hAnsi="宋体" w:eastAsia="宋体" w:cs="宋体"/>
          <w:color w:val="auto"/>
          <w:szCs w:val="21"/>
          <w:highlight w:val="none"/>
          <w:lang w:val="en-US" w:eastAsia="zh-CN"/>
        </w:rPr>
        <w:t>48</w:t>
      </w:r>
      <w:r>
        <w:rPr>
          <w:rFonts w:hint="eastAsia" w:ascii="宋体" w:hAnsi="宋体" w:eastAsia="宋体" w:cs="宋体"/>
          <w:color w:val="auto"/>
          <w:szCs w:val="21"/>
          <w:highlight w:val="none"/>
        </w:rPr>
        <w:t>万元，分包2：</w:t>
      </w:r>
      <w:r>
        <w:rPr>
          <w:rFonts w:hint="eastAsia" w:ascii="宋体" w:hAnsi="宋体" w:eastAsia="宋体" w:cs="宋体"/>
          <w:color w:val="auto"/>
          <w:szCs w:val="21"/>
          <w:highlight w:val="none"/>
          <w:lang w:val="en-US" w:eastAsia="zh-CN"/>
        </w:rPr>
        <w:t>30</w:t>
      </w:r>
      <w:r>
        <w:rPr>
          <w:rFonts w:hint="eastAsia" w:ascii="宋体" w:hAnsi="宋体" w:eastAsia="宋体" w:cs="宋体"/>
          <w:color w:val="auto"/>
          <w:szCs w:val="21"/>
          <w:highlight w:val="none"/>
        </w:rPr>
        <w:t>万元，投标报价超过最高限价的为无效投标。</w:t>
      </w:r>
    </w:p>
    <w:tbl>
      <w:tblPr>
        <w:tblStyle w:val="5"/>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94"/>
        <w:gridCol w:w="1771"/>
        <w:gridCol w:w="1006"/>
        <w:gridCol w:w="1393"/>
        <w:gridCol w:w="1613"/>
        <w:gridCol w:w="1642"/>
      </w:tblGrid>
      <w:tr w14:paraId="748CFE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642" w:type="pct"/>
            <w:vAlign w:val="center"/>
          </w:tcPr>
          <w:p w14:paraId="30FA08AD">
            <w:pPr>
              <w:pStyle w:val="7"/>
              <w:keepNext w:val="0"/>
              <w:keepLines w:val="0"/>
              <w:pageBreakBefore w:val="0"/>
              <w:widowControl w:val="0"/>
              <w:kinsoku/>
              <w:wordWrap/>
              <w:overflowPunct/>
              <w:topLinePunct w:val="0"/>
              <w:autoSpaceDE/>
              <w:autoSpaceDN/>
              <w:bidi w:val="0"/>
              <w:adjustRightInd w:val="0"/>
              <w:snapToGrid w:val="0"/>
              <w:spacing w:after="0" w:line="240" w:lineRule="auto"/>
              <w:ind w:left="0" w:leftChars="0" w:firstLine="0" w:firstLineChars="0"/>
              <w:jc w:val="center"/>
              <w:textAlignment w:val="auto"/>
              <w:rPr>
                <w:rFonts w:hint="default" w:ascii="宋体" w:hAnsi="宋体" w:eastAsia="宋体" w:cs="宋体"/>
                <w:b/>
                <w:bCs/>
                <w:color w:val="auto"/>
                <w:sz w:val="22"/>
                <w:szCs w:val="22"/>
                <w:highlight w:val="none"/>
                <w:lang w:val="en-US" w:eastAsia="zh-CN"/>
              </w:rPr>
            </w:pPr>
            <w:r>
              <w:rPr>
                <w:rFonts w:hint="eastAsia" w:ascii="宋体" w:hAnsi="宋体" w:eastAsia="宋体" w:cs="宋体"/>
                <w:b/>
                <w:bCs/>
                <w:color w:val="auto"/>
                <w:sz w:val="22"/>
                <w:szCs w:val="22"/>
                <w:highlight w:val="none"/>
                <w:lang w:val="en-US" w:eastAsia="zh-CN"/>
              </w:rPr>
              <w:t>分包号</w:t>
            </w:r>
          </w:p>
        </w:tc>
        <w:tc>
          <w:tcPr>
            <w:tcW w:w="1039" w:type="pct"/>
            <w:vAlign w:val="center"/>
          </w:tcPr>
          <w:p w14:paraId="201B1F03">
            <w:pPr>
              <w:pStyle w:val="7"/>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jc w:val="center"/>
              <w:textAlignment w:val="auto"/>
              <w:rPr>
                <w:rFonts w:hint="default" w:ascii="宋体" w:hAnsi="宋体" w:eastAsia="宋体" w:cs="宋体"/>
                <w:b/>
                <w:bCs/>
                <w:color w:val="auto"/>
                <w:sz w:val="22"/>
                <w:szCs w:val="22"/>
                <w:highlight w:val="none"/>
                <w:lang w:val="en-US" w:eastAsia="zh-CN"/>
              </w:rPr>
            </w:pPr>
            <w:r>
              <w:rPr>
                <w:rFonts w:hint="eastAsia" w:ascii="宋体" w:hAnsi="宋体" w:eastAsia="宋体" w:cs="宋体"/>
                <w:b/>
                <w:bCs/>
                <w:color w:val="auto"/>
                <w:sz w:val="22"/>
                <w:szCs w:val="22"/>
                <w:highlight w:val="none"/>
                <w:lang w:val="en-US" w:eastAsia="zh-CN"/>
              </w:rPr>
              <w:t>分包名称</w:t>
            </w:r>
          </w:p>
        </w:tc>
        <w:tc>
          <w:tcPr>
            <w:tcW w:w="590" w:type="pct"/>
            <w:vAlign w:val="center"/>
          </w:tcPr>
          <w:p w14:paraId="6DD12D2D">
            <w:pPr>
              <w:pStyle w:val="7"/>
              <w:keepNext w:val="0"/>
              <w:keepLines w:val="0"/>
              <w:pageBreakBefore w:val="0"/>
              <w:widowControl w:val="0"/>
              <w:kinsoku/>
              <w:wordWrap/>
              <w:overflowPunct/>
              <w:topLinePunct w:val="0"/>
              <w:autoSpaceDE/>
              <w:autoSpaceDN/>
              <w:bidi w:val="0"/>
              <w:adjustRightInd w:val="0"/>
              <w:snapToGrid w:val="0"/>
              <w:spacing w:after="0" w:line="240" w:lineRule="auto"/>
              <w:ind w:left="0" w:leftChars="0" w:firstLine="0" w:firstLineChars="0"/>
              <w:jc w:val="center"/>
              <w:textAlignment w:val="auto"/>
              <w:rPr>
                <w:rFonts w:hint="eastAsia" w:ascii="宋体" w:hAnsi="宋体" w:eastAsia="宋体" w:cs="宋体"/>
                <w:b/>
                <w:bCs/>
                <w:color w:val="auto"/>
                <w:sz w:val="22"/>
                <w:szCs w:val="22"/>
                <w:highlight w:val="none"/>
                <w:lang w:eastAsia="zh-CN"/>
              </w:rPr>
            </w:pPr>
            <w:r>
              <w:rPr>
                <w:rFonts w:hint="eastAsia" w:ascii="宋体" w:hAnsi="宋体" w:eastAsia="宋体" w:cs="宋体"/>
                <w:b/>
                <w:bCs/>
                <w:color w:val="auto"/>
                <w:sz w:val="22"/>
                <w:szCs w:val="22"/>
                <w:highlight w:val="none"/>
                <w:lang w:val="en-US" w:eastAsia="zh-CN"/>
              </w:rPr>
              <w:t>数量</w:t>
            </w:r>
          </w:p>
        </w:tc>
        <w:tc>
          <w:tcPr>
            <w:tcW w:w="817" w:type="pct"/>
            <w:vAlign w:val="center"/>
          </w:tcPr>
          <w:p w14:paraId="5B7FDD85">
            <w:pPr>
              <w:pStyle w:val="7"/>
              <w:keepNext w:val="0"/>
              <w:keepLines w:val="0"/>
              <w:pageBreakBefore w:val="0"/>
              <w:widowControl w:val="0"/>
              <w:kinsoku/>
              <w:wordWrap/>
              <w:overflowPunct/>
              <w:topLinePunct w:val="0"/>
              <w:autoSpaceDE/>
              <w:autoSpaceDN/>
              <w:bidi w:val="0"/>
              <w:adjustRightInd w:val="0"/>
              <w:snapToGrid w:val="0"/>
              <w:spacing w:after="0" w:line="240" w:lineRule="auto"/>
              <w:ind w:left="0" w:leftChars="0" w:firstLine="0" w:firstLineChars="0"/>
              <w:jc w:val="center"/>
              <w:textAlignment w:val="auto"/>
              <w:rPr>
                <w:rFonts w:hint="eastAsia" w:ascii="宋体" w:hAnsi="宋体" w:eastAsia="宋体" w:cs="宋体"/>
                <w:b/>
                <w:bCs/>
                <w:color w:val="auto"/>
                <w:sz w:val="22"/>
                <w:szCs w:val="22"/>
                <w:highlight w:val="none"/>
                <w:lang w:val="en-US" w:eastAsia="zh-CN"/>
              </w:rPr>
            </w:pPr>
            <w:r>
              <w:rPr>
                <w:rFonts w:hint="eastAsia" w:ascii="宋体" w:hAnsi="宋体" w:eastAsia="宋体" w:cs="宋体"/>
                <w:b/>
                <w:bCs/>
                <w:color w:val="auto"/>
                <w:sz w:val="22"/>
                <w:szCs w:val="22"/>
                <w:highlight w:val="none"/>
              </w:rPr>
              <w:t>单位</w:t>
            </w:r>
          </w:p>
        </w:tc>
        <w:tc>
          <w:tcPr>
            <w:tcW w:w="946" w:type="pct"/>
            <w:vAlign w:val="center"/>
          </w:tcPr>
          <w:p w14:paraId="016A6488">
            <w:pPr>
              <w:pStyle w:val="7"/>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jc w:val="center"/>
              <w:textAlignment w:val="auto"/>
              <w:rPr>
                <w:rFonts w:hint="default" w:ascii="宋体" w:hAnsi="宋体" w:eastAsia="宋体" w:cs="宋体"/>
                <w:b/>
                <w:bCs/>
                <w:color w:val="auto"/>
                <w:sz w:val="22"/>
                <w:szCs w:val="22"/>
                <w:highlight w:val="none"/>
                <w:lang w:val="en-US" w:eastAsia="zh-CN"/>
              </w:rPr>
            </w:pPr>
            <w:r>
              <w:rPr>
                <w:rFonts w:hint="eastAsia" w:ascii="宋体" w:hAnsi="宋体" w:eastAsia="宋体" w:cs="宋体"/>
                <w:b/>
                <w:bCs/>
                <w:color w:val="auto"/>
                <w:sz w:val="22"/>
                <w:szCs w:val="22"/>
                <w:highlight w:val="none"/>
                <w:lang w:val="en-US" w:eastAsia="zh-CN"/>
              </w:rPr>
              <w:t>分包最高限价（万元）</w:t>
            </w:r>
          </w:p>
        </w:tc>
        <w:tc>
          <w:tcPr>
            <w:tcW w:w="963" w:type="pct"/>
            <w:vAlign w:val="center"/>
          </w:tcPr>
          <w:p w14:paraId="77B51A11">
            <w:pPr>
              <w:pStyle w:val="7"/>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jc w:val="center"/>
              <w:textAlignment w:val="auto"/>
              <w:rPr>
                <w:rFonts w:hint="eastAsia" w:ascii="宋体" w:hAnsi="宋体" w:eastAsia="宋体" w:cs="宋体"/>
                <w:b/>
                <w:bCs/>
                <w:color w:val="auto"/>
                <w:sz w:val="22"/>
                <w:szCs w:val="22"/>
                <w:highlight w:val="none"/>
                <w:lang w:eastAsia="zh-CN"/>
              </w:rPr>
            </w:pPr>
            <w:r>
              <w:rPr>
                <w:rFonts w:hint="eastAsia" w:ascii="宋体" w:hAnsi="宋体" w:eastAsia="宋体" w:cs="宋体"/>
                <w:b/>
                <w:bCs/>
                <w:color w:val="auto"/>
                <w:sz w:val="22"/>
                <w:szCs w:val="22"/>
                <w:highlight w:val="none"/>
              </w:rPr>
              <w:t>最高</w:t>
            </w:r>
            <w:r>
              <w:rPr>
                <w:rFonts w:hint="eastAsia" w:ascii="宋体" w:hAnsi="宋体" w:eastAsia="宋体" w:cs="宋体"/>
                <w:b/>
                <w:bCs/>
                <w:color w:val="auto"/>
                <w:sz w:val="22"/>
                <w:szCs w:val="22"/>
                <w:highlight w:val="none"/>
                <w:lang w:val="en-US" w:eastAsia="zh-CN"/>
              </w:rPr>
              <w:t>总</w:t>
            </w:r>
            <w:r>
              <w:rPr>
                <w:rFonts w:hint="eastAsia" w:ascii="宋体" w:hAnsi="宋体" w:eastAsia="宋体" w:cs="宋体"/>
                <w:b/>
                <w:bCs/>
                <w:color w:val="auto"/>
                <w:sz w:val="22"/>
                <w:szCs w:val="22"/>
                <w:highlight w:val="none"/>
              </w:rPr>
              <w:t>限价</w:t>
            </w:r>
            <w:r>
              <w:rPr>
                <w:rFonts w:hint="eastAsia" w:ascii="宋体" w:hAnsi="宋体" w:eastAsia="宋体" w:cs="宋体"/>
                <w:b/>
                <w:bCs/>
                <w:color w:val="auto"/>
                <w:sz w:val="22"/>
                <w:szCs w:val="22"/>
                <w:highlight w:val="none"/>
                <w:lang w:eastAsia="zh-CN"/>
              </w:rPr>
              <w:t>（</w:t>
            </w:r>
            <w:r>
              <w:rPr>
                <w:rFonts w:hint="eastAsia" w:ascii="宋体" w:hAnsi="宋体" w:eastAsia="宋体" w:cs="宋体"/>
                <w:b/>
                <w:bCs/>
                <w:color w:val="auto"/>
                <w:sz w:val="22"/>
                <w:szCs w:val="22"/>
                <w:highlight w:val="none"/>
                <w:lang w:val="en-US" w:eastAsia="zh-CN"/>
              </w:rPr>
              <w:t>万元</w:t>
            </w:r>
            <w:r>
              <w:rPr>
                <w:rFonts w:hint="eastAsia" w:ascii="宋体" w:hAnsi="宋体" w:eastAsia="宋体" w:cs="宋体"/>
                <w:b/>
                <w:bCs/>
                <w:color w:val="auto"/>
                <w:sz w:val="22"/>
                <w:szCs w:val="22"/>
                <w:highlight w:val="none"/>
                <w:lang w:eastAsia="zh-CN"/>
              </w:rPr>
              <w:t>）</w:t>
            </w:r>
          </w:p>
        </w:tc>
      </w:tr>
      <w:tr w14:paraId="27D295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jc w:val="center"/>
        </w:trPr>
        <w:tc>
          <w:tcPr>
            <w:tcW w:w="642" w:type="pct"/>
            <w:vAlign w:val="center"/>
          </w:tcPr>
          <w:p w14:paraId="27CFA559">
            <w:pPr>
              <w:keepNext w:val="0"/>
              <w:keepLines w:val="0"/>
              <w:pageBreakBefore w:val="0"/>
              <w:widowControl w:val="0"/>
              <w:kinsoku/>
              <w:wordWrap/>
              <w:overflowPunct/>
              <w:topLinePunct w:val="0"/>
              <w:autoSpaceDE/>
              <w:autoSpaceDN/>
              <w:bidi w:val="0"/>
              <w:adjustRightInd w:val="0"/>
              <w:snapToGrid w:val="0"/>
              <w:spacing w:after="0" w:line="240" w:lineRule="auto"/>
              <w:jc w:val="center"/>
              <w:textAlignment w:val="auto"/>
              <w:rPr>
                <w:rFonts w:hint="eastAsia" w:ascii="宋体" w:hAnsi="宋体" w:eastAsia="宋体" w:cs="宋体"/>
                <w:b w:val="0"/>
                <w:bCs w:val="0"/>
                <w:color w:val="auto"/>
                <w:sz w:val="22"/>
                <w:szCs w:val="22"/>
                <w:highlight w:val="none"/>
                <w:lang w:val="en-US" w:eastAsia="zh-CN"/>
              </w:rPr>
            </w:pPr>
            <w:r>
              <w:rPr>
                <w:rFonts w:hint="eastAsia" w:ascii="宋体" w:hAnsi="宋体" w:eastAsia="宋体" w:cs="宋体"/>
                <w:b w:val="0"/>
                <w:bCs w:val="0"/>
                <w:color w:val="auto"/>
                <w:sz w:val="22"/>
                <w:szCs w:val="22"/>
                <w:highlight w:val="none"/>
                <w:lang w:val="en-US" w:eastAsia="zh-CN"/>
              </w:rPr>
              <w:t>分包1</w:t>
            </w:r>
          </w:p>
        </w:tc>
        <w:tc>
          <w:tcPr>
            <w:tcW w:w="1039" w:type="pct"/>
            <w:shd w:val="clear" w:color="auto" w:fill="auto"/>
            <w:vAlign w:val="center"/>
          </w:tcPr>
          <w:p w14:paraId="6233907C">
            <w:pPr>
              <w:keepNext w:val="0"/>
              <w:keepLines w:val="0"/>
              <w:pageBreakBefore w:val="0"/>
              <w:widowControl w:val="0"/>
              <w:kinsoku/>
              <w:wordWrap/>
              <w:overflowPunct/>
              <w:topLinePunct w:val="0"/>
              <w:autoSpaceDE/>
              <w:autoSpaceDN/>
              <w:bidi w:val="0"/>
              <w:adjustRightInd w:val="0"/>
              <w:snapToGrid w:val="0"/>
              <w:spacing w:after="0" w:line="240" w:lineRule="auto"/>
              <w:jc w:val="center"/>
              <w:textAlignment w:val="auto"/>
              <w:rPr>
                <w:rFonts w:hint="default" w:ascii="宋体" w:hAnsi="宋体" w:eastAsia="宋体" w:cs="宋体"/>
                <w:b w:val="0"/>
                <w:bCs w:val="0"/>
                <w:color w:val="auto"/>
                <w:sz w:val="22"/>
                <w:szCs w:val="22"/>
                <w:highlight w:val="none"/>
                <w:lang w:val="en-US" w:eastAsia="zh-CN"/>
              </w:rPr>
            </w:pPr>
            <w:r>
              <w:rPr>
                <w:rFonts w:hint="eastAsia" w:ascii="宋体" w:hAnsi="宋体" w:eastAsia="宋体" w:cs="宋体"/>
                <w:b w:val="0"/>
                <w:bCs w:val="0"/>
                <w:color w:val="auto"/>
                <w:sz w:val="22"/>
                <w:szCs w:val="22"/>
                <w:highlight w:val="none"/>
                <w:lang w:val="en-US" w:eastAsia="zh-CN"/>
              </w:rPr>
              <w:t>实时荧光定量PCR仪1</w:t>
            </w:r>
          </w:p>
        </w:tc>
        <w:tc>
          <w:tcPr>
            <w:tcW w:w="590" w:type="pct"/>
            <w:vAlign w:val="center"/>
          </w:tcPr>
          <w:p w14:paraId="7417FF1F">
            <w:pPr>
              <w:pStyle w:val="7"/>
              <w:keepNext w:val="0"/>
              <w:keepLines w:val="0"/>
              <w:pageBreakBefore w:val="0"/>
              <w:widowControl w:val="0"/>
              <w:kinsoku/>
              <w:wordWrap/>
              <w:overflowPunct/>
              <w:topLinePunct w:val="0"/>
              <w:autoSpaceDE/>
              <w:autoSpaceDN/>
              <w:bidi w:val="0"/>
              <w:adjustRightInd w:val="0"/>
              <w:snapToGrid w:val="0"/>
              <w:spacing w:after="0" w:line="240" w:lineRule="auto"/>
              <w:ind w:left="0" w:leftChars="0" w:firstLine="0" w:firstLineChars="0"/>
              <w:jc w:val="center"/>
              <w:textAlignment w:val="auto"/>
              <w:rPr>
                <w:rFonts w:hint="default" w:ascii="宋体" w:hAnsi="宋体" w:eastAsia="宋体" w:cs="宋体"/>
                <w:b w:val="0"/>
                <w:bCs w:val="0"/>
                <w:color w:val="auto"/>
                <w:sz w:val="22"/>
                <w:szCs w:val="22"/>
                <w:highlight w:val="none"/>
                <w:lang w:val="en-US" w:eastAsia="zh-CN"/>
              </w:rPr>
            </w:pPr>
            <w:r>
              <w:rPr>
                <w:rFonts w:hint="eastAsia" w:ascii="宋体" w:hAnsi="宋体" w:eastAsia="宋体" w:cs="宋体"/>
                <w:b w:val="0"/>
                <w:bCs w:val="0"/>
                <w:color w:val="auto"/>
                <w:sz w:val="22"/>
                <w:szCs w:val="22"/>
                <w:highlight w:val="none"/>
                <w:lang w:val="en-US" w:eastAsia="zh-CN"/>
              </w:rPr>
              <w:t>1</w:t>
            </w:r>
          </w:p>
        </w:tc>
        <w:tc>
          <w:tcPr>
            <w:tcW w:w="817" w:type="pct"/>
            <w:vAlign w:val="center"/>
          </w:tcPr>
          <w:p w14:paraId="777DA816">
            <w:pPr>
              <w:pStyle w:val="7"/>
              <w:keepNext w:val="0"/>
              <w:keepLines w:val="0"/>
              <w:pageBreakBefore w:val="0"/>
              <w:widowControl w:val="0"/>
              <w:kinsoku/>
              <w:wordWrap/>
              <w:overflowPunct/>
              <w:topLinePunct w:val="0"/>
              <w:autoSpaceDE/>
              <w:autoSpaceDN/>
              <w:bidi w:val="0"/>
              <w:adjustRightInd w:val="0"/>
              <w:snapToGrid w:val="0"/>
              <w:spacing w:after="0" w:line="240" w:lineRule="auto"/>
              <w:ind w:left="0" w:leftChars="0" w:firstLine="0" w:firstLineChars="0"/>
              <w:jc w:val="center"/>
              <w:textAlignment w:val="auto"/>
              <w:rPr>
                <w:rFonts w:hint="eastAsia" w:ascii="宋体" w:hAnsi="宋体" w:eastAsia="宋体" w:cs="宋体"/>
                <w:b w:val="0"/>
                <w:bCs w:val="0"/>
                <w:color w:val="auto"/>
                <w:sz w:val="22"/>
                <w:szCs w:val="22"/>
                <w:highlight w:val="none"/>
                <w:lang w:val="en-US" w:eastAsia="zh-CN"/>
              </w:rPr>
            </w:pPr>
            <w:r>
              <w:rPr>
                <w:rFonts w:hint="eastAsia" w:ascii="宋体" w:hAnsi="宋体" w:eastAsia="宋体" w:cs="宋体"/>
                <w:b w:val="0"/>
                <w:bCs w:val="0"/>
                <w:color w:val="auto"/>
                <w:sz w:val="22"/>
                <w:szCs w:val="22"/>
                <w:highlight w:val="none"/>
                <w:lang w:val="en-US" w:eastAsia="zh-CN"/>
              </w:rPr>
              <w:t>台</w:t>
            </w:r>
          </w:p>
        </w:tc>
        <w:tc>
          <w:tcPr>
            <w:tcW w:w="946" w:type="pct"/>
            <w:vAlign w:val="center"/>
          </w:tcPr>
          <w:p w14:paraId="7EB8298C">
            <w:pPr>
              <w:pStyle w:val="7"/>
              <w:keepNext w:val="0"/>
              <w:keepLines w:val="0"/>
              <w:pageBreakBefore w:val="0"/>
              <w:widowControl w:val="0"/>
              <w:kinsoku/>
              <w:wordWrap/>
              <w:overflowPunct/>
              <w:topLinePunct w:val="0"/>
              <w:autoSpaceDE/>
              <w:autoSpaceDN/>
              <w:bidi w:val="0"/>
              <w:adjustRightInd w:val="0"/>
              <w:snapToGrid w:val="0"/>
              <w:spacing w:after="0" w:line="240" w:lineRule="auto"/>
              <w:ind w:left="0" w:leftChars="0" w:firstLine="0" w:firstLineChars="0"/>
              <w:jc w:val="center"/>
              <w:textAlignment w:val="auto"/>
              <w:rPr>
                <w:rFonts w:hint="eastAsia" w:ascii="宋体" w:hAnsi="宋体" w:eastAsia="宋体" w:cs="宋体"/>
                <w:b w:val="0"/>
                <w:bCs w:val="0"/>
                <w:color w:val="auto"/>
                <w:sz w:val="22"/>
                <w:szCs w:val="22"/>
                <w:highlight w:val="none"/>
                <w:lang w:val="en-US" w:eastAsia="zh-CN"/>
              </w:rPr>
            </w:pPr>
            <w:r>
              <w:rPr>
                <w:rFonts w:hint="eastAsia" w:ascii="宋体" w:hAnsi="宋体" w:eastAsia="宋体" w:cs="宋体"/>
                <w:b w:val="0"/>
                <w:bCs w:val="0"/>
                <w:color w:val="auto"/>
                <w:sz w:val="22"/>
                <w:szCs w:val="22"/>
                <w:highlight w:val="none"/>
              </w:rPr>
              <w:t>4</w:t>
            </w:r>
            <w:r>
              <w:rPr>
                <w:rFonts w:ascii="宋体" w:hAnsi="宋体" w:eastAsia="宋体" w:cs="宋体"/>
                <w:b w:val="0"/>
                <w:bCs w:val="0"/>
                <w:color w:val="auto"/>
                <w:sz w:val="22"/>
                <w:szCs w:val="22"/>
                <w:highlight w:val="none"/>
              </w:rPr>
              <w:t>8</w:t>
            </w:r>
          </w:p>
        </w:tc>
        <w:tc>
          <w:tcPr>
            <w:tcW w:w="963" w:type="pct"/>
            <w:vMerge w:val="restart"/>
            <w:vAlign w:val="center"/>
          </w:tcPr>
          <w:p w14:paraId="1E90642E">
            <w:pPr>
              <w:pStyle w:val="7"/>
              <w:keepNext w:val="0"/>
              <w:keepLines w:val="0"/>
              <w:pageBreakBefore w:val="0"/>
              <w:widowControl w:val="0"/>
              <w:kinsoku/>
              <w:wordWrap/>
              <w:overflowPunct/>
              <w:topLinePunct w:val="0"/>
              <w:autoSpaceDE/>
              <w:autoSpaceDN/>
              <w:bidi w:val="0"/>
              <w:adjustRightInd w:val="0"/>
              <w:snapToGrid w:val="0"/>
              <w:spacing w:after="0" w:line="240" w:lineRule="auto"/>
              <w:ind w:left="0" w:leftChars="0" w:firstLine="0" w:firstLineChars="0"/>
              <w:jc w:val="center"/>
              <w:textAlignment w:val="auto"/>
              <w:rPr>
                <w:rFonts w:hint="default" w:ascii="宋体" w:hAnsi="宋体" w:eastAsia="宋体" w:cs="宋体"/>
                <w:b w:val="0"/>
                <w:bCs w:val="0"/>
                <w:color w:val="auto"/>
                <w:sz w:val="22"/>
                <w:szCs w:val="22"/>
                <w:highlight w:val="none"/>
                <w:lang w:val="en-US" w:eastAsia="zh-CN"/>
              </w:rPr>
            </w:pPr>
            <w:r>
              <w:rPr>
                <w:rFonts w:hint="eastAsia" w:ascii="宋体" w:hAnsi="宋体" w:eastAsia="宋体" w:cs="宋体"/>
                <w:b w:val="0"/>
                <w:bCs w:val="0"/>
                <w:color w:val="auto"/>
                <w:sz w:val="22"/>
                <w:szCs w:val="22"/>
                <w:highlight w:val="none"/>
                <w:lang w:val="en-US" w:eastAsia="zh-CN"/>
              </w:rPr>
              <w:t>78</w:t>
            </w:r>
          </w:p>
        </w:tc>
      </w:tr>
      <w:tr w14:paraId="5CF477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jc w:val="center"/>
        </w:trPr>
        <w:tc>
          <w:tcPr>
            <w:tcW w:w="642" w:type="pct"/>
            <w:vAlign w:val="center"/>
          </w:tcPr>
          <w:p w14:paraId="7185D20F">
            <w:pPr>
              <w:keepNext w:val="0"/>
              <w:keepLines w:val="0"/>
              <w:pageBreakBefore w:val="0"/>
              <w:widowControl w:val="0"/>
              <w:kinsoku/>
              <w:wordWrap/>
              <w:overflowPunct/>
              <w:topLinePunct w:val="0"/>
              <w:autoSpaceDE/>
              <w:autoSpaceDN/>
              <w:bidi w:val="0"/>
              <w:adjustRightInd w:val="0"/>
              <w:snapToGrid w:val="0"/>
              <w:spacing w:after="0" w:line="240" w:lineRule="auto"/>
              <w:jc w:val="center"/>
              <w:textAlignment w:val="auto"/>
              <w:rPr>
                <w:rFonts w:hint="eastAsia" w:ascii="宋体" w:hAnsi="宋体" w:eastAsia="宋体" w:cs="宋体"/>
                <w:b w:val="0"/>
                <w:bCs w:val="0"/>
                <w:color w:val="auto"/>
                <w:sz w:val="22"/>
                <w:szCs w:val="22"/>
                <w:highlight w:val="none"/>
                <w:lang w:val="en-US" w:eastAsia="zh-CN"/>
              </w:rPr>
            </w:pPr>
            <w:r>
              <w:rPr>
                <w:rFonts w:hint="eastAsia" w:ascii="宋体" w:hAnsi="宋体" w:eastAsia="宋体" w:cs="宋体"/>
                <w:b w:val="0"/>
                <w:bCs w:val="0"/>
                <w:color w:val="auto"/>
                <w:sz w:val="22"/>
                <w:szCs w:val="22"/>
                <w:highlight w:val="none"/>
                <w:lang w:val="en-US" w:eastAsia="zh-CN"/>
              </w:rPr>
              <w:t>分包2</w:t>
            </w:r>
          </w:p>
        </w:tc>
        <w:tc>
          <w:tcPr>
            <w:tcW w:w="1039" w:type="pct"/>
            <w:shd w:val="clear" w:color="auto" w:fill="auto"/>
            <w:vAlign w:val="center"/>
          </w:tcPr>
          <w:p w14:paraId="4ED3D9B5">
            <w:pPr>
              <w:keepNext w:val="0"/>
              <w:keepLines w:val="0"/>
              <w:pageBreakBefore w:val="0"/>
              <w:widowControl w:val="0"/>
              <w:kinsoku/>
              <w:wordWrap/>
              <w:overflowPunct/>
              <w:topLinePunct w:val="0"/>
              <w:autoSpaceDE/>
              <w:autoSpaceDN/>
              <w:bidi w:val="0"/>
              <w:adjustRightInd w:val="0"/>
              <w:snapToGrid w:val="0"/>
              <w:spacing w:after="0" w:line="240" w:lineRule="auto"/>
              <w:jc w:val="center"/>
              <w:textAlignment w:val="auto"/>
              <w:rPr>
                <w:rFonts w:hint="default" w:ascii="宋体" w:hAnsi="宋体" w:eastAsia="宋体" w:cs="宋体"/>
                <w:b w:val="0"/>
                <w:bCs w:val="0"/>
                <w:color w:val="auto"/>
                <w:sz w:val="22"/>
                <w:szCs w:val="22"/>
                <w:highlight w:val="none"/>
                <w:lang w:val="en-US" w:eastAsia="zh-CN"/>
              </w:rPr>
            </w:pPr>
            <w:r>
              <w:rPr>
                <w:rFonts w:hint="eastAsia" w:ascii="宋体" w:hAnsi="宋体" w:eastAsia="宋体" w:cs="宋体"/>
                <w:b w:val="0"/>
                <w:bCs w:val="0"/>
                <w:color w:val="auto"/>
                <w:sz w:val="22"/>
                <w:szCs w:val="22"/>
                <w:highlight w:val="none"/>
                <w:lang w:val="en-US" w:eastAsia="zh-CN"/>
              </w:rPr>
              <w:t>实时荧光定量PCR仪2</w:t>
            </w:r>
          </w:p>
        </w:tc>
        <w:tc>
          <w:tcPr>
            <w:tcW w:w="590" w:type="pct"/>
            <w:vAlign w:val="center"/>
          </w:tcPr>
          <w:p w14:paraId="48597ADB">
            <w:pPr>
              <w:pStyle w:val="7"/>
              <w:keepNext w:val="0"/>
              <w:keepLines w:val="0"/>
              <w:pageBreakBefore w:val="0"/>
              <w:widowControl w:val="0"/>
              <w:kinsoku/>
              <w:wordWrap/>
              <w:overflowPunct/>
              <w:topLinePunct w:val="0"/>
              <w:autoSpaceDE/>
              <w:autoSpaceDN/>
              <w:bidi w:val="0"/>
              <w:adjustRightInd w:val="0"/>
              <w:snapToGrid w:val="0"/>
              <w:spacing w:after="0" w:line="240" w:lineRule="auto"/>
              <w:ind w:left="0" w:leftChars="0" w:firstLine="0" w:firstLineChars="0"/>
              <w:jc w:val="center"/>
              <w:textAlignment w:val="auto"/>
              <w:rPr>
                <w:rFonts w:hint="default" w:ascii="宋体" w:hAnsi="宋体" w:eastAsia="宋体" w:cs="宋体"/>
                <w:b w:val="0"/>
                <w:bCs w:val="0"/>
                <w:color w:val="auto"/>
                <w:sz w:val="22"/>
                <w:szCs w:val="22"/>
                <w:highlight w:val="none"/>
                <w:lang w:val="en-US" w:eastAsia="zh-CN"/>
              </w:rPr>
            </w:pPr>
            <w:r>
              <w:rPr>
                <w:rFonts w:hint="eastAsia" w:ascii="宋体" w:hAnsi="宋体" w:eastAsia="宋体" w:cs="宋体"/>
                <w:b w:val="0"/>
                <w:bCs w:val="0"/>
                <w:color w:val="auto"/>
                <w:sz w:val="22"/>
                <w:szCs w:val="22"/>
                <w:highlight w:val="none"/>
                <w:lang w:val="en-US" w:eastAsia="zh-CN"/>
              </w:rPr>
              <w:t>1</w:t>
            </w:r>
          </w:p>
        </w:tc>
        <w:tc>
          <w:tcPr>
            <w:tcW w:w="817" w:type="pct"/>
            <w:vAlign w:val="center"/>
          </w:tcPr>
          <w:p w14:paraId="130DBD6A">
            <w:pPr>
              <w:pStyle w:val="7"/>
              <w:keepNext w:val="0"/>
              <w:keepLines w:val="0"/>
              <w:pageBreakBefore w:val="0"/>
              <w:widowControl w:val="0"/>
              <w:kinsoku/>
              <w:wordWrap/>
              <w:overflowPunct/>
              <w:topLinePunct w:val="0"/>
              <w:autoSpaceDE/>
              <w:autoSpaceDN/>
              <w:bidi w:val="0"/>
              <w:adjustRightInd w:val="0"/>
              <w:snapToGrid w:val="0"/>
              <w:spacing w:after="0" w:line="240" w:lineRule="auto"/>
              <w:ind w:left="0" w:leftChars="0" w:firstLine="0" w:firstLineChars="0"/>
              <w:jc w:val="center"/>
              <w:textAlignment w:val="auto"/>
              <w:rPr>
                <w:rFonts w:hint="eastAsia" w:ascii="宋体" w:hAnsi="宋体" w:eastAsia="宋体" w:cs="宋体"/>
                <w:b w:val="0"/>
                <w:bCs w:val="0"/>
                <w:color w:val="auto"/>
                <w:sz w:val="22"/>
                <w:szCs w:val="22"/>
                <w:highlight w:val="none"/>
                <w:lang w:val="en-US" w:eastAsia="zh-CN"/>
              </w:rPr>
            </w:pPr>
            <w:r>
              <w:rPr>
                <w:rFonts w:hint="eastAsia" w:ascii="宋体" w:hAnsi="宋体" w:eastAsia="宋体" w:cs="宋体"/>
                <w:b w:val="0"/>
                <w:bCs w:val="0"/>
                <w:color w:val="auto"/>
                <w:sz w:val="22"/>
                <w:szCs w:val="22"/>
                <w:highlight w:val="none"/>
                <w:lang w:val="en-US" w:eastAsia="zh-CN"/>
              </w:rPr>
              <w:t>台</w:t>
            </w:r>
          </w:p>
        </w:tc>
        <w:tc>
          <w:tcPr>
            <w:tcW w:w="946" w:type="pct"/>
            <w:vAlign w:val="center"/>
          </w:tcPr>
          <w:p w14:paraId="2FB17071">
            <w:pPr>
              <w:pStyle w:val="7"/>
              <w:keepNext w:val="0"/>
              <w:keepLines w:val="0"/>
              <w:pageBreakBefore w:val="0"/>
              <w:widowControl w:val="0"/>
              <w:kinsoku/>
              <w:wordWrap/>
              <w:overflowPunct/>
              <w:topLinePunct w:val="0"/>
              <w:autoSpaceDE/>
              <w:autoSpaceDN/>
              <w:bidi w:val="0"/>
              <w:adjustRightInd w:val="0"/>
              <w:snapToGrid w:val="0"/>
              <w:spacing w:after="0" w:line="240" w:lineRule="auto"/>
              <w:ind w:left="0" w:leftChars="0" w:firstLine="0" w:firstLineChars="0"/>
              <w:jc w:val="center"/>
              <w:textAlignment w:val="auto"/>
              <w:rPr>
                <w:rFonts w:hint="default" w:ascii="宋体" w:hAnsi="宋体" w:eastAsia="宋体" w:cs="宋体"/>
                <w:b w:val="0"/>
                <w:bCs w:val="0"/>
                <w:color w:val="auto"/>
                <w:sz w:val="22"/>
                <w:szCs w:val="22"/>
                <w:highlight w:val="none"/>
                <w:lang w:val="en-US" w:eastAsia="zh-CN"/>
              </w:rPr>
            </w:pPr>
            <w:r>
              <w:rPr>
                <w:rFonts w:hint="eastAsia" w:ascii="宋体" w:hAnsi="宋体" w:eastAsia="宋体" w:cs="宋体"/>
                <w:b w:val="0"/>
                <w:bCs w:val="0"/>
                <w:color w:val="auto"/>
                <w:sz w:val="22"/>
                <w:szCs w:val="22"/>
                <w:highlight w:val="none"/>
                <w:lang w:val="en-US" w:eastAsia="zh-CN"/>
              </w:rPr>
              <w:t>30</w:t>
            </w:r>
          </w:p>
        </w:tc>
        <w:tc>
          <w:tcPr>
            <w:tcW w:w="963" w:type="pct"/>
            <w:vMerge w:val="continue"/>
            <w:vAlign w:val="center"/>
          </w:tcPr>
          <w:p w14:paraId="13B03EA9">
            <w:pPr>
              <w:pStyle w:val="7"/>
              <w:keepNext w:val="0"/>
              <w:keepLines w:val="0"/>
              <w:pageBreakBefore w:val="0"/>
              <w:widowControl w:val="0"/>
              <w:kinsoku/>
              <w:wordWrap/>
              <w:overflowPunct/>
              <w:topLinePunct w:val="0"/>
              <w:autoSpaceDE/>
              <w:autoSpaceDN/>
              <w:bidi w:val="0"/>
              <w:adjustRightInd w:val="0"/>
              <w:snapToGrid w:val="0"/>
              <w:spacing w:after="0" w:line="240" w:lineRule="auto"/>
              <w:ind w:firstLine="482"/>
              <w:jc w:val="center"/>
              <w:textAlignment w:val="auto"/>
              <w:rPr>
                <w:rFonts w:hint="eastAsia" w:ascii="宋体" w:hAnsi="宋体" w:eastAsia="宋体" w:cs="宋体"/>
                <w:b w:val="0"/>
                <w:bCs w:val="0"/>
                <w:color w:val="auto"/>
                <w:sz w:val="22"/>
                <w:szCs w:val="22"/>
                <w:highlight w:val="none"/>
              </w:rPr>
            </w:pPr>
          </w:p>
        </w:tc>
      </w:tr>
    </w:tbl>
    <w:p w14:paraId="7993EBCA">
      <w:pPr>
        <w:keepNext w:val="0"/>
        <w:keepLines w:val="0"/>
        <w:pageBreakBefore w:val="0"/>
        <w:widowControl/>
        <w:kinsoku/>
        <w:wordWrap/>
        <w:overflowPunct/>
        <w:topLinePunct w:val="0"/>
        <w:autoSpaceDE/>
        <w:autoSpaceDN/>
        <w:bidi w:val="0"/>
        <w:adjustRightInd w:val="0"/>
        <w:snapToGrid w:val="0"/>
        <w:spacing w:before="40" w:after="40" w:line="288" w:lineRule="auto"/>
        <w:ind w:firstLine="442" w:firstLineChars="200"/>
        <w:jc w:val="left"/>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注：本项目供应商需单独按分包制作</w:t>
      </w:r>
      <w:r>
        <w:rPr>
          <w:rFonts w:hint="eastAsia" w:ascii="宋体" w:hAnsi="宋体" w:eastAsia="宋体" w:cs="宋体"/>
          <w:b/>
          <w:bCs/>
          <w:color w:val="auto"/>
          <w:szCs w:val="21"/>
          <w:highlight w:val="none"/>
          <w:lang w:val="en-US" w:eastAsia="zh-CN"/>
        </w:rPr>
        <w:t>投标</w:t>
      </w:r>
      <w:r>
        <w:rPr>
          <w:rFonts w:hint="eastAsia" w:ascii="宋体" w:hAnsi="宋体" w:eastAsia="宋体" w:cs="宋体"/>
          <w:b/>
          <w:bCs/>
          <w:color w:val="auto"/>
          <w:szCs w:val="21"/>
          <w:highlight w:val="none"/>
        </w:rPr>
        <w:t>文件。</w:t>
      </w:r>
    </w:p>
    <w:p w14:paraId="02BA0D23">
      <w:pPr>
        <w:keepNext w:val="0"/>
        <w:keepLines w:val="0"/>
        <w:pageBreakBefore w:val="0"/>
        <w:widowControl/>
        <w:kinsoku/>
        <w:wordWrap/>
        <w:overflowPunct/>
        <w:topLinePunct w:val="0"/>
        <w:autoSpaceDE/>
        <w:autoSpaceDN/>
        <w:bidi w:val="0"/>
        <w:adjustRightInd w:val="0"/>
        <w:snapToGrid w:val="0"/>
        <w:spacing w:before="40" w:after="40" w:line="288" w:lineRule="auto"/>
        <w:ind w:firstLine="44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采购需求：</w:t>
      </w:r>
      <w:r>
        <w:rPr>
          <w:rFonts w:hint="eastAsia" w:ascii="宋体" w:hAnsi="宋体" w:eastAsia="宋体" w:cs="宋体"/>
          <w:color w:val="auto"/>
          <w:szCs w:val="21"/>
          <w:highlight w:val="none"/>
          <w:lang w:eastAsia="zh-CN"/>
        </w:rPr>
        <w:t>南京医科大学实时荧光定量PCR仪采购</w:t>
      </w:r>
      <w:r>
        <w:rPr>
          <w:rFonts w:hint="eastAsia" w:ascii="宋体" w:hAnsi="宋体" w:eastAsia="宋体" w:cs="宋体"/>
          <w:color w:val="auto"/>
          <w:szCs w:val="21"/>
          <w:highlight w:val="none"/>
        </w:rPr>
        <w:t>，具体详见招标文件。</w:t>
      </w:r>
    </w:p>
    <w:p w14:paraId="3D9DADF3">
      <w:pPr>
        <w:keepNext w:val="0"/>
        <w:keepLines w:val="0"/>
        <w:pageBreakBefore w:val="0"/>
        <w:widowControl/>
        <w:kinsoku/>
        <w:wordWrap/>
        <w:overflowPunct/>
        <w:topLinePunct w:val="0"/>
        <w:autoSpaceDE/>
        <w:autoSpaceDN/>
        <w:bidi w:val="0"/>
        <w:adjustRightInd w:val="0"/>
        <w:snapToGrid w:val="0"/>
        <w:spacing w:before="40" w:after="40" w:line="288" w:lineRule="auto"/>
        <w:ind w:firstLine="440" w:firstLineChars="200"/>
        <w:jc w:val="left"/>
        <w:textAlignment w:val="auto"/>
        <w:rPr>
          <w:rFonts w:hint="eastAsia" w:ascii="宋体" w:hAnsi="宋体" w:eastAsia="宋体" w:cs="宋体"/>
          <w:bCs/>
          <w:color w:val="auto"/>
          <w:sz w:val="24"/>
          <w:highlight w:val="none"/>
        </w:rPr>
      </w:pPr>
      <w:r>
        <w:rPr>
          <w:rFonts w:hint="eastAsia" w:ascii="宋体" w:hAnsi="宋体" w:eastAsia="宋体" w:cs="宋体"/>
          <w:color w:val="auto"/>
          <w:szCs w:val="21"/>
          <w:highlight w:val="none"/>
        </w:rPr>
        <w:t>合同履行期限（交货期）：</w:t>
      </w:r>
      <w:bookmarkStart w:id="5" w:name="_Toc28359080"/>
      <w:bookmarkStart w:id="6" w:name="_Toc35393791"/>
      <w:bookmarkStart w:id="7" w:name="_Toc35393622"/>
      <w:bookmarkStart w:id="8" w:name="_Toc28359003"/>
      <w:r>
        <w:rPr>
          <w:rFonts w:hint="eastAsia" w:ascii="宋体" w:hAnsi="宋体" w:eastAsia="宋体" w:cs="宋体"/>
          <w:color w:val="auto"/>
          <w:szCs w:val="21"/>
          <w:highlight w:val="none"/>
        </w:rPr>
        <w:t>合同签订生效后，进口设备（免税）三个月内、国产设备及进口设备（非免税）一个月内全部设备、材料运抵现场，并安装、调试结束，验收合格，交付采购方使用。</w:t>
      </w:r>
    </w:p>
    <w:p w14:paraId="3696BB87">
      <w:pPr>
        <w:keepNext w:val="0"/>
        <w:keepLines w:val="0"/>
        <w:pageBreakBefore w:val="0"/>
        <w:widowControl/>
        <w:kinsoku/>
        <w:wordWrap/>
        <w:overflowPunct/>
        <w:topLinePunct w:val="0"/>
        <w:autoSpaceDE/>
        <w:autoSpaceDN/>
        <w:bidi w:val="0"/>
        <w:adjustRightInd w:val="0"/>
        <w:snapToGrid w:val="0"/>
        <w:spacing w:before="40" w:after="40" w:line="288" w:lineRule="auto"/>
        <w:ind w:firstLine="44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本项目不接受联合体投标。</w:t>
      </w:r>
    </w:p>
    <w:p w14:paraId="4FA4EC48">
      <w:pPr>
        <w:keepNext w:val="0"/>
        <w:keepLines w:val="0"/>
        <w:pageBreakBefore w:val="0"/>
        <w:widowControl/>
        <w:kinsoku/>
        <w:wordWrap/>
        <w:overflowPunct/>
        <w:topLinePunct w:val="0"/>
        <w:autoSpaceDE/>
        <w:autoSpaceDN/>
        <w:bidi w:val="0"/>
        <w:adjustRightInd w:val="0"/>
        <w:snapToGrid w:val="0"/>
        <w:spacing w:before="40" w:after="40" w:line="288" w:lineRule="auto"/>
        <w:ind w:firstLine="440" w:firstLineChars="200"/>
        <w:jc w:val="left"/>
        <w:textAlignment w:val="auto"/>
        <w:rPr>
          <w:rFonts w:hint="eastAsia" w:ascii="宋体" w:hAnsi="宋体" w:eastAsia="宋体" w:cs="宋体"/>
          <w:color w:val="auto"/>
          <w:highlight w:val="none"/>
        </w:rPr>
      </w:pPr>
      <w:r>
        <w:rPr>
          <w:rFonts w:hint="eastAsia" w:ascii="宋体" w:hAnsi="宋体" w:eastAsia="宋体" w:cs="宋体"/>
          <w:color w:val="auto"/>
          <w:szCs w:val="21"/>
          <w:highlight w:val="none"/>
        </w:rPr>
        <w:t>是否专门面向中小企业：否</w:t>
      </w:r>
    </w:p>
    <w:p w14:paraId="05096685">
      <w:pPr>
        <w:keepNext w:val="0"/>
        <w:keepLines w:val="0"/>
        <w:pageBreakBefore w:val="0"/>
        <w:widowControl/>
        <w:kinsoku/>
        <w:wordWrap/>
        <w:overflowPunct/>
        <w:topLinePunct w:val="0"/>
        <w:autoSpaceDE/>
        <w:autoSpaceDN/>
        <w:bidi w:val="0"/>
        <w:adjustRightInd w:val="0"/>
        <w:snapToGrid w:val="0"/>
        <w:spacing w:before="40" w:after="40" w:line="288" w:lineRule="auto"/>
        <w:ind w:firstLine="44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本项目采购标的所属行业为：根据《关于印发中小企业划型标准规定的通知》(工信部联企业(2011)300 号)及《国家统计局关于印发(统计上大中小微型企业划分办法(2017)〉的通知》(国统字(2017〕213 号)等文件规定，本项目所属行业为“工业”。</w:t>
      </w:r>
    </w:p>
    <w:bookmarkEnd w:id="5"/>
    <w:bookmarkEnd w:id="6"/>
    <w:bookmarkEnd w:id="7"/>
    <w:bookmarkEnd w:id="8"/>
    <w:p w14:paraId="54AEA00E">
      <w:pPr>
        <w:keepNext w:val="0"/>
        <w:keepLines w:val="0"/>
        <w:pageBreakBefore w:val="0"/>
        <w:widowControl/>
        <w:kinsoku/>
        <w:wordWrap/>
        <w:overflowPunct/>
        <w:topLinePunct w:val="0"/>
        <w:autoSpaceDE/>
        <w:autoSpaceDN/>
        <w:bidi w:val="0"/>
        <w:adjustRightInd w:val="0"/>
        <w:snapToGrid w:val="0"/>
        <w:spacing w:before="40" w:after="40" w:line="288" w:lineRule="auto"/>
        <w:ind w:firstLine="44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二、申请人的资格要求：</w:t>
      </w:r>
    </w:p>
    <w:p w14:paraId="61398307">
      <w:pPr>
        <w:keepNext w:val="0"/>
        <w:keepLines w:val="0"/>
        <w:pageBreakBefore w:val="0"/>
        <w:widowControl/>
        <w:kinsoku/>
        <w:wordWrap/>
        <w:overflowPunct/>
        <w:topLinePunct w:val="0"/>
        <w:autoSpaceDE/>
        <w:autoSpaceDN/>
        <w:bidi w:val="0"/>
        <w:adjustRightInd w:val="0"/>
        <w:snapToGrid w:val="0"/>
        <w:spacing w:before="40" w:after="40" w:line="288" w:lineRule="auto"/>
        <w:ind w:firstLine="440" w:firstLineChars="200"/>
        <w:jc w:val="left"/>
        <w:textAlignment w:val="auto"/>
        <w:rPr>
          <w:rFonts w:hint="eastAsia" w:ascii="宋体" w:hAnsi="宋体" w:eastAsia="宋体" w:cs="宋体"/>
          <w:color w:val="auto"/>
          <w:szCs w:val="21"/>
          <w:highlight w:val="none"/>
        </w:rPr>
      </w:pPr>
      <w:bookmarkStart w:id="9" w:name="_Toc35393623"/>
      <w:bookmarkStart w:id="10" w:name="_Toc35393792"/>
      <w:bookmarkStart w:id="11" w:name="_Toc28359082"/>
      <w:bookmarkStart w:id="12" w:name="_Toc28359005"/>
      <w:bookmarkStart w:id="13" w:name="_Toc35393793"/>
      <w:bookmarkStart w:id="14" w:name="_Toc35393624"/>
      <w:r>
        <w:rPr>
          <w:rFonts w:hint="eastAsia" w:ascii="宋体" w:hAnsi="宋体" w:eastAsia="宋体" w:cs="宋体"/>
          <w:color w:val="auto"/>
          <w:szCs w:val="21"/>
          <w:highlight w:val="none"/>
        </w:rPr>
        <w:t>1.满足《中华人民共和国政府采购法》第二十二条规定；</w:t>
      </w:r>
    </w:p>
    <w:p w14:paraId="413363A2">
      <w:pPr>
        <w:keepNext w:val="0"/>
        <w:keepLines w:val="0"/>
        <w:pageBreakBefore w:val="0"/>
        <w:widowControl/>
        <w:kinsoku/>
        <w:wordWrap/>
        <w:overflowPunct/>
        <w:topLinePunct w:val="0"/>
        <w:autoSpaceDE/>
        <w:autoSpaceDN/>
        <w:bidi w:val="0"/>
        <w:adjustRightInd w:val="0"/>
        <w:snapToGrid w:val="0"/>
        <w:spacing w:before="40" w:after="40" w:line="288" w:lineRule="auto"/>
        <w:ind w:firstLine="44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（1）具有独立承担民事责任的能力（提供法人或者其他组织的营业执照；供应商为自然人的提供其身份证，提供相关证明材料复印件并加盖公章）；</w:t>
      </w:r>
    </w:p>
    <w:p w14:paraId="7ADA0D94">
      <w:pPr>
        <w:keepNext w:val="0"/>
        <w:keepLines w:val="0"/>
        <w:pageBreakBefore w:val="0"/>
        <w:widowControl/>
        <w:kinsoku/>
        <w:wordWrap/>
        <w:overflowPunct/>
        <w:topLinePunct w:val="0"/>
        <w:autoSpaceDE/>
        <w:autoSpaceDN/>
        <w:bidi w:val="0"/>
        <w:adjustRightInd w:val="0"/>
        <w:snapToGrid w:val="0"/>
        <w:spacing w:before="40" w:after="40" w:line="288" w:lineRule="auto"/>
        <w:ind w:firstLine="44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（2）具有良好的商业信誉和健全的财务会计制度（提供2024年度审计报告，或投标截止时间前六个月内银行出具的资信证明）；</w:t>
      </w:r>
    </w:p>
    <w:p w14:paraId="46FA8E66">
      <w:pPr>
        <w:keepNext w:val="0"/>
        <w:keepLines w:val="0"/>
        <w:pageBreakBefore w:val="0"/>
        <w:widowControl/>
        <w:kinsoku/>
        <w:wordWrap/>
        <w:overflowPunct/>
        <w:topLinePunct w:val="0"/>
        <w:autoSpaceDE/>
        <w:autoSpaceDN/>
        <w:bidi w:val="0"/>
        <w:adjustRightInd w:val="0"/>
        <w:snapToGrid w:val="0"/>
        <w:spacing w:before="40" w:after="40" w:line="288" w:lineRule="auto"/>
        <w:ind w:firstLine="44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（3）具有履行合同所必需的设备和专业技术能力（投标人根据履行采购项目合同需要，提供履行合同所必需的设备和专业技术能力的证明材料，提供相关证明材料复印件并加盖公章或承诺书原件）；</w:t>
      </w:r>
    </w:p>
    <w:p w14:paraId="3E39B147">
      <w:pPr>
        <w:keepNext w:val="0"/>
        <w:keepLines w:val="0"/>
        <w:pageBreakBefore w:val="0"/>
        <w:widowControl/>
        <w:kinsoku/>
        <w:wordWrap/>
        <w:overflowPunct/>
        <w:topLinePunct w:val="0"/>
        <w:autoSpaceDE/>
        <w:autoSpaceDN/>
        <w:bidi w:val="0"/>
        <w:adjustRightInd w:val="0"/>
        <w:snapToGrid w:val="0"/>
        <w:spacing w:before="40" w:after="40" w:line="288" w:lineRule="auto"/>
        <w:ind w:firstLine="44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有依法缴纳税收和社会保障资金的良好记录（提供投标截止时间前六个月内任意一个月的纳税证明文件（依法免缴的应提供相应文件说明）；并提供投标截止时间前六个月内依法为员工缴纳社会保障资金的证明材料（任意一个月即可），证明材料可以是缴费的银行单据复印件、社保机构开具的证明（依法不需要缴纳社会保障资金的应提供相应文件说明））；</w:t>
      </w:r>
    </w:p>
    <w:p w14:paraId="38597C00">
      <w:pPr>
        <w:keepNext w:val="0"/>
        <w:keepLines w:val="0"/>
        <w:pageBreakBefore w:val="0"/>
        <w:widowControl/>
        <w:kinsoku/>
        <w:wordWrap/>
        <w:overflowPunct/>
        <w:topLinePunct w:val="0"/>
        <w:autoSpaceDE/>
        <w:autoSpaceDN/>
        <w:bidi w:val="0"/>
        <w:adjustRightInd w:val="0"/>
        <w:snapToGrid w:val="0"/>
        <w:spacing w:before="40" w:after="40" w:line="288" w:lineRule="auto"/>
        <w:ind w:firstLine="44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（5）参加政府采购活动前三年内，在经营活动中没有重大违法记录（提供承诺书原件）；</w:t>
      </w:r>
    </w:p>
    <w:p w14:paraId="140B2731">
      <w:pPr>
        <w:keepNext w:val="0"/>
        <w:keepLines w:val="0"/>
        <w:pageBreakBefore w:val="0"/>
        <w:widowControl/>
        <w:kinsoku/>
        <w:wordWrap/>
        <w:overflowPunct/>
        <w:topLinePunct w:val="0"/>
        <w:autoSpaceDE/>
        <w:autoSpaceDN/>
        <w:bidi w:val="0"/>
        <w:adjustRightInd w:val="0"/>
        <w:snapToGrid w:val="0"/>
        <w:spacing w:before="40" w:after="40" w:line="288" w:lineRule="auto"/>
        <w:ind w:firstLine="44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（6）法律、行政法规规定的其他条件，提供相关证明材料：无。</w:t>
      </w:r>
    </w:p>
    <w:p w14:paraId="7228BAB0">
      <w:pPr>
        <w:keepNext w:val="0"/>
        <w:keepLines w:val="0"/>
        <w:pageBreakBefore w:val="0"/>
        <w:widowControl/>
        <w:kinsoku/>
        <w:wordWrap/>
        <w:overflowPunct/>
        <w:topLinePunct w:val="0"/>
        <w:autoSpaceDE/>
        <w:autoSpaceDN/>
        <w:bidi w:val="0"/>
        <w:adjustRightInd w:val="0"/>
        <w:snapToGrid w:val="0"/>
        <w:spacing w:before="40" w:after="40" w:line="288" w:lineRule="auto"/>
        <w:ind w:firstLine="44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 落实政府采购政策需满足的资格要求：如为中小微型企业、监狱企业、残疾人福利性单位，提供的产品为国家认定的节能产品和环保产品的须按要求提供相关材料。</w:t>
      </w:r>
    </w:p>
    <w:p w14:paraId="5FE2AEA3">
      <w:pPr>
        <w:keepNext w:val="0"/>
        <w:keepLines w:val="0"/>
        <w:pageBreakBefore w:val="0"/>
        <w:widowControl/>
        <w:kinsoku/>
        <w:wordWrap/>
        <w:overflowPunct/>
        <w:topLinePunct w:val="0"/>
        <w:autoSpaceDE/>
        <w:autoSpaceDN/>
        <w:bidi w:val="0"/>
        <w:adjustRightInd w:val="0"/>
        <w:snapToGrid w:val="0"/>
        <w:spacing w:before="40" w:after="40" w:line="288" w:lineRule="auto"/>
        <w:ind w:firstLine="44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本项目的特定资格要求：若所投产品为进口产品且为非生产商投标，必须具有生产者或其驻中国办事机构（或生产者授权的中国境内最高级别代理机构）针对本项目的专项授权书。（提供授权书复印件加盖投标人公章）。</w:t>
      </w:r>
    </w:p>
    <w:p w14:paraId="31E004BE">
      <w:pPr>
        <w:keepNext w:val="0"/>
        <w:keepLines w:val="0"/>
        <w:pageBreakBefore w:val="0"/>
        <w:widowControl/>
        <w:kinsoku/>
        <w:wordWrap/>
        <w:overflowPunct/>
        <w:topLinePunct w:val="0"/>
        <w:autoSpaceDE/>
        <w:autoSpaceDN/>
        <w:bidi w:val="0"/>
        <w:adjustRightInd w:val="0"/>
        <w:snapToGrid w:val="0"/>
        <w:spacing w:before="40" w:after="40" w:line="288" w:lineRule="auto"/>
        <w:ind w:firstLine="44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4.本项目不接受转包、分包。</w:t>
      </w:r>
    </w:p>
    <w:p w14:paraId="30B96735">
      <w:pPr>
        <w:keepNext w:val="0"/>
        <w:keepLines w:val="0"/>
        <w:pageBreakBefore w:val="0"/>
        <w:widowControl/>
        <w:kinsoku/>
        <w:wordWrap/>
        <w:overflowPunct/>
        <w:topLinePunct w:val="0"/>
        <w:autoSpaceDE/>
        <w:autoSpaceDN/>
        <w:bidi w:val="0"/>
        <w:adjustRightInd w:val="0"/>
        <w:snapToGrid w:val="0"/>
        <w:spacing w:before="40" w:after="40" w:line="288" w:lineRule="auto"/>
        <w:ind w:firstLine="44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5.拒绝下述供应商参加本次采购活动：</w:t>
      </w:r>
    </w:p>
    <w:p w14:paraId="420B8D59">
      <w:pPr>
        <w:keepNext w:val="0"/>
        <w:keepLines w:val="0"/>
        <w:pageBreakBefore w:val="0"/>
        <w:widowControl/>
        <w:kinsoku/>
        <w:wordWrap/>
        <w:overflowPunct/>
        <w:topLinePunct w:val="0"/>
        <w:autoSpaceDE/>
        <w:autoSpaceDN/>
        <w:bidi w:val="0"/>
        <w:adjustRightInd w:val="0"/>
        <w:snapToGrid w:val="0"/>
        <w:spacing w:before="40" w:after="40" w:line="288" w:lineRule="auto"/>
        <w:ind w:firstLine="44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（1）供应商单位负责人为同一人或者存在直接控股、管理关系的不同供应商，不得参加同一合同项下的采购活动。</w:t>
      </w:r>
    </w:p>
    <w:p w14:paraId="111924F6">
      <w:pPr>
        <w:keepNext w:val="0"/>
        <w:keepLines w:val="0"/>
        <w:pageBreakBefore w:val="0"/>
        <w:widowControl/>
        <w:kinsoku/>
        <w:wordWrap/>
        <w:overflowPunct/>
        <w:topLinePunct w:val="0"/>
        <w:autoSpaceDE/>
        <w:autoSpaceDN/>
        <w:bidi w:val="0"/>
        <w:adjustRightInd w:val="0"/>
        <w:snapToGrid w:val="0"/>
        <w:spacing w:before="40" w:after="40" w:line="288" w:lineRule="auto"/>
        <w:ind w:firstLine="44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（2）凡为采购项目提供整体设计、规范编制或者项目管理、监理、检测等服务的供应商，不得再参加本项目的采购活动。</w:t>
      </w:r>
    </w:p>
    <w:p w14:paraId="15D746B8">
      <w:pPr>
        <w:keepNext w:val="0"/>
        <w:keepLines w:val="0"/>
        <w:pageBreakBefore w:val="0"/>
        <w:widowControl/>
        <w:kinsoku/>
        <w:wordWrap/>
        <w:overflowPunct/>
        <w:topLinePunct w:val="0"/>
        <w:autoSpaceDE/>
        <w:autoSpaceDN/>
        <w:bidi w:val="0"/>
        <w:adjustRightInd w:val="0"/>
        <w:snapToGrid w:val="0"/>
        <w:spacing w:before="40" w:after="40" w:line="288" w:lineRule="auto"/>
        <w:ind w:firstLine="44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（3）拒绝列入失信被执行人、重大税收违法失信主体、政府采购严重违法失信行为记录名单中的供应商参加本项目的采购活动。采购人或代理机构通过 “信用中国”网站（www.creditchina.gov.cn）、“中国政府采购网”网站（www.ccgp.gov.cn）等渠道查询供应商信用记录并保存。</w:t>
      </w:r>
    </w:p>
    <w:p w14:paraId="72799EA1">
      <w:pPr>
        <w:keepNext w:val="0"/>
        <w:keepLines w:val="0"/>
        <w:pageBreakBefore w:val="0"/>
        <w:widowControl/>
        <w:kinsoku/>
        <w:wordWrap/>
        <w:overflowPunct/>
        <w:topLinePunct w:val="0"/>
        <w:autoSpaceDE/>
        <w:autoSpaceDN/>
        <w:bidi w:val="0"/>
        <w:adjustRightInd w:val="0"/>
        <w:snapToGrid w:val="0"/>
        <w:spacing w:before="40" w:after="40" w:line="288" w:lineRule="auto"/>
        <w:ind w:firstLine="44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6.本项目接受进口产品投标。（注：本文件所称进口产品是指通过中国海关报关验放进入中国境内且产自关境外的产品）</w:t>
      </w:r>
    </w:p>
    <w:p w14:paraId="77C70D36">
      <w:pPr>
        <w:keepNext w:val="0"/>
        <w:keepLines w:val="0"/>
        <w:pageBreakBefore w:val="0"/>
        <w:widowControl/>
        <w:kinsoku/>
        <w:wordWrap/>
        <w:overflowPunct/>
        <w:topLinePunct w:val="0"/>
        <w:autoSpaceDE/>
        <w:autoSpaceDN/>
        <w:bidi w:val="0"/>
        <w:adjustRightInd w:val="0"/>
        <w:snapToGrid w:val="0"/>
        <w:spacing w:before="40" w:after="40" w:line="288" w:lineRule="auto"/>
        <w:ind w:firstLine="44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三、获取招标文件</w:t>
      </w:r>
      <w:bookmarkEnd w:id="9"/>
      <w:bookmarkEnd w:id="10"/>
    </w:p>
    <w:p w14:paraId="2A52D312">
      <w:pPr>
        <w:keepNext w:val="0"/>
        <w:keepLines w:val="0"/>
        <w:pageBreakBefore w:val="0"/>
        <w:widowControl/>
        <w:kinsoku/>
        <w:wordWrap/>
        <w:overflowPunct/>
        <w:topLinePunct w:val="0"/>
        <w:autoSpaceDE/>
        <w:autoSpaceDN/>
        <w:bidi w:val="0"/>
        <w:adjustRightInd w:val="0"/>
        <w:snapToGrid w:val="0"/>
        <w:spacing w:before="40" w:after="40" w:line="288" w:lineRule="auto"/>
        <w:ind w:firstLine="44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1、时间：2025年</w:t>
      </w:r>
      <w:r>
        <w:rPr>
          <w:rFonts w:hint="eastAsia" w:ascii="宋体" w:hAnsi="宋体" w:eastAsia="宋体" w:cs="宋体"/>
          <w:color w:val="auto"/>
          <w:szCs w:val="21"/>
          <w:highlight w:val="none"/>
          <w:lang w:val="en-US" w:eastAsia="zh-CN"/>
        </w:rPr>
        <w:t>11</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日上午09:00至2025年</w:t>
      </w:r>
      <w:r>
        <w:rPr>
          <w:rFonts w:hint="eastAsia" w:ascii="宋体" w:hAnsi="宋体" w:eastAsia="宋体" w:cs="宋体"/>
          <w:color w:val="auto"/>
          <w:szCs w:val="21"/>
          <w:highlight w:val="none"/>
          <w:lang w:val="en-US" w:eastAsia="zh-CN"/>
        </w:rPr>
        <w:t>11</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lang w:val="en-US" w:eastAsia="zh-CN"/>
        </w:rPr>
        <w:t>13</w:t>
      </w:r>
      <w:r>
        <w:rPr>
          <w:rFonts w:hint="eastAsia" w:ascii="宋体" w:hAnsi="宋体" w:eastAsia="宋体" w:cs="宋体"/>
          <w:color w:val="auto"/>
          <w:szCs w:val="21"/>
          <w:highlight w:val="none"/>
        </w:rPr>
        <w:t>日下午17:00</w:t>
      </w:r>
    </w:p>
    <w:p w14:paraId="46781628">
      <w:pPr>
        <w:keepNext w:val="0"/>
        <w:keepLines w:val="0"/>
        <w:pageBreakBefore w:val="0"/>
        <w:widowControl/>
        <w:kinsoku/>
        <w:wordWrap/>
        <w:overflowPunct/>
        <w:topLinePunct w:val="0"/>
        <w:autoSpaceDE/>
        <w:autoSpaceDN/>
        <w:bidi w:val="0"/>
        <w:adjustRightInd w:val="0"/>
        <w:snapToGrid w:val="0"/>
        <w:spacing w:before="40" w:after="40" w:line="288" w:lineRule="auto"/>
        <w:ind w:firstLine="44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2、获取方式：</w:t>
      </w:r>
    </w:p>
    <w:p w14:paraId="4E1D6403">
      <w:pPr>
        <w:keepNext w:val="0"/>
        <w:keepLines w:val="0"/>
        <w:pageBreakBefore w:val="0"/>
        <w:widowControl/>
        <w:kinsoku/>
        <w:wordWrap/>
        <w:overflowPunct/>
        <w:topLinePunct w:val="0"/>
        <w:autoSpaceDE/>
        <w:autoSpaceDN/>
        <w:bidi w:val="0"/>
        <w:adjustRightInd w:val="0"/>
        <w:snapToGrid w:val="0"/>
        <w:spacing w:before="40" w:after="40" w:line="288" w:lineRule="auto"/>
        <w:ind w:firstLine="44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获取方式：网址为：https://njsnzx.cn/#/detail?id=2447；凡有意参加者，请于上述时间内登录网址（免费注册）根据平台提示完成招标（采购）文件线上支付事宜。获取者应充分考虑所需时间，获取招标（采购）文件时间截止后不再接受提交的支付购买。平台提交为一次性工作请确认信息后再提交，若有需要查询支付状态可用注册手机号登录网址：https://njsnzx.cn/查询。支付状态成功后，与采购代理机构联系至南京市鼓楼区中山路99号12楼1212室领取纸质盖章版招标（采购）文件，电子版招标（采购）文件可在平台获取（电子版招标（采购）文件与纸质盖章版招标文件具有同等法律效力）。</w:t>
      </w:r>
    </w:p>
    <w:p w14:paraId="3C00B004">
      <w:pPr>
        <w:keepNext w:val="0"/>
        <w:keepLines w:val="0"/>
        <w:pageBreakBefore w:val="0"/>
        <w:widowControl/>
        <w:kinsoku/>
        <w:wordWrap/>
        <w:overflowPunct/>
        <w:topLinePunct w:val="0"/>
        <w:autoSpaceDE/>
        <w:autoSpaceDN/>
        <w:bidi w:val="0"/>
        <w:adjustRightInd w:val="0"/>
        <w:snapToGrid w:val="0"/>
        <w:spacing w:before="40" w:after="40" w:line="288" w:lineRule="auto"/>
        <w:ind w:firstLine="44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售价：￥500元</w:t>
      </w:r>
      <w:r>
        <w:rPr>
          <w:rFonts w:hint="eastAsia" w:ascii="宋体" w:hAnsi="宋体" w:eastAsia="宋体" w:cs="宋体"/>
          <w:color w:val="auto"/>
          <w:szCs w:val="21"/>
          <w:highlight w:val="none"/>
          <w:lang w:val="en-US" w:eastAsia="zh-CN"/>
        </w:rPr>
        <w:t>/分包</w:t>
      </w:r>
      <w:r>
        <w:rPr>
          <w:rFonts w:hint="eastAsia" w:ascii="宋体" w:hAnsi="宋体" w:eastAsia="宋体" w:cs="宋体"/>
          <w:color w:val="auto"/>
          <w:szCs w:val="21"/>
          <w:highlight w:val="none"/>
        </w:rPr>
        <w:t>，本公告包含的招标文件售价总和。</w:t>
      </w:r>
    </w:p>
    <w:p w14:paraId="4579CD9B">
      <w:pPr>
        <w:keepNext w:val="0"/>
        <w:keepLines w:val="0"/>
        <w:pageBreakBefore w:val="0"/>
        <w:widowControl/>
        <w:kinsoku/>
        <w:wordWrap/>
        <w:overflowPunct/>
        <w:topLinePunct w:val="0"/>
        <w:autoSpaceDE/>
        <w:autoSpaceDN/>
        <w:bidi w:val="0"/>
        <w:adjustRightInd w:val="0"/>
        <w:snapToGrid w:val="0"/>
        <w:spacing w:before="40" w:after="40" w:line="288" w:lineRule="auto"/>
        <w:ind w:firstLine="44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2.北京时间，法定节假日除外；未按照上述要求合法获取招标（采购）文件的，招标（采购）人将不予受理其投标（响应）。</w:t>
      </w:r>
    </w:p>
    <w:p w14:paraId="20BA2DFC">
      <w:pPr>
        <w:keepNext w:val="0"/>
        <w:keepLines w:val="0"/>
        <w:pageBreakBefore w:val="0"/>
        <w:widowControl/>
        <w:kinsoku/>
        <w:wordWrap/>
        <w:overflowPunct/>
        <w:topLinePunct w:val="0"/>
        <w:autoSpaceDE/>
        <w:autoSpaceDN/>
        <w:bidi w:val="0"/>
        <w:adjustRightInd w:val="0"/>
        <w:snapToGrid w:val="0"/>
        <w:spacing w:before="40" w:after="40" w:line="288" w:lineRule="auto"/>
        <w:ind w:firstLine="44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四、提交投标文件</w:t>
      </w:r>
      <w:bookmarkEnd w:id="11"/>
      <w:bookmarkEnd w:id="12"/>
      <w:r>
        <w:rPr>
          <w:rFonts w:hint="eastAsia" w:ascii="宋体" w:hAnsi="宋体" w:eastAsia="宋体" w:cs="宋体"/>
          <w:color w:val="auto"/>
          <w:szCs w:val="21"/>
          <w:highlight w:val="none"/>
        </w:rPr>
        <w:t>截止时间、开标时间和地点</w:t>
      </w:r>
      <w:bookmarkEnd w:id="13"/>
      <w:bookmarkEnd w:id="14"/>
    </w:p>
    <w:p w14:paraId="2182D45F">
      <w:pPr>
        <w:keepNext w:val="0"/>
        <w:keepLines w:val="0"/>
        <w:pageBreakBefore w:val="0"/>
        <w:widowControl/>
        <w:kinsoku/>
        <w:wordWrap/>
        <w:overflowPunct/>
        <w:topLinePunct w:val="0"/>
        <w:autoSpaceDE/>
        <w:autoSpaceDN/>
        <w:bidi w:val="0"/>
        <w:adjustRightInd w:val="0"/>
        <w:snapToGrid w:val="0"/>
        <w:spacing w:before="40" w:after="40" w:line="288" w:lineRule="auto"/>
        <w:ind w:firstLine="440" w:firstLineChars="200"/>
        <w:jc w:val="left"/>
        <w:textAlignment w:val="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截止时间及开标时间：</w:t>
      </w:r>
      <w:r>
        <w:rPr>
          <w:rFonts w:hint="eastAsia" w:ascii="宋体" w:hAnsi="宋体" w:eastAsia="宋体" w:cs="宋体"/>
          <w:color w:val="auto"/>
          <w:szCs w:val="21"/>
          <w:highlight w:val="none"/>
          <w:u w:val="single"/>
        </w:rPr>
        <w:t>2025年</w:t>
      </w:r>
      <w:r>
        <w:rPr>
          <w:rFonts w:hint="eastAsia" w:ascii="宋体" w:hAnsi="宋体" w:eastAsia="宋体" w:cs="宋体"/>
          <w:color w:val="auto"/>
          <w:szCs w:val="21"/>
          <w:highlight w:val="none"/>
          <w:u w:val="single"/>
          <w:lang w:val="en-US" w:eastAsia="zh-CN"/>
        </w:rPr>
        <w:t>11</w:t>
      </w:r>
      <w:r>
        <w:rPr>
          <w:rFonts w:hint="eastAsia" w:ascii="宋体" w:hAnsi="宋体" w:eastAsia="宋体" w:cs="宋体"/>
          <w:color w:val="auto"/>
          <w:szCs w:val="21"/>
          <w:highlight w:val="none"/>
          <w:u w:val="single"/>
        </w:rPr>
        <w:t>月</w:t>
      </w:r>
      <w:r>
        <w:rPr>
          <w:rFonts w:hint="eastAsia" w:ascii="宋体" w:hAnsi="宋体" w:eastAsia="宋体" w:cs="宋体"/>
          <w:color w:val="auto"/>
          <w:szCs w:val="21"/>
          <w:highlight w:val="none"/>
          <w:u w:val="single"/>
          <w:lang w:val="en-US" w:eastAsia="zh-CN"/>
        </w:rPr>
        <w:t>28</w:t>
      </w:r>
      <w:r>
        <w:rPr>
          <w:rFonts w:hint="eastAsia" w:ascii="宋体" w:hAnsi="宋体" w:eastAsia="宋体" w:cs="宋体"/>
          <w:color w:val="auto"/>
          <w:szCs w:val="21"/>
          <w:highlight w:val="none"/>
          <w:u w:val="single"/>
        </w:rPr>
        <w:t>日</w:t>
      </w:r>
      <w:r>
        <w:rPr>
          <w:rFonts w:hint="eastAsia" w:ascii="宋体" w:hAnsi="宋体" w:eastAsia="宋体" w:cs="宋体"/>
          <w:color w:val="auto"/>
          <w:szCs w:val="21"/>
          <w:highlight w:val="none"/>
          <w:u w:val="single"/>
          <w:lang w:val="en-US" w:eastAsia="zh-CN"/>
        </w:rPr>
        <w:t>9</w:t>
      </w:r>
      <w:r>
        <w:rPr>
          <w:rFonts w:hint="eastAsia" w:ascii="宋体" w:hAnsi="宋体" w:eastAsia="宋体" w:cs="宋体"/>
          <w:color w:val="auto"/>
          <w:szCs w:val="21"/>
          <w:highlight w:val="none"/>
          <w:u w:val="single"/>
        </w:rPr>
        <w:t>点</w:t>
      </w:r>
      <w:r>
        <w:rPr>
          <w:rFonts w:hint="eastAsia" w:ascii="宋体" w:hAnsi="宋体" w:eastAsia="宋体" w:cs="宋体"/>
          <w:color w:val="auto"/>
          <w:szCs w:val="21"/>
          <w:highlight w:val="none"/>
          <w:u w:val="single"/>
          <w:lang w:val="en-US" w:eastAsia="zh-CN"/>
        </w:rPr>
        <w:t>30</w:t>
      </w:r>
      <w:r>
        <w:rPr>
          <w:rFonts w:hint="eastAsia" w:ascii="宋体" w:hAnsi="宋体" w:eastAsia="宋体" w:cs="宋体"/>
          <w:color w:val="auto"/>
          <w:szCs w:val="21"/>
          <w:highlight w:val="none"/>
          <w:u w:val="single"/>
        </w:rPr>
        <w:t>分（北京时间）</w:t>
      </w:r>
    </w:p>
    <w:p w14:paraId="331A005A">
      <w:pPr>
        <w:keepNext w:val="0"/>
        <w:keepLines w:val="0"/>
        <w:pageBreakBefore w:val="0"/>
        <w:widowControl/>
        <w:kinsoku/>
        <w:wordWrap/>
        <w:overflowPunct/>
        <w:topLinePunct w:val="0"/>
        <w:autoSpaceDE/>
        <w:autoSpaceDN/>
        <w:bidi w:val="0"/>
        <w:adjustRightInd w:val="0"/>
        <w:snapToGrid w:val="0"/>
        <w:spacing w:before="40" w:after="40" w:line="288" w:lineRule="auto"/>
        <w:ind w:firstLine="44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地点：</w:t>
      </w:r>
      <w:r>
        <w:rPr>
          <w:rFonts w:hint="eastAsia" w:ascii="宋体" w:hAnsi="宋体" w:eastAsia="宋体" w:cs="宋体"/>
          <w:color w:val="auto"/>
          <w:szCs w:val="21"/>
          <w:highlight w:val="none"/>
          <w:u w:val="single"/>
        </w:rPr>
        <w:t>南京市中山路99号12楼1212室</w:t>
      </w:r>
    </w:p>
    <w:p w14:paraId="078C4D3F">
      <w:pPr>
        <w:keepNext w:val="0"/>
        <w:keepLines w:val="0"/>
        <w:pageBreakBefore w:val="0"/>
        <w:widowControl/>
        <w:kinsoku/>
        <w:wordWrap/>
        <w:overflowPunct/>
        <w:topLinePunct w:val="0"/>
        <w:autoSpaceDE/>
        <w:autoSpaceDN/>
        <w:bidi w:val="0"/>
        <w:adjustRightInd w:val="0"/>
        <w:snapToGrid w:val="0"/>
        <w:spacing w:before="40" w:after="40" w:line="288" w:lineRule="auto"/>
        <w:ind w:firstLine="440" w:firstLineChars="200"/>
        <w:jc w:val="left"/>
        <w:textAlignment w:val="auto"/>
        <w:rPr>
          <w:rFonts w:hint="eastAsia" w:ascii="宋体" w:hAnsi="宋体" w:eastAsia="宋体" w:cs="宋体"/>
          <w:color w:val="auto"/>
          <w:szCs w:val="21"/>
          <w:highlight w:val="none"/>
        </w:rPr>
      </w:pPr>
      <w:bookmarkStart w:id="15" w:name="_Toc28359084"/>
      <w:bookmarkStart w:id="16" w:name="_Toc35393794"/>
      <w:bookmarkStart w:id="17" w:name="_Toc35393625"/>
      <w:bookmarkStart w:id="18" w:name="_Toc28359007"/>
      <w:r>
        <w:rPr>
          <w:rFonts w:hint="eastAsia" w:ascii="宋体" w:hAnsi="宋体" w:eastAsia="宋体" w:cs="宋体"/>
          <w:color w:val="auto"/>
          <w:szCs w:val="21"/>
          <w:highlight w:val="none"/>
        </w:rPr>
        <w:t>五、公告期限</w:t>
      </w:r>
      <w:bookmarkEnd w:id="15"/>
      <w:bookmarkEnd w:id="16"/>
      <w:bookmarkEnd w:id="17"/>
      <w:bookmarkEnd w:id="18"/>
    </w:p>
    <w:p w14:paraId="2C7C277B">
      <w:pPr>
        <w:keepNext w:val="0"/>
        <w:keepLines w:val="0"/>
        <w:pageBreakBefore w:val="0"/>
        <w:widowControl/>
        <w:kinsoku/>
        <w:wordWrap/>
        <w:overflowPunct/>
        <w:topLinePunct w:val="0"/>
        <w:autoSpaceDE/>
        <w:autoSpaceDN/>
        <w:bidi w:val="0"/>
        <w:adjustRightInd w:val="0"/>
        <w:snapToGrid w:val="0"/>
        <w:spacing w:before="40" w:after="40" w:line="288" w:lineRule="auto"/>
        <w:ind w:firstLine="44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自本公告发布之日起5个工作日。</w:t>
      </w:r>
    </w:p>
    <w:p w14:paraId="32035900">
      <w:pPr>
        <w:keepNext w:val="0"/>
        <w:keepLines w:val="0"/>
        <w:pageBreakBefore w:val="0"/>
        <w:widowControl/>
        <w:kinsoku/>
        <w:wordWrap/>
        <w:overflowPunct/>
        <w:topLinePunct w:val="0"/>
        <w:autoSpaceDE/>
        <w:autoSpaceDN/>
        <w:bidi w:val="0"/>
        <w:adjustRightInd w:val="0"/>
        <w:snapToGrid w:val="0"/>
        <w:spacing w:before="40" w:after="40" w:line="288" w:lineRule="auto"/>
        <w:ind w:firstLine="440" w:firstLineChars="200"/>
        <w:jc w:val="left"/>
        <w:textAlignment w:val="auto"/>
        <w:rPr>
          <w:rFonts w:hint="eastAsia" w:ascii="宋体" w:hAnsi="宋体" w:eastAsia="宋体" w:cs="宋体"/>
          <w:color w:val="auto"/>
          <w:szCs w:val="21"/>
          <w:highlight w:val="none"/>
        </w:rPr>
      </w:pPr>
      <w:bookmarkStart w:id="19" w:name="_Toc35393795"/>
      <w:bookmarkStart w:id="20" w:name="_Toc35393626"/>
      <w:r>
        <w:rPr>
          <w:rFonts w:hint="eastAsia" w:ascii="宋体" w:hAnsi="宋体" w:eastAsia="宋体" w:cs="宋体"/>
          <w:color w:val="auto"/>
          <w:szCs w:val="21"/>
          <w:highlight w:val="none"/>
        </w:rPr>
        <w:t>六、其他补充事宜</w:t>
      </w:r>
      <w:bookmarkEnd w:id="19"/>
      <w:bookmarkEnd w:id="20"/>
    </w:p>
    <w:p w14:paraId="457A1B22">
      <w:pPr>
        <w:keepNext w:val="0"/>
        <w:keepLines w:val="0"/>
        <w:pageBreakBefore w:val="0"/>
        <w:widowControl/>
        <w:kinsoku/>
        <w:wordWrap/>
        <w:overflowPunct/>
        <w:topLinePunct w:val="0"/>
        <w:autoSpaceDE/>
        <w:autoSpaceDN/>
        <w:bidi w:val="0"/>
        <w:adjustRightInd w:val="0"/>
        <w:snapToGrid w:val="0"/>
        <w:spacing w:before="40" w:after="40" w:line="288" w:lineRule="auto"/>
        <w:ind w:firstLine="44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1.集中勘察或答疑：</w:t>
      </w:r>
    </w:p>
    <w:p w14:paraId="786FC1C9">
      <w:pPr>
        <w:keepNext w:val="0"/>
        <w:keepLines w:val="0"/>
        <w:pageBreakBefore w:val="0"/>
        <w:widowControl/>
        <w:kinsoku/>
        <w:wordWrap/>
        <w:overflowPunct/>
        <w:topLinePunct w:val="0"/>
        <w:autoSpaceDE/>
        <w:autoSpaceDN/>
        <w:bidi w:val="0"/>
        <w:adjustRightInd w:val="0"/>
        <w:snapToGrid w:val="0"/>
        <w:spacing w:before="40" w:after="40" w:line="288" w:lineRule="auto"/>
        <w:ind w:firstLine="44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采购人不组织，供应商可自行联系采购人。未踏勘现场或踏勘工作不详细的供应商中标后，不得以不完全了解现场情况为理由而向采购人提出任何索赔或其他要求，对此采购人不承担任何责任并将不作任何答复。</w:t>
      </w:r>
    </w:p>
    <w:p w14:paraId="726A456F">
      <w:pPr>
        <w:keepNext w:val="0"/>
        <w:keepLines w:val="0"/>
        <w:pageBreakBefore w:val="0"/>
        <w:widowControl/>
        <w:kinsoku/>
        <w:wordWrap/>
        <w:overflowPunct/>
        <w:topLinePunct w:val="0"/>
        <w:autoSpaceDE/>
        <w:autoSpaceDN/>
        <w:bidi w:val="0"/>
        <w:adjustRightInd w:val="0"/>
        <w:snapToGrid w:val="0"/>
        <w:spacing w:before="40" w:after="40" w:line="288" w:lineRule="auto"/>
        <w:ind w:firstLine="44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响应文件份数：一式伍份（壹份正本、肆份副本），（电子版须为响应文件盖公章（红章）正本的PDF扫描件，扫描件内容应与纸质文件完全一致。文件名建议修改为公司名+项目编号简写、U盘形式，随纸质正本文件一并提交）。当纸质正本文件和电子版文件不一致时，以纸质正本文件为准。电子版文件用于存档，投标供应商需承担前述不一致造成的不利后果。每份纸质文件须清楚标明“正本”或“副本”字样。一旦正本和副本不符，以正本为准。</w:t>
      </w:r>
    </w:p>
    <w:p w14:paraId="71F6B89E">
      <w:pPr>
        <w:keepNext w:val="0"/>
        <w:keepLines w:val="0"/>
        <w:pageBreakBefore w:val="0"/>
        <w:widowControl/>
        <w:kinsoku/>
        <w:wordWrap/>
        <w:overflowPunct/>
        <w:topLinePunct w:val="0"/>
        <w:autoSpaceDE/>
        <w:autoSpaceDN/>
        <w:bidi w:val="0"/>
        <w:adjustRightInd w:val="0"/>
        <w:snapToGrid w:val="0"/>
        <w:spacing w:before="40" w:after="40" w:line="288" w:lineRule="auto"/>
        <w:ind w:firstLine="440" w:firstLineChars="200"/>
        <w:jc w:val="left"/>
        <w:textAlignment w:val="auto"/>
        <w:rPr>
          <w:rFonts w:hint="eastAsia" w:ascii="宋体" w:hAnsi="宋体" w:eastAsia="宋体" w:cs="宋体"/>
          <w:color w:val="auto"/>
          <w:szCs w:val="21"/>
          <w:highlight w:val="none"/>
        </w:rPr>
      </w:pPr>
      <w:bookmarkStart w:id="21" w:name="_Toc35393627"/>
      <w:bookmarkStart w:id="22" w:name="_Toc28359008"/>
      <w:bookmarkStart w:id="23" w:name="_Toc35393796"/>
      <w:bookmarkStart w:id="24" w:name="_Toc28359085"/>
      <w:r>
        <w:rPr>
          <w:rFonts w:hint="eastAsia" w:ascii="宋体" w:hAnsi="宋体" w:eastAsia="宋体" w:cs="宋体"/>
          <w:color w:val="auto"/>
          <w:szCs w:val="21"/>
          <w:highlight w:val="none"/>
        </w:rPr>
        <w:t>3.公告媒体</w:t>
      </w:r>
    </w:p>
    <w:p w14:paraId="21158AFF">
      <w:pPr>
        <w:keepNext w:val="0"/>
        <w:keepLines w:val="0"/>
        <w:pageBreakBefore w:val="0"/>
        <w:widowControl/>
        <w:kinsoku/>
        <w:wordWrap/>
        <w:overflowPunct/>
        <w:topLinePunct w:val="0"/>
        <w:autoSpaceDE/>
        <w:autoSpaceDN/>
        <w:bidi w:val="0"/>
        <w:adjustRightInd w:val="0"/>
        <w:snapToGrid w:val="0"/>
        <w:spacing w:before="40" w:after="40" w:line="288" w:lineRule="auto"/>
        <w:ind w:firstLine="44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（1）本采购公告在南京医科大学（https://sjfwc.njmu.edu.cn/zbgg/list1.htm）公示发布，敬请各投标人关注；</w:t>
      </w:r>
    </w:p>
    <w:p w14:paraId="52822D61">
      <w:pPr>
        <w:keepNext w:val="0"/>
        <w:keepLines w:val="0"/>
        <w:pageBreakBefore w:val="0"/>
        <w:widowControl/>
        <w:kinsoku/>
        <w:wordWrap/>
        <w:overflowPunct/>
        <w:topLinePunct w:val="0"/>
        <w:autoSpaceDE/>
        <w:autoSpaceDN/>
        <w:bidi w:val="0"/>
        <w:adjustRightInd w:val="0"/>
        <w:snapToGrid w:val="0"/>
        <w:spacing w:before="40" w:after="40" w:line="288" w:lineRule="auto"/>
        <w:ind w:firstLine="44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（2）若有关本次采购存在变动或修改，敬请各投标人及时关注南京医科大学（https://sjfwc.njmu.edu.cn/zbgg/list1.htm）发布的关于本项目的信息更正公告。</w:t>
      </w:r>
    </w:p>
    <w:p w14:paraId="6713CCC9">
      <w:pPr>
        <w:keepNext w:val="0"/>
        <w:keepLines w:val="0"/>
        <w:pageBreakBefore w:val="0"/>
        <w:widowControl/>
        <w:kinsoku/>
        <w:wordWrap/>
        <w:overflowPunct/>
        <w:topLinePunct w:val="0"/>
        <w:autoSpaceDE/>
        <w:autoSpaceDN/>
        <w:bidi w:val="0"/>
        <w:adjustRightInd w:val="0"/>
        <w:snapToGrid w:val="0"/>
        <w:spacing w:before="40" w:after="40" w:line="288" w:lineRule="auto"/>
        <w:ind w:firstLine="44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4.采购项目需要落实的政府采购政策：</w:t>
      </w:r>
    </w:p>
    <w:p w14:paraId="7DA42018">
      <w:pPr>
        <w:keepNext w:val="0"/>
        <w:keepLines w:val="0"/>
        <w:pageBreakBefore w:val="0"/>
        <w:widowControl/>
        <w:kinsoku/>
        <w:wordWrap/>
        <w:overflowPunct/>
        <w:topLinePunct w:val="0"/>
        <w:autoSpaceDE/>
        <w:autoSpaceDN/>
        <w:bidi w:val="0"/>
        <w:adjustRightInd w:val="0"/>
        <w:snapToGrid w:val="0"/>
        <w:spacing w:before="40" w:after="40" w:line="288" w:lineRule="auto"/>
        <w:ind w:firstLine="44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（1）政府采购促进中小企业发展</w:t>
      </w:r>
    </w:p>
    <w:p w14:paraId="1C703A33">
      <w:pPr>
        <w:keepNext w:val="0"/>
        <w:keepLines w:val="0"/>
        <w:pageBreakBefore w:val="0"/>
        <w:widowControl/>
        <w:kinsoku/>
        <w:wordWrap/>
        <w:overflowPunct/>
        <w:topLinePunct w:val="0"/>
        <w:autoSpaceDE/>
        <w:autoSpaceDN/>
        <w:bidi w:val="0"/>
        <w:adjustRightInd w:val="0"/>
        <w:snapToGrid w:val="0"/>
        <w:spacing w:before="40" w:after="40" w:line="288" w:lineRule="auto"/>
        <w:ind w:firstLine="44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（2）政府采购支持监狱企业发展</w:t>
      </w:r>
    </w:p>
    <w:p w14:paraId="18756536">
      <w:pPr>
        <w:keepNext w:val="0"/>
        <w:keepLines w:val="0"/>
        <w:pageBreakBefore w:val="0"/>
        <w:widowControl/>
        <w:kinsoku/>
        <w:wordWrap/>
        <w:overflowPunct/>
        <w:topLinePunct w:val="0"/>
        <w:autoSpaceDE/>
        <w:autoSpaceDN/>
        <w:bidi w:val="0"/>
        <w:adjustRightInd w:val="0"/>
        <w:snapToGrid w:val="0"/>
        <w:spacing w:before="40" w:after="40" w:line="288" w:lineRule="auto"/>
        <w:ind w:firstLine="44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（3）政府采购促进残疾人就业</w:t>
      </w:r>
    </w:p>
    <w:p w14:paraId="6AB8824F">
      <w:pPr>
        <w:keepNext w:val="0"/>
        <w:keepLines w:val="0"/>
        <w:pageBreakBefore w:val="0"/>
        <w:widowControl/>
        <w:kinsoku/>
        <w:wordWrap/>
        <w:overflowPunct/>
        <w:topLinePunct w:val="0"/>
        <w:autoSpaceDE/>
        <w:autoSpaceDN/>
        <w:bidi w:val="0"/>
        <w:adjustRightInd w:val="0"/>
        <w:snapToGrid w:val="0"/>
        <w:spacing w:before="40" w:after="40" w:line="288" w:lineRule="auto"/>
        <w:ind w:firstLine="44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（4）政府采购鼓励采购节能环保产品</w:t>
      </w:r>
    </w:p>
    <w:p w14:paraId="436C0BA8">
      <w:pPr>
        <w:keepNext w:val="0"/>
        <w:keepLines w:val="0"/>
        <w:pageBreakBefore w:val="0"/>
        <w:widowControl/>
        <w:kinsoku/>
        <w:wordWrap/>
        <w:overflowPunct/>
        <w:topLinePunct w:val="0"/>
        <w:autoSpaceDE/>
        <w:autoSpaceDN/>
        <w:bidi w:val="0"/>
        <w:adjustRightInd w:val="0"/>
        <w:snapToGrid w:val="0"/>
        <w:spacing w:before="40" w:after="40" w:line="288" w:lineRule="auto"/>
        <w:ind w:firstLine="44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七、对本次招标提出询问，请按以下方式联系。</w:t>
      </w:r>
      <w:bookmarkEnd w:id="21"/>
      <w:bookmarkEnd w:id="22"/>
      <w:bookmarkEnd w:id="23"/>
      <w:bookmarkEnd w:id="24"/>
    </w:p>
    <w:p w14:paraId="230808A5">
      <w:pPr>
        <w:keepNext w:val="0"/>
        <w:keepLines w:val="0"/>
        <w:pageBreakBefore w:val="0"/>
        <w:widowControl/>
        <w:kinsoku/>
        <w:wordWrap/>
        <w:overflowPunct/>
        <w:topLinePunct w:val="0"/>
        <w:autoSpaceDE/>
        <w:autoSpaceDN/>
        <w:bidi w:val="0"/>
        <w:adjustRightInd w:val="0"/>
        <w:snapToGrid w:val="0"/>
        <w:spacing w:before="40" w:after="40" w:line="288" w:lineRule="auto"/>
        <w:ind w:firstLine="44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1.采购人信息</w:t>
      </w:r>
    </w:p>
    <w:p w14:paraId="064068E7">
      <w:pPr>
        <w:keepNext w:val="0"/>
        <w:keepLines w:val="0"/>
        <w:pageBreakBefore w:val="0"/>
        <w:widowControl/>
        <w:kinsoku/>
        <w:wordWrap/>
        <w:overflowPunct/>
        <w:topLinePunct w:val="0"/>
        <w:autoSpaceDE/>
        <w:autoSpaceDN/>
        <w:bidi w:val="0"/>
        <w:adjustRightInd w:val="0"/>
        <w:snapToGrid w:val="0"/>
        <w:spacing w:before="40" w:after="40" w:line="288" w:lineRule="auto"/>
        <w:ind w:firstLine="440" w:firstLineChars="200"/>
        <w:jc w:val="left"/>
        <w:textAlignment w:val="auto"/>
        <w:rPr>
          <w:rFonts w:hint="eastAsia" w:ascii="宋体" w:hAnsi="宋体" w:eastAsia="宋体" w:cs="宋体"/>
          <w:color w:val="auto"/>
          <w:szCs w:val="21"/>
          <w:highlight w:val="none"/>
        </w:rPr>
      </w:pPr>
      <w:bookmarkStart w:id="25" w:name="_Toc28359086"/>
      <w:bookmarkStart w:id="26" w:name="_Toc28359009"/>
      <w:r>
        <w:rPr>
          <w:rFonts w:hint="eastAsia" w:ascii="宋体" w:hAnsi="宋体" w:eastAsia="宋体" w:cs="宋体"/>
          <w:color w:val="auto"/>
          <w:szCs w:val="21"/>
          <w:highlight w:val="none"/>
        </w:rPr>
        <w:t>名称：南京医科大学</w:t>
      </w:r>
    </w:p>
    <w:p w14:paraId="700519EA">
      <w:pPr>
        <w:keepNext w:val="0"/>
        <w:keepLines w:val="0"/>
        <w:pageBreakBefore w:val="0"/>
        <w:widowControl/>
        <w:kinsoku/>
        <w:wordWrap/>
        <w:overflowPunct/>
        <w:topLinePunct w:val="0"/>
        <w:autoSpaceDE/>
        <w:autoSpaceDN/>
        <w:bidi w:val="0"/>
        <w:adjustRightInd w:val="0"/>
        <w:snapToGrid w:val="0"/>
        <w:spacing w:before="40" w:after="40" w:line="288" w:lineRule="auto"/>
        <w:ind w:firstLine="472" w:firstLineChars="200"/>
        <w:jc w:val="left"/>
        <w:textAlignment w:val="auto"/>
        <w:rPr>
          <w:rFonts w:hint="eastAsia" w:ascii="宋体" w:hAnsi="宋体" w:eastAsia="宋体" w:cs="宋体"/>
          <w:color w:val="auto"/>
          <w:spacing w:val="8"/>
          <w:kern w:val="0"/>
          <w:szCs w:val="21"/>
          <w:highlight w:val="none"/>
        </w:rPr>
      </w:pPr>
      <w:r>
        <w:rPr>
          <w:rFonts w:hint="eastAsia" w:ascii="宋体" w:hAnsi="宋体" w:eastAsia="宋体" w:cs="宋体"/>
          <w:color w:val="auto"/>
          <w:spacing w:val="8"/>
          <w:kern w:val="0"/>
          <w:szCs w:val="21"/>
          <w:highlight w:val="none"/>
        </w:rPr>
        <w:t>地址：</w:t>
      </w:r>
      <w:r>
        <w:rPr>
          <w:rFonts w:hint="eastAsia" w:ascii="宋体" w:hAnsi="宋体" w:eastAsia="宋体" w:cs="宋体"/>
          <w:color w:val="auto"/>
          <w:spacing w:val="8"/>
          <w:kern w:val="0"/>
          <w:szCs w:val="21"/>
          <w:highlight w:val="none"/>
          <w:shd w:val="clear" w:color="auto" w:fill="FFFFFF"/>
        </w:rPr>
        <w:t>南京市江宁区龙眠大道101号</w:t>
      </w:r>
    </w:p>
    <w:p w14:paraId="43CD2690">
      <w:pPr>
        <w:keepNext w:val="0"/>
        <w:keepLines w:val="0"/>
        <w:pageBreakBefore w:val="0"/>
        <w:widowControl/>
        <w:kinsoku/>
        <w:wordWrap/>
        <w:overflowPunct/>
        <w:topLinePunct w:val="0"/>
        <w:autoSpaceDE/>
        <w:autoSpaceDN/>
        <w:bidi w:val="0"/>
        <w:adjustRightInd w:val="0"/>
        <w:snapToGrid w:val="0"/>
        <w:spacing w:before="40" w:after="40" w:line="288" w:lineRule="auto"/>
        <w:ind w:firstLine="44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联系人：马老师</w:t>
      </w:r>
    </w:p>
    <w:p w14:paraId="03FAC50A">
      <w:pPr>
        <w:keepNext w:val="0"/>
        <w:keepLines w:val="0"/>
        <w:pageBreakBefore w:val="0"/>
        <w:widowControl/>
        <w:kinsoku/>
        <w:wordWrap/>
        <w:overflowPunct/>
        <w:topLinePunct w:val="0"/>
        <w:autoSpaceDE/>
        <w:autoSpaceDN/>
        <w:bidi w:val="0"/>
        <w:adjustRightInd w:val="0"/>
        <w:snapToGrid w:val="0"/>
        <w:spacing w:before="40" w:after="40" w:line="288" w:lineRule="auto"/>
        <w:ind w:firstLine="44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联系电话：025-86868572</w:t>
      </w:r>
    </w:p>
    <w:p w14:paraId="4375B3DD">
      <w:pPr>
        <w:keepNext w:val="0"/>
        <w:keepLines w:val="0"/>
        <w:pageBreakBefore w:val="0"/>
        <w:widowControl/>
        <w:kinsoku/>
        <w:wordWrap/>
        <w:overflowPunct/>
        <w:topLinePunct w:val="0"/>
        <w:autoSpaceDE/>
        <w:autoSpaceDN/>
        <w:bidi w:val="0"/>
        <w:adjustRightInd w:val="0"/>
        <w:snapToGrid w:val="0"/>
        <w:spacing w:before="40" w:after="40" w:line="288" w:lineRule="auto"/>
        <w:ind w:firstLine="44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2.采购代理机构信息</w:t>
      </w:r>
      <w:bookmarkEnd w:id="25"/>
      <w:bookmarkEnd w:id="26"/>
    </w:p>
    <w:p w14:paraId="1581FAA2">
      <w:pPr>
        <w:keepNext w:val="0"/>
        <w:keepLines w:val="0"/>
        <w:pageBreakBefore w:val="0"/>
        <w:widowControl/>
        <w:kinsoku/>
        <w:wordWrap/>
        <w:overflowPunct/>
        <w:topLinePunct w:val="0"/>
        <w:autoSpaceDE/>
        <w:autoSpaceDN/>
        <w:bidi w:val="0"/>
        <w:adjustRightInd w:val="0"/>
        <w:snapToGrid w:val="0"/>
        <w:spacing w:before="40" w:after="40" w:line="288" w:lineRule="auto"/>
        <w:ind w:firstLine="44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名称：</w:t>
      </w:r>
      <w:bookmarkStart w:id="27" w:name="OLE_LINK1"/>
      <w:r>
        <w:rPr>
          <w:rFonts w:hint="eastAsia" w:ascii="宋体" w:hAnsi="宋体" w:eastAsia="宋体" w:cs="宋体"/>
          <w:color w:val="auto"/>
          <w:szCs w:val="21"/>
          <w:highlight w:val="none"/>
        </w:rPr>
        <w:t>南京苏宁工程咨询有限公司</w:t>
      </w:r>
      <w:bookmarkEnd w:id="27"/>
    </w:p>
    <w:p w14:paraId="3678C80F">
      <w:pPr>
        <w:keepNext w:val="0"/>
        <w:keepLines w:val="0"/>
        <w:pageBreakBefore w:val="0"/>
        <w:widowControl/>
        <w:kinsoku/>
        <w:wordWrap/>
        <w:overflowPunct/>
        <w:topLinePunct w:val="0"/>
        <w:autoSpaceDE/>
        <w:autoSpaceDN/>
        <w:bidi w:val="0"/>
        <w:adjustRightInd w:val="0"/>
        <w:snapToGrid w:val="0"/>
        <w:spacing w:before="40" w:after="40" w:line="288" w:lineRule="auto"/>
        <w:ind w:firstLine="44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地址：南京市鼓楼区中山路99号12楼1212室</w:t>
      </w:r>
    </w:p>
    <w:p w14:paraId="529FAB8F">
      <w:pPr>
        <w:keepNext w:val="0"/>
        <w:keepLines w:val="0"/>
        <w:pageBreakBefore w:val="0"/>
        <w:widowControl/>
        <w:kinsoku/>
        <w:wordWrap/>
        <w:overflowPunct/>
        <w:topLinePunct w:val="0"/>
        <w:autoSpaceDE/>
        <w:autoSpaceDN/>
        <w:bidi w:val="0"/>
        <w:adjustRightInd w:val="0"/>
        <w:snapToGrid w:val="0"/>
        <w:spacing w:before="40" w:after="40" w:line="288" w:lineRule="auto"/>
        <w:ind w:firstLine="44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联系方式：</w:t>
      </w:r>
      <w:bookmarkStart w:id="28" w:name="_Toc28359010"/>
      <w:bookmarkStart w:id="29" w:name="_Toc28359087"/>
      <w:r>
        <w:rPr>
          <w:rFonts w:hint="eastAsia" w:ascii="宋体" w:hAnsi="宋体" w:eastAsia="宋体" w:cs="宋体"/>
          <w:color w:val="auto"/>
          <w:szCs w:val="21"/>
          <w:highlight w:val="none"/>
        </w:rPr>
        <w:t>李工025-84200809</w:t>
      </w:r>
    </w:p>
    <w:p w14:paraId="52856B0F">
      <w:pPr>
        <w:keepNext w:val="0"/>
        <w:keepLines w:val="0"/>
        <w:pageBreakBefore w:val="0"/>
        <w:widowControl/>
        <w:kinsoku/>
        <w:wordWrap/>
        <w:overflowPunct/>
        <w:topLinePunct w:val="0"/>
        <w:autoSpaceDE/>
        <w:autoSpaceDN/>
        <w:bidi w:val="0"/>
        <w:adjustRightInd w:val="0"/>
        <w:snapToGrid w:val="0"/>
        <w:spacing w:before="40" w:after="40" w:line="288" w:lineRule="auto"/>
        <w:ind w:firstLine="44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项目联系方式</w:t>
      </w:r>
      <w:bookmarkEnd w:id="28"/>
      <w:bookmarkEnd w:id="29"/>
    </w:p>
    <w:p w14:paraId="6368FDAE">
      <w:pPr>
        <w:keepNext w:val="0"/>
        <w:keepLines w:val="0"/>
        <w:pageBreakBefore w:val="0"/>
        <w:widowControl/>
        <w:kinsoku/>
        <w:wordWrap/>
        <w:overflowPunct/>
        <w:topLinePunct w:val="0"/>
        <w:autoSpaceDE/>
        <w:autoSpaceDN/>
        <w:bidi w:val="0"/>
        <w:adjustRightInd w:val="0"/>
        <w:snapToGrid w:val="0"/>
        <w:spacing w:before="40" w:after="40" w:line="288" w:lineRule="auto"/>
        <w:ind w:firstLine="440" w:firstLineChars="200"/>
        <w:jc w:val="left"/>
        <w:textAlignment w:val="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项目联系人：李工 电话：025-84200809</w:t>
      </w:r>
    </w:p>
    <w:p w14:paraId="69BCE940">
      <w:pPr>
        <w:keepNext w:val="0"/>
        <w:keepLines w:val="0"/>
        <w:pageBreakBefore w:val="0"/>
        <w:widowControl/>
        <w:kinsoku/>
        <w:wordWrap/>
        <w:overflowPunct/>
        <w:topLinePunct w:val="0"/>
        <w:autoSpaceDE/>
        <w:autoSpaceDN/>
        <w:bidi w:val="0"/>
        <w:adjustRightInd w:val="0"/>
        <w:snapToGrid w:val="0"/>
        <w:spacing w:before="40" w:after="40" w:line="288" w:lineRule="auto"/>
        <w:ind w:firstLine="442" w:firstLineChars="200"/>
        <w:jc w:val="left"/>
        <w:textAlignment w:val="auto"/>
        <w:rPr>
          <w:rFonts w:hint="eastAsia" w:ascii="宋体" w:hAnsi="宋体" w:eastAsia="宋体" w:cs="宋体"/>
          <w:b/>
          <w:bCs/>
          <w:color w:val="auto"/>
          <w:szCs w:val="21"/>
          <w:highlight w:val="none"/>
        </w:rPr>
      </w:pPr>
    </w:p>
    <w:p w14:paraId="4DD8F73E">
      <w:pPr>
        <w:keepNext w:val="0"/>
        <w:keepLines w:val="0"/>
        <w:pageBreakBefore w:val="0"/>
        <w:widowControl/>
        <w:kinsoku/>
        <w:wordWrap/>
        <w:overflowPunct/>
        <w:topLinePunct w:val="0"/>
        <w:autoSpaceDE/>
        <w:autoSpaceDN/>
        <w:bidi w:val="0"/>
        <w:adjustRightInd w:val="0"/>
        <w:snapToGrid w:val="0"/>
        <w:spacing w:before="40" w:after="40" w:line="288" w:lineRule="auto"/>
        <w:ind w:firstLine="442" w:firstLineChars="200"/>
        <w:jc w:val="left"/>
        <w:textAlignment w:val="auto"/>
        <w:rPr>
          <w:rFonts w:hint="eastAsia" w:ascii="宋体" w:hAnsi="宋体" w:cs="宋体"/>
          <w:color w:val="auto"/>
          <w:szCs w:val="21"/>
          <w:highlight w:val="none"/>
          <w:lang w:val="zh-CN"/>
        </w:rPr>
      </w:pPr>
      <w:r>
        <w:rPr>
          <w:rFonts w:hint="eastAsia" w:ascii="宋体" w:hAnsi="宋体" w:eastAsia="宋体" w:cs="宋体"/>
          <w:b/>
          <w:bCs/>
          <w:color w:val="auto"/>
          <w:szCs w:val="21"/>
          <w:highlight w:val="none"/>
        </w:rPr>
        <w:t>请贵单位领取本次采购文件后，认真阅读各项内容，进行必要的投标准备，按文件的要求详细填写和编制响应文件，并按以上确定的时间、地点准时参加投标。</w:t>
      </w:r>
    </w:p>
    <w:p w14:paraId="2B6930F3"/>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F6503CA"/>
    <w:rsid w:val="3F6503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微软雅黑" w:cstheme="minorBidi"/>
      <w:sz w:val="22"/>
      <w:szCs w:val="22"/>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pPr>
    <w:rPr>
      <w:sz w:val="18"/>
      <w:szCs w:val="18"/>
    </w:rPr>
  </w:style>
  <w:style w:type="paragraph" w:styleId="3">
    <w:name w:val="header"/>
    <w:basedOn w:val="1"/>
    <w:unhideWhenUsed/>
    <w:qFormat/>
    <w:uiPriority w:val="99"/>
    <w:pPr>
      <w:pBdr>
        <w:bottom w:val="single" w:color="auto" w:sz="6" w:space="1"/>
      </w:pBdr>
      <w:tabs>
        <w:tab w:val="center" w:pos="4153"/>
        <w:tab w:val="right" w:pos="8306"/>
      </w:tabs>
      <w:jc w:val="center"/>
    </w:pPr>
    <w:rPr>
      <w:sz w:val="18"/>
      <w:szCs w:val="18"/>
    </w:rPr>
  </w:style>
  <w:style w:type="table" w:styleId="5">
    <w:name w:val="Table Grid"/>
    <w:basedOn w:val="4"/>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7">
    <w:name w:val="List Paragraph"/>
    <w:basedOn w:val="1"/>
    <w:autoRedefine/>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2025-11-06T01:42:00Z</dcterms:created>
  <dc:creator>王净壹</dc:creator>
  <cp:lastModifiedBy>王净壹</cp:lastModifiedBy>
  <dcterms:modified xsi:type="dcterms:W3CDTF">2025-11-06T01:44:51Z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6B47CCC6BA4B4FD6B1EF9A9F71E70B8E_11</vt:lpwstr>
  </property>
  <property fmtid="{D5CDD505-2E9C-101B-9397-08002B2CF9AE}" pid="4" name="KSOTemplateDocerSaveRecord">
    <vt:lpwstr>eyJoZGlkIjoiMDM0ZTI2Y2RhZDYzNWI4NjdkN2I1ODRiZGYxY2FmZmYiLCJ1c2VySWQiOiIxMDQ1NzQ0MDg4In0=</vt:lpwstr>
  </property>
</Properties>
</file>