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CFC17">
      <w:pPr>
        <w:pStyle w:val="34"/>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bBAAA&#10;ZHJzL21lZGlhL2ltYWdlMS5wbmdQSwECFAAUAAAACACHTuJAyUMQ9IkiAACEIgAAFAAAAAAAAAAB&#10;ACAAAAA8TgAAZHJzL21lZGlhL2ltYWdlMi5wbmdQSwECFAAUAAAACACHTuJAsEKKB+MLAADeCwAA&#10;FAAAAAAAAAABACAAAAAnQg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3DBCFC18">
      <w:pPr>
        <w:pStyle w:val="34"/>
        <w:ind w:firstLine="0"/>
        <w:jc w:val="center"/>
        <w:rPr>
          <w:rFonts w:eastAsia="黑体"/>
          <w:b/>
          <w:bCs/>
          <w:color w:val="auto"/>
          <w:sz w:val="84"/>
        </w:rPr>
      </w:pPr>
    </w:p>
    <w:p w14:paraId="3DBCFC19">
      <w:pPr>
        <w:pStyle w:val="34"/>
        <w:ind w:firstLine="0"/>
        <w:jc w:val="center"/>
        <w:rPr>
          <w:rFonts w:hint="eastAsia"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3DBCFC1A">
      <w:pPr>
        <w:pStyle w:val="34"/>
        <w:ind w:firstLine="2401" w:firstLineChars="750"/>
        <w:rPr>
          <w:rFonts w:hint="eastAsia" w:ascii="微软雅黑" w:hAnsi="微软雅黑" w:eastAsia="微软雅黑" w:cs="微软雅黑"/>
          <w:b/>
          <w:bCs/>
          <w:color w:val="auto"/>
          <w:sz w:val="32"/>
        </w:rPr>
      </w:pPr>
    </w:p>
    <w:p w14:paraId="3DBCFC1B">
      <w:pPr>
        <w:pStyle w:val="34"/>
        <w:rPr>
          <w:rFonts w:hint="eastAsia" w:ascii="微软雅黑" w:hAnsi="微软雅黑" w:eastAsia="微软雅黑" w:cs="微软雅黑"/>
          <w:b/>
          <w:bCs/>
          <w:color w:val="auto"/>
          <w:sz w:val="32"/>
        </w:rPr>
      </w:pPr>
    </w:p>
    <w:p w14:paraId="3DBCFC1C">
      <w:pPr>
        <w:pStyle w:val="34"/>
        <w:rPr>
          <w:rFonts w:hint="eastAsia" w:ascii="微软雅黑" w:hAnsi="微软雅黑" w:eastAsia="微软雅黑" w:cs="微软雅黑"/>
          <w:b/>
          <w:bCs/>
          <w:color w:val="auto"/>
          <w:sz w:val="32"/>
          <w:u w:val="thick"/>
        </w:rPr>
      </w:pPr>
      <w:r>
        <w:rPr>
          <w:rFonts w:hint="eastAsia" w:ascii="微软雅黑" w:hAnsi="微软雅黑" w:eastAsia="微软雅黑" w:cs="微软雅黑"/>
          <w:b/>
          <w:bCs/>
          <w:color w:val="auto"/>
          <w:sz w:val="32"/>
        </w:rPr>
        <w:t xml:space="preserve">项目名称：   </w:t>
      </w:r>
      <w:r>
        <w:rPr>
          <w:rFonts w:hint="eastAsia" w:ascii="微软雅黑" w:hAnsi="微软雅黑" w:eastAsia="微软雅黑" w:cs="微软雅黑"/>
          <w:b/>
          <w:bCs/>
          <w:color w:val="auto"/>
          <w:sz w:val="32"/>
          <w:u w:val="single"/>
        </w:rPr>
        <w:t xml:space="preserve">护理学专业知识图谱和智慧课程建设    </w:t>
      </w:r>
      <w:r>
        <w:rPr>
          <w:rFonts w:hint="eastAsia" w:ascii="微软雅黑" w:hAnsi="微软雅黑" w:eastAsia="微软雅黑" w:cs="微软雅黑"/>
          <w:b/>
          <w:bCs/>
          <w:color w:val="auto"/>
          <w:sz w:val="32"/>
        </w:rPr>
        <w:t xml:space="preserve">  </w:t>
      </w:r>
      <w:r>
        <w:rPr>
          <w:rFonts w:hint="eastAsia" w:ascii="微软雅黑" w:hAnsi="微软雅黑" w:eastAsia="微软雅黑" w:cs="微软雅黑"/>
          <w:b/>
          <w:bCs/>
          <w:color w:val="auto"/>
          <w:sz w:val="32"/>
          <w:u w:val="thick"/>
        </w:rPr>
        <w:t xml:space="preserve">       </w:t>
      </w:r>
    </w:p>
    <w:p w14:paraId="3DBCFC1D">
      <w:pPr>
        <w:pStyle w:val="34"/>
        <w:rPr>
          <w:rFonts w:hint="eastAsia" w:ascii="微软雅黑" w:hAnsi="微软雅黑" w:eastAsia="微软雅黑" w:cs="微软雅黑"/>
          <w:b/>
          <w:bCs/>
          <w:color w:val="auto"/>
          <w:sz w:val="13"/>
          <w:szCs w:val="10"/>
          <w:u w:val="thick"/>
        </w:rPr>
      </w:pPr>
    </w:p>
    <w:p w14:paraId="3DBCFC1E">
      <w:pPr>
        <w:pStyle w:val="34"/>
        <w:ind w:firstLine="0"/>
        <w:rPr>
          <w:rFonts w:hint="eastAsia"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6"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0288;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AQ5kk4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V9w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OZJO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u w:val="single"/>
        </w:rPr>
        <w:t>NJMUZB10620250355</w:t>
      </w:r>
    </w:p>
    <w:p w14:paraId="3DBCFC1F">
      <w:pPr>
        <w:pStyle w:val="34"/>
        <w:spacing w:before="0" w:after="0"/>
        <w:ind w:firstLine="0"/>
        <w:rPr>
          <w:rFonts w:hint="eastAsia" w:ascii="宋体" w:hAnsi="宋体"/>
          <w:color w:val="auto"/>
        </w:rPr>
      </w:pPr>
    </w:p>
    <w:p w14:paraId="3DBCFC20">
      <w:pPr>
        <w:pStyle w:val="34"/>
        <w:spacing w:before="0" w:after="0"/>
        <w:ind w:firstLine="0"/>
        <w:rPr>
          <w:rFonts w:hint="eastAsia" w:ascii="宋体" w:hAnsi="宋体"/>
          <w:color w:val="auto"/>
        </w:rPr>
      </w:pPr>
    </w:p>
    <w:p w14:paraId="3DBCFC21">
      <w:pPr>
        <w:pStyle w:val="34"/>
        <w:spacing w:before="0" w:after="0"/>
        <w:ind w:firstLine="0"/>
        <w:rPr>
          <w:rFonts w:hint="eastAsia" w:ascii="宋体" w:hAnsi="宋体"/>
          <w:color w:val="auto"/>
        </w:rPr>
      </w:pPr>
    </w:p>
    <w:p w14:paraId="3DBCFC22">
      <w:pPr>
        <w:pStyle w:val="34"/>
        <w:spacing w:before="0" w:after="0"/>
        <w:ind w:firstLine="0"/>
        <w:rPr>
          <w:rFonts w:hint="eastAsia" w:ascii="宋体" w:hAnsi="宋体"/>
          <w:color w:val="auto"/>
        </w:rPr>
      </w:pPr>
    </w:p>
    <w:p w14:paraId="3DBCFC23">
      <w:pPr>
        <w:pStyle w:val="34"/>
        <w:ind w:firstLine="0"/>
        <w:jc w:val="center"/>
        <w:rPr>
          <w:rFonts w:hint="eastAsia"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二零二五年十一月</w:t>
      </w:r>
    </w:p>
    <w:p w14:paraId="3DBCFC24">
      <w:pPr>
        <w:pStyle w:val="34"/>
        <w:ind w:firstLine="0"/>
        <w:jc w:val="center"/>
        <w:rPr>
          <w:rFonts w:hint="eastAsia" w:ascii="微软雅黑" w:hAnsi="微软雅黑" w:eastAsia="微软雅黑" w:cs="微软雅黑"/>
          <w:b/>
          <w:bCs/>
          <w:color w:val="auto"/>
          <w:sz w:val="32"/>
        </w:rPr>
      </w:pPr>
    </w:p>
    <w:p w14:paraId="3DBCFC25">
      <w:pPr>
        <w:pStyle w:val="34"/>
        <w:ind w:firstLine="0"/>
        <w:jc w:val="center"/>
        <w:rPr>
          <w:rFonts w:eastAsia="黑体"/>
          <w:b/>
          <w:bCs/>
          <w:color w:val="auto"/>
          <w:sz w:val="32"/>
        </w:rPr>
      </w:pPr>
      <w:bookmarkStart w:id="0" w:name="_Toc517190880"/>
      <w:bookmarkStart w:id="1" w:name="_Toc120614210"/>
      <w:bookmarkStart w:id="2" w:name="_Toc16938516"/>
      <w:bookmarkStart w:id="3" w:name="_Toc20823272"/>
      <w:bookmarkStart w:id="4" w:name="_Toc479757206"/>
      <w:bookmarkStart w:id="5" w:name="_Toc523127445"/>
      <w:bookmarkStart w:id="6" w:name="_Toc513029200"/>
      <w:r>
        <w:rPr>
          <w:rFonts w:hint="eastAsia" w:ascii="黑体" w:hAnsi="黑体" w:eastAsia="黑体"/>
          <w:b/>
          <w:color w:val="auto"/>
          <w:sz w:val="44"/>
          <w:szCs w:val="28"/>
        </w:rPr>
        <w:t>目  录</w:t>
      </w:r>
      <w:bookmarkEnd w:id="0"/>
    </w:p>
    <w:p w14:paraId="3DBCFC26">
      <w:pPr>
        <w:pStyle w:val="18"/>
        <w:tabs>
          <w:tab w:val="right" w:leader="dot" w:pos="8306"/>
        </w:tabs>
        <w:rPr>
          <w:rFonts w:hint="eastAsia"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DBCFC27">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DBCFC28">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DBCFC29">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DBCFC2A">
      <w:pPr>
        <w:pStyle w:val="18"/>
        <w:tabs>
          <w:tab w:val="right" w:leader="dot" w:pos="8306"/>
        </w:tabs>
        <w:rPr>
          <w:rFonts w:hint="eastAsia"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DBCFC2B">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DBCFC2C">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3DBCFC2D">
      <w:pPr>
        <w:spacing w:line="480" w:lineRule="auto"/>
        <w:rPr>
          <w:rFonts w:ascii="仿宋_GB2312" w:hAnsi="Arial" w:eastAsia="仿宋_GB2312"/>
          <w:b/>
          <w:color w:val="auto"/>
          <w:sz w:val="28"/>
        </w:rPr>
      </w:pPr>
    </w:p>
    <w:p w14:paraId="3DBCFC2E">
      <w:pPr>
        <w:rPr>
          <w:color w:val="auto"/>
        </w:rPr>
      </w:pPr>
    </w:p>
    <w:p w14:paraId="3DBCFC2F">
      <w:pPr>
        <w:rPr>
          <w:color w:val="auto"/>
        </w:rPr>
      </w:pPr>
    </w:p>
    <w:p w14:paraId="3DBCFC30">
      <w:pPr>
        <w:rPr>
          <w:color w:val="auto"/>
        </w:rPr>
      </w:pPr>
    </w:p>
    <w:p w14:paraId="3DBCFC31">
      <w:pPr>
        <w:rPr>
          <w:color w:val="auto"/>
        </w:rPr>
      </w:pPr>
    </w:p>
    <w:p w14:paraId="3DBCFC32">
      <w:pPr>
        <w:rPr>
          <w:color w:val="auto"/>
        </w:rPr>
      </w:pPr>
    </w:p>
    <w:p w14:paraId="3DBCFC33">
      <w:pPr>
        <w:rPr>
          <w:color w:val="auto"/>
        </w:rPr>
      </w:pPr>
    </w:p>
    <w:p w14:paraId="3DBCFC34">
      <w:pPr>
        <w:rPr>
          <w:color w:val="auto"/>
        </w:rPr>
      </w:pPr>
    </w:p>
    <w:p w14:paraId="3DBCFC35">
      <w:pPr>
        <w:rPr>
          <w:color w:val="auto"/>
        </w:rPr>
      </w:pPr>
    </w:p>
    <w:p w14:paraId="3DBCFC36">
      <w:pPr>
        <w:rPr>
          <w:color w:val="auto"/>
        </w:rPr>
      </w:pPr>
    </w:p>
    <w:p w14:paraId="3DBCFC37">
      <w:pPr>
        <w:rPr>
          <w:color w:val="auto"/>
        </w:rPr>
      </w:pPr>
    </w:p>
    <w:p w14:paraId="3DBCFC38">
      <w:pPr>
        <w:rPr>
          <w:color w:val="auto"/>
        </w:rPr>
      </w:pPr>
    </w:p>
    <w:p w14:paraId="3DBCFC39">
      <w:pPr>
        <w:rPr>
          <w:color w:val="auto"/>
        </w:rPr>
      </w:pPr>
    </w:p>
    <w:p w14:paraId="3DBCFC3A">
      <w:pPr>
        <w:rPr>
          <w:color w:val="auto"/>
        </w:rPr>
      </w:pPr>
    </w:p>
    <w:p w14:paraId="3DBCFC3B">
      <w:pPr>
        <w:rPr>
          <w:color w:val="auto"/>
        </w:rPr>
      </w:pPr>
    </w:p>
    <w:p w14:paraId="3DBCFC3C">
      <w:pPr>
        <w:rPr>
          <w:color w:val="auto"/>
        </w:rPr>
      </w:pPr>
    </w:p>
    <w:p w14:paraId="3DBCFC3D">
      <w:pPr>
        <w:rPr>
          <w:color w:val="auto"/>
        </w:rPr>
      </w:pPr>
    </w:p>
    <w:bookmarkEnd w:id="1"/>
    <w:p w14:paraId="3DBCFC3E">
      <w:pPr>
        <w:pStyle w:val="2"/>
        <w:pageBreakBefore/>
        <w:rPr>
          <w:rFonts w:hint="eastAsia"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3DBCFC3F">
      <w:pPr>
        <w:rPr>
          <w:color w:val="auto"/>
        </w:rPr>
      </w:pPr>
    </w:p>
    <w:bookmarkEnd w:id="2"/>
    <w:bookmarkEnd w:id="3"/>
    <w:bookmarkEnd w:id="4"/>
    <w:bookmarkEnd w:id="5"/>
    <w:bookmarkEnd w:id="6"/>
    <w:p w14:paraId="3DBCFC40">
      <w:pPr>
        <w:spacing w:before="120" w:beforeLines="50" w:after="120" w:afterLines="50" w:line="360" w:lineRule="auto"/>
        <w:ind w:firstLine="480" w:firstLineChars="200"/>
        <w:rPr>
          <w:rFonts w:hint="eastAsia" w:ascii="宋体" w:hAnsi="宋体" w:eastAsia="宋体" w:cs="宋体"/>
          <w:color w:val="auto"/>
          <w:sz w:val="24"/>
          <w:szCs w:val="24"/>
        </w:rPr>
      </w:pPr>
      <w:bookmarkStart w:id="8" w:name="_Toc20823314"/>
      <w:bookmarkStart w:id="9" w:name="_Toc120614211"/>
      <w:bookmarkStart w:id="10" w:name="OLE_LINK1"/>
      <w:bookmarkStart w:id="11" w:name="_Toc120614221"/>
      <w:bookmarkStart w:id="12" w:name="OLE_LINK2"/>
      <w:bookmarkStart w:id="13" w:name="_Toc479757207"/>
      <w:bookmarkStart w:id="14" w:name="_Toc513029242"/>
      <w:bookmarkStart w:id="15" w:name="_Toc444669970"/>
      <w:bookmarkStart w:id="16" w:name="_Toc16938558"/>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护理学专业知识图谱和智慧课程建设   </w:t>
      </w:r>
      <w:r>
        <w:rPr>
          <w:rFonts w:hint="eastAsia" w:ascii="宋体" w:hAnsi="宋体" w:eastAsia="宋体" w:cs="宋体"/>
          <w:color w:val="auto"/>
          <w:sz w:val="24"/>
          <w:szCs w:val="24"/>
        </w:rPr>
        <w:t>采购项目公开招标，相应资金已落实，欢迎符合招标公告资质要求的投标人前来投标。</w:t>
      </w:r>
    </w:p>
    <w:p w14:paraId="3DBCFC41">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3DBCFC42">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1.1项目名称：</w:t>
      </w:r>
      <w:r>
        <w:rPr>
          <w:rFonts w:hint="eastAsia" w:ascii="宋体" w:hAnsi="宋体" w:eastAsia="宋体" w:cs="宋体"/>
          <w:bCs/>
          <w:color w:val="auto"/>
          <w:sz w:val="24"/>
          <w:szCs w:val="24"/>
        </w:rPr>
        <w:t>护理学专业知识图谱和智慧课程建设</w:t>
      </w:r>
    </w:p>
    <w:p w14:paraId="3DBCFC43">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1.2项目编号：</w:t>
      </w:r>
      <w:r>
        <w:rPr>
          <w:rFonts w:hint="eastAsia" w:ascii="宋体" w:hAnsi="宋体" w:eastAsia="宋体" w:cs="宋体"/>
          <w:bCs/>
          <w:color w:val="auto"/>
          <w:sz w:val="24"/>
          <w:szCs w:val="24"/>
        </w:rPr>
        <w:t>NJMUZB10620250355</w:t>
      </w:r>
    </w:p>
    <w:p w14:paraId="3DBCFC44">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1.3项目预算：人民币19.812万元（¥198120）</w:t>
      </w:r>
    </w:p>
    <w:p w14:paraId="3DBCFC45">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1.4最高总限价：19.812万元，投标报价超过最高限价的为无效投标。</w:t>
      </w:r>
    </w:p>
    <w:p w14:paraId="3DBCFC46">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二、项目需求</w:t>
      </w:r>
    </w:p>
    <w:p w14:paraId="3DBCFC47">
      <w:pPr>
        <w:spacing w:before="120" w:beforeLines="50" w:after="120" w:afterLines="50" w:line="360" w:lineRule="auto"/>
        <w:ind w:firstLine="480" w:firstLineChars="200"/>
        <w:rPr>
          <w:rFonts w:ascii="Times New Roman" w:hAnsi="Times New Roman" w:eastAsia="楷体_GB2312" w:cs="Times New Roman"/>
          <w:bCs/>
          <w:color w:val="auto"/>
          <w:sz w:val="24"/>
          <w:szCs w:val="24"/>
        </w:rPr>
      </w:pPr>
      <w:r>
        <w:rPr>
          <w:rFonts w:hint="eastAsia" w:ascii="宋体" w:hAnsi="宋体" w:eastAsia="宋体" w:cs="宋体"/>
          <w:color w:val="auto"/>
          <w:sz w:val="24"/>
          <w:szCs w:val="24"/>
        </w:rPr>
        <w:t>2.1采购需求：</w:t>
      </w:r>
      <w:r>
        <w:rPr>
          <w:rFonts w:hint="eastAsia" w:ascii="Times New Roman" w:hAnsi="Times New Roman" w:eastAsia="楷体_GB2312" w:cs="Times New Roman"/>
          <w:bCs/>
          <w:color w:val="auto"/>
          <w:sz w:val="24"/>
          <w:szCs w:val="24"/>
        </w:rPr>
        <w:t xml:space="preserve">护理学专业知识图谱和智慧课程建设 </w:t>
      </w:r>
      <w:r>
        <w:rPr>
          <w:rFonts w:ascii="Times New Roman" w:hAnsi="Times New Roman" w:eastAsia="楷体_GB2312" w:cs="Times New Roman"/>
          <w:bCs/>
          <w:color w:val="auto"/>
          <w:sz w:val="24"/>
          <w:szCs w:val="24"/>
        </w:rPr>
        <w:t>1套</w:t>
      </w:r>
    </w:p>
    <w:p w14:paraId="3DBCFC48">
      <w:pPr>
        <w:spacing w:before="120" w:beforeLines="50" w:after="120" w:afterLines="50" w:line="360" w:lineRule="auto"/>
        <w:ind w:firstLine="482" w:firstLineChars="200"/>
        <w:rPr>
          <w:rFonts w:ascii="Times New Roman" w:hAnsi="Times New Roman" w:eastAsia="楷体_GB2312" w:cs="Times New Roman"/>
          <w:bCs/>
          <w:color w:val="auto"/>
          <w:sz w:val="24"/>
          <w:szCs w:val="24"/>
        </w:rPr>
      </w:pPr>
      <w:r>
        <w:rPr>
          <w:rFonts w:hint="eastAsia" w:ascii="宋体" w:hAnsi="宋体" w:eastAsia="宋体" w:cs="宋体"/>
          <w:b/>
          <w:bCs/>
          <w:color w:val="auto"/>
          <w:sz w:val="24"/>
          <w:szCs w:val="24"/>
        </w:rPr>
        <w:t>具体技术参数见采购文件第三章“采购需求”。</w:t>
      </w:r>
    </w:p>
    <w:p w14:paraId="3DBCFC49">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2.2合同履行期限：一年。</w:t>
      </w:r>
    </w:p>
    <w:p w14:paraId="3DBCFC4A">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3DBCFC4B">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3DBCFC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3DBCFC4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3DBCFC4E">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3DBCFC4F">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3DBCFC50">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3DBCFC51">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3DBCFC52">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3DBCFC5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3DBCFC5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3DBCFC55">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3DBCFC56">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3DBCFC5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3DBCFC5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3DBCFC5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3DBCFC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3DBCFC5B">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3DBCFC5C">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3DBCFC5D">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3DBCFC5E">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5.1投标文件接收截止时间及开标时间：2025年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 xml:space="preserve"> 日  </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3DBCFC5F">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3DBCFC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DBCFC61">
      <w:pPr>
        <w:numPr>
          <w:ilvl w:val="0"/>
          <w:numId w:val="2"/>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3DBCFC62">
      <w:pPr>
        <w:numPr>
          <w:ilvl w:val="0"/>
          <w:numId w:val="2"/>
        </w:num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DBCFC63">
      <w:pPr>
        <w:spacing w:before="120" w:beforeLines="50" w:after="120" w:afterLines="5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3DBCFC64">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3DBCFC65">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六、投标保证金</w:t>
      </w:r>
    </w:p>
    <w:p w14:paraId="3DBCFC66">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3DBCFC67">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3DBCFC68">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联系人：陈晓鋈                    联系电话：025-86869556</w:t>
      </w:r>
    </w:p>
    <w:p w14:paraId="3DBCFC69">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联系地址：南京医科大学江宁校区学海楼四楼C区护理学院</w:t>
      </w:r>
    </w:p>
    <w:p w14:paraId="3DBCFC6A">
      <w:pPr>
        <w:spacing w:before="120" w:beforeLines="50" w:after="120" w:after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八、其他</w:t>
      </w:r>
    </w:p>
    <w:p w14:paraId="3DBCFC6B">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3DBCFC6C">
      <w:pPr>
        <w:spacing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p>
    <w:p w14:paraId="3DBCFC6D">
      <w:pPr>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110740" cy="4263390"/>
            <wp:effectExtent l="0" t="0" r="3810" b="3810"/>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110740" cy="4263390"/>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drawing>
          <wp:inline distT="0" distB="0" distL="114300" distR="114300">
            <wp:extent cx="2004060" cy="4084320"/>
            <wp:effectExtent l="0" t="0" r="15240" b="11430"/>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004060" cy="4084320"/>
                    </a:xfrm>
                    <a:prstGeom prst="rect">
                      <a:avLst/>
                    </a:prstGeom>
                  </pic:spPr>
                </pic:pic>
              </a:graphicData>
            </a:graphic>
          </wp:inline>
        </w:drawing>
      </w:r>
    </w:p>
    <w:p w14:paraId="3DBCFC6E">
      <w:pPr>
        <w:spacing w:after="0" w:line="360" w:lineRule="auto"/>
        <w:ind w:firstLine="480" w:firstLineChars="200"/>
        <w:rPr>
          <w:rFonts w:hint="eastAsia" w:ascii="宋体" w:hAnsi="宋体" w:eastAsia="宋体" w:cs="宋体"/>
          <w:color w:val="auto"/>
          <w:sz w:val="24"/>
          <w:szCs w:val="24"/>
        </w:rPr>
      </w:pPr>
    </w:p>
    <w:bookmarkEnd w:id="8"/>
    <w:bookmarkEnd w:id="9"/>
    <w:bookmarkEnd w:id="10"/>
    <w:bookmarkEnd w:id="11"/>
    <w:bookmarkEnd w:id="12"/>
    <w:bookmarkEnd w:id="13"/>
    <w:bookmarkEnd w:id="14"/>
    <w:bookmarkEnd w:id="15"/>
    <w:bookmarkEnd w:id="16"/>
    <w:p w14:paraId="3DBCFC6F">
      <w:pPr>
        <w:pStyle w:val="2"/>
        <w:pageBreakBefore/>
        <w:rPr>
          <w:rFonts w:hint="eastAsia"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20614213"/>
      <w:bookmarkStart w:id="19" w:name="_Toc513029202"/>
      <w:bookmarkStart w:id="20" w:name="_Toc16938518"/>
      <w:bookmarkStart w:id="21" w:name="_Toc20823274"/>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3DBCFC70">
      <w:pPr>
        <w:autoSpaceDE w:val="0"/>
        <w:autoSpaceDN w:val="0"/>
        <w:spacing w:line="360" w:lineRule="auto"/>
        <w:ind w:firstLine="482" w:firstLineChars="200"/>
        <w:rPr>
          <w:rFonts w:hint="eastAsia" w:ascii="宋体" w:hAnsi="宋体" w:eastAsia="宋体" w:cs="宋体"/>
          <w:b/>
          <w:bCs/>
          <w:color w:val="auto"/>
          <w:sz w:val="24"/>
          <w:szCs w:val="24"/>
          <w:lang w:val="zh-CN"/>
        </w:rPr>
      </w:pPr>
      <w:bookmarkStart w:id="22" w:name="_Toc20823275"/>
      <w:bookmarkStart w:id="23" w:name="_Toc120614214"/>
      <w:bookmarkStart w:id="24" w:name="_Toc513029203"/>
      <w:bookmarkStart w:id="25" w:name="_Toc16938519"/>
      <w:r>
        <w:rPr>
          <w:rFonts w:hint="eastAsia" w:ascii="宋体" w:hAnsi="宋体" w:eastAsia="宋体" w:cs="宋体"/>
          <w:b/>
          <w:bCs/>
          <w:color w:val="auto"/>
          <w:sz w:val="24"/>
          <w:szCs w:val="24"/>
          <w:lang w:val="zh-CN"/>
        </w:rPr>
        <w:t>一、总则</w:t>
      </w:r>
    </w:p>
    <w:p w14:paraId="3DBCFC71">
      <w:pPr>
        <w:spacing w:after="0"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3DBCFC72">
      <w:pPr>
        <w:spacing w:after="0" w:line="360" w:lineRule="auto"/>
        <w:ind w:firstLine="480" w:firstLineChars="200"/>
        <w:rPr>
          <w:rFonts w:hint="eastAsia"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3DBCFC73">
      <w:pPr>
        <w:spacing w:after="0" w:line="360" w:lineRule="auto"/>
        <w:ind w:firstLine="482" w:firstLineChars="200"/>
        <w:rPr>
          <w:rFonts w:hint="eastAsia"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3DBCFC74">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3DBCFC75">
      <w:pPr>
        <w:autoSpaceDE w:val="0"/>
        <w:autoSpaceDN w:val="0"/>
        <w:spacing w:line="360" w:lineRule="auto"/>
        <w:ind w:firstLine="480" w:firstLineChars="200"/>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DBCFC76">
      <w:pPr>
        <w:autoSpaceDE w:val="0"/>
        <w:autoSpaceDN w:val="0"/>
        <w:spacing w:line="360" w:lineRule="auto"/>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3DBCFC77">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3DBCFC78">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3DBCFC79">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3DBCFC7A">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3DBCFC7B">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3DBCFC7C">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3DBCFC7D">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DBCFC7E">
      <w:pPr>
        <w:autoSpaceDE w:val="0"/>
        <w:autoSpaceDN w:val="0"/>
        <w:spacing w:line="360" w:lineRule="auto"/>
        <w:ind w:firstLine="480" w:firstLineChars="200"/>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3DBCFC7F">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二、招标文件</w:t>
      </w:r>
    </w:p>
    <w:p w14:paraId="3DBCFC80">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DBCFC8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3DBCFC8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3DBCFC8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DBCFC84">
      <w:pPr>
        <w:autoSpaceDE w:val="0"/>
        <w:autoSpaceDN w:val="0"/>
        <w:spacing w:line="360" w:lineRule="auto"/>
        <w:ind w:firstLine="420"/>
        <w:rPr>
          <w:rFonts w:hint="eastAsia"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3DBCFC8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3DBCFC8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3DBCFC87">
      <w:pPr>
        <w:spacing w:line="360" w:lineRule="auto"/>
        <w:ind w:firstLine="472" w:firstLineChars="196"/>
        <w:rPr>
          <w:rFonts w:hint="eastAsia"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3DBCFC88">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3DBCFC8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3DBCFC8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3DBCFC8B">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3DBCFC8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3DBCFC8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3DBCFC8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3DBCFC8F">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3DBCFC9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3DBCFC9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3DBCFC92">
      <w:pPr>
        <w:spacing w:line="36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3DBCFC9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3DBCFC9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3DBCFC9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3DBCFC9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3DBCFC9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3DBCFC98">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3DBCFC9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3DBCFC9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3DBCFC9B">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3DBCFC9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3DBCFC9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3DBCFC9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3DBCFC9F">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3DBCFCA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3DBCFCA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DBCFCA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3DBCFCA3">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BCFCA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3DBCFCA5">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3DBCFCA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3DBCFCA7">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3DBCFCA8">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3DBCFCA9">
      <w:pPr>
        <w:spacing w:line="360" w:lineRule="auto"/>
        <w:ind w:firstLine="42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3DBCFCAA">
      <w:pPr>
        <w:spacing w:line="360" w:lineRule="auto"/>
        <w:ind w:firstLine="420"/>
        <w:rPr>
          <w:rFonts w:hint="eastAsia"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3DBCFCAB">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DBCFC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DBCFCAD">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3DBCFCAE">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DBCFCAF">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3DBCFCB0">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3DBCFCB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3DBCFCB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3DBCFCB3">
      <w:pPr>
        <w:spacing w:line="360" w:lineRule="auto"/>
        <w:ind w:firstLine="472" w:firstLineChars="196"/>
        <w:rPr>
          <w:rFonts w:hint="eastAsia"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3DBCFCB4">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3DBCFCB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3DBCFCB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3DBCFCB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3DBCFCB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3DBCFCB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3DBCFCB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3DBCFCB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3DBCFCBC">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3DBCFCBD">
      <w:pPr>
        <w:autoSpaceDE w:val="0"/>
        <w:autoSpaceDN w:val="0"/>
        <w:spacing w:line="360" w:lineRule="auto"/>
        <w:ind w:firstLine="420"/>
        <w:rPr>
          <w:rFonts w:hint="eastAsia"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3DBCFCB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3DBCFCBF">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3DBCFCC0">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3DBCFCC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3DBCFCC2">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3DBCFCC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3DBCFCC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3DBCFCC5">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3DBCFCC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BCFCC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3DBCFCC8">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（1）未按照招标文件规定要求密封、签署、盖章的；</w:t>
      </w:r>
    </w:p>
    <w:p w14:paraId="3DBCFCC9">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（2）投标总价超出采购预算金额或者最高限价的；</w:t>
      </w:r>
    </w:p>
    <w:p w14:paraId="3DBCFCCA">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（3）不同投标人的投标文件由同一单位或者个人编制；</w:t>
      </w:r>
    </w:p>
    <w:p w14:paraId="3DBCFCCB">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（4）不同投标人委托同一单位或者个人办理投标事宜；</w:t>
      </w:r>
    </w:p>
    <w:p w14:paraId="3DBCFCC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（5）不同投标人的投标文件载明的项目管理成员或者联系人员为同一人；</w:t>
      </w:r>
    </w:p>
    <w:p w14:paraId="3DBCFCCD">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（6）不同投标人的投标文件异常一致或者投标报价呈规律性差异；</w:t>
      </w:r>
    </w:p>
    <w:p w14:paraId="3DBCFCC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（7）不同投标人的投标文件相互混装；</w:t>
      </w:r>
    </w:p>
    <w:p w14:paraId="3DBCFCCF">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（8）不同投标人的法定代表人或委托代理人有夫妻、直系血亲关系的；</w:t>
      </w:r>
    </w:p>
    <w:p w14:paraId="3DBCFCD0">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（9）不同投标人的负责人为同一人或者存在控股、管理关系的；</w:t>
      </w:r>
    </w:p>
    <w:p w14:paraId="3DBCFCD1">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（10）没有逐一说明投标产品名称、品牌、规格型号、产地、技术参数和服务响应，而是直接拷贝招标文件技术要求的；</w:t>
      </w:r>
    </w:p>
    <w:p w14:paraId="3DBCFCD2">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3DBCFCD3">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（12）服务承诺和付款条件未响应招标要求的；</w:t>
      </w:r>
    </w:p>
    <w:p w14:paraId="3DBCFCD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（13）投标文件含有采购人不能接受的附加条件的；</w:t>
      </w:r>
    </w:p>
    <w:p w14:paraId="3DBCFCD5">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（14）评标委员会认为投标人的报价明显低于其他通过符合性审查投标人的报价，有可能影响产品质量或者不能诚信履约的，未在评标现场合理的时间内提供书面说明或相关证明材料，不能证明其报价合理的；</w:t>
      </w:r>
    </w:p>
    <w:p w14:paraId="3DBCFCD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3DBCFCD7">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3DBCFCD8">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评标委员会可以要求投标人作出必要的澄清、说明或者补正。投标人的澄清、说明、补正应当采用书面形式，由其授权代表签字，但不得超出投标文件的范围或者改变投标文件的实质性内容。</w:t>
      </w:r>
    </w:p>
    <w:p w14:paraId="3DBCFCD9">
      <w:p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3DBCFCDA">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3DBCFCDB">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有下列情形之一的予以废标：</w:t>
      </w:r>
    </w:p>
    <w:p w14:paraId="3DBCFCDC">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3DBCFCDD">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DBCFCDE">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3DBCFCDF">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3DBCFCE0">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3DBCFCE1">
      <w:pPr>
        <w:autoSpaceDE w:val="0"/>
        <w:autoSpaceDN w:val="0"/>
        <w:spacing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3DBCFCE2">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3DBCFCE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3DBCFCE4">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3DBCFCE5">
      <w:pPr>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3DBCFCE6">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DBCFCE7">
      <w:pPr>
        <w:autoSpaceDE w:val="0"/>
        <w:autoSpaceDN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3DBCFCE8">
      <w:pPr>
        <w:autoSpaceDE w:val="0"/>
        <w:autoSpaceDN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3DBCFCE9">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3DBCFCE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3DBCFCE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3DBCFCE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3DBCFCED">
      <w:pPr>
        <w:pStyle w:val="34"/>
        <w:rPr>
          <w:rFonts w:hint="eastAsia" w:ascii="宋体" w:hAnsi="宋体" w:cs="宋体"/>
          <w:b/>
          <w:color w:val="auto"/>
        </w:rPr>
      </w:pPr>
      <w:bookmarkStart w:id="34" w:name="_Toc16938553"/>
      <w:bookmarkStart w:id="35" w:name="_Toc513029237"/>
      <w:bookmarkStart w:id="36" w:name="_Toc20823309"/>
      <w:r>
        <w:rPr>
          <w:rFonts w:hint="eastAsia" w:ascii="宋体" w:hAnsi="宋体" w:cs="宋体"/>
          <w:b/>
          <w:color w:val="auto"/>
        </w:rPr>
        <w:t>21、样品</w:t>
      </w:r>
    </w:p>
    <w:p w14:paraId="3DBCFCE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3DBCFCEF">
      <w:pPr>
        <w:spacing w:line="360" w:lineRule="auto"/>
        <w:ind w:firstLine="472" w:firstLineChars="196"/>
        <w:rPr>
          <w:rFonts w:hint="eastAsia"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3DBCFCF0">
      <w:pPr>
        <w:autoSpaceDE w:val="0"/>
        <w:autoSpaceDN w:val="0"/>
        <w:spacing w:line="360" w:lineRule="auto"/>
        <w:ind w:firstLine="42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3DBCFCF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3DBCFCF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3DBCFCF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3DBCFCF4">
      <w:pPr>
        <w:pStyle w:val="34"/>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3DBCFCF5">
      <w:pPr>
        <w:spacing w:line="360" w:lineRule="auto"/>
        <w:ind w:firstLine="472" w:firstLineChars="196"/>
        <w:rPr>
          <w:rFonts w:hint="eastAsia"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3DBCFCF6">
      <w:pPr>
        <w:autoSpaceDE w:val="0"/>
        <w:autoSpaceDN w:val="0"/>
        <w:spacing w:line="360" w:lineRule="auto"/>
        <w:ind w:firstLine="42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3DBCFCF7">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3DBCFCF8">
      <w:pPr>
        <w:spacing w:line="360" w:lineRule="auto"/>
        <w:ind w:firstLine="468" w:firstLineChars="195"/>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DBCFCF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.3 质疑必须以参加投标投标人法定代表人或授权代表（投标文件中所确定的）原件送达的方式提交，否则，采购人有权不予受理。</w:t>
      </w:r>
    </w:p>
    <w:p w14:paraId="3DBCFCFA">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3DBCFCFB">
      <w:pPr>
        <w:autoSpaceDE w:val="0"/>
        <w:autoSpaceDN w:val="0"/>
        <w:spacing w:line="360" w:lineRule="auto"/>
        <w:ind w:left="440" w:left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3DBCFCF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3DBCFCF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3DBCFCF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3DBCFCF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3DBCFD0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3DBCFD0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3DBCFD0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3DBCFD03">
      <w:pPr>
        <w:pStyle w:val="34"/>
        <w:rPr>
          <w:rFonts w:hint="eastAsia" w:ascii="宋体" w:hAnsi="宋体" w:cs="宋体"/>
          <w:color w:val="auto"/>
          <w:lang w:val="zh-CN"/>
        </w:rPr>
      </w:pPr>
    </w:p>
    <w:p w14:paraId="3DBCFD04">
      <w:pPr>
        <w:pStyle w:val="34"/>
        <w:rPr>
          <w:rFonts w:hint="eastAsia" w:ascii="宋体" w:hAnsi="宋体" w:cs="宋体"/>
          <w:color w:val="auto"/>
          <w:lang w:val="zh-CN"/>
        </w:rPr>
      </w:pPr>
    </w:p>
    <w:bookmarkEnd w:id="22"/>
    <w:bookmarkEnd w:id="23"/>
    <w:bookmarkEnd w:id="24"/>
    <w:bookmarkEnd w:id="25"/>
    <w:p w14:paraId="3DBCFD05">
      <w:pPr>
        <w:pStyle w:val="2"/>
        <w:pageBreakBefore/>
        <w:rPr>
          <w:rFonts w:hint="eastAsia"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3DBCFD06">
      <w:pPr>
        <w:rPr>
          <w:color w:val="auto"/>
        </w:rPr>
      </w:pPr>
    </w:p>
    <w:p w14:paraId="3DBCFD07">
      <w:pPr>
        <w:pStyle w:val="40"/>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2012"/>
        <w:gridCol w:w="1704"/>
        <w:gridCol w:w="1705"/>
        <w:gridCol w:w="1705"/>
      </w:tblGrid>
      <w:tr w14:paraId="3DBC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396" w:type="dxa"/>
            <w:vAlign w:val="center"/>
          </w:tcPr>
          <w:p w14:paraId="3DBCFD08">
            <w:pPr>
              <w:pStyle w:val="40"/>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012" w:type="dxa"/>
            <w:vAlign w:val="center"/>
          </w:tcPr>
          <w:p w14:paraId="3DBCFD09">
            <w:pPr>
              <w:pStyle w:val="40"/>
              <w:widowControl w:val="0"/>
              <w:spacing w:line="360" w:lineRule="auto"/>
              <w:ind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3DBCFD0A">
            <w:pPr>
              <w:pStyle w:val="40"/>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3DBCFD0B">
            <w:pPr>
              <w:pStyle w:val="40"/>
              <w:widowControl w:val="0"/>
              <w:spacing w:line="360" w:lineRule="auto"/>
              <w:ind w:firstLine="482"/>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3DBCFD0C">
            <w:pPr>
              <w:pStyle w:val="40"/>
              <w:widowControl w:val="0"/>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3DBC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96" w:type="dxa"/>
            <w:vAlign w:val="center"/>
          </w:tcPr>
          <w:p w14:paraId="3DBCFD0E">
            <w:pPr>
              <w:pStyle w:val="40"/>
              <w:widowControl w:val="0"/>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2012" w:type="dxa"/>
            <w:vAlign w:val="center"/>
          </w:tcPr>
          <w:p w14:paraId="3DBCFD0F">
            <w:pPr>
              <w:widowControl/>
              <w:jc w:val="center"/>
              <w:rPr>
                <w:rFonts w:hint="eastAsia" w:ascii="宋体" w:hAnsi="宋体" w:eastAsia="宋体" w:cs="宋体"/>
                <w:b/>
                <w:bCs/>
                <w:color w:val="auto"/>
                <w:sz w:val="24"/>
                <w:szCs w:val="24"/>
              </w:rPr>
            </w:pPr>
            <w:r>
              <w:rPr>
                <w:rFonts w:hint="eastAsia" w:ascii="宋体" w:hAnsi="宋体" w:eastAsia="宋体" w:cs="宋体"/>
                <w:color w:val="auto"/>
                <w:sz w:val="24"/>
                <w:szCs w:val="24"/>
                <w:lang w:val="zh-CN"/>
              </w:rPr>
              <w:t>护理学专业知识图谱和智慧课程建设</w:t>
            </w:r>
          </w:p>
        </w:tc>
        <w:tc>
          <w:tcPr>
            <w:tcW w:w="1704" w:type="dxa"/>
            <w:vAlign w:val="center"/>
          </w:tcPr>
          <w:p w14:paraId="3DBCFD10">
            <w:pPr>
              <w:pStyle w:val="40"/>
              <w:widowControl w:val="0"/>
              <w:spacing w:line="360" w:lineRule="auto"/>
              <w:ind w:firstLine="482"/>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1</w:t>
            </w:r>
          </w:p>
        </w:tc>
        <w:tc>
          <w:tcPr>
            <w:tcW w:w="1705" w:type="dxa"/>
            <w:vAlign w:val="center"/>
          </w:tcPr>
          <w:p w14:paraId="3DBCFD11">
            <w:pPr>
              <w:pStyle w:val="40"/>
              <w:widowControl w:val="0"/>
              <w:spacing w:line="360" w:lineRule="auto"/>
              <w:ind w:firstLine="480"/>
              <w:jc w:val="both"/>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套</w:t>
            </w:r>
          </w:p>
        </w:tc>
        <w:tc>
          <w:tcPr>
            <w:tcW w:w="1705" w:type="dxa"/>
            <w:vAlign w:val="center"/>
          </w:tcPr>
          <w:p w14:paraId="3DBCFD12">
            <w:pPr>
              <w:pStyle w:val="40"/>
              <w:widowControl w:val="0"/>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19.812万</w:t>
            </w:r>
          </w:p>
        </w:tc>
      </w:tr>
    </w:tbl>
    <w:p w14:paraId="3DBCFD14">
      <w:pPr>
        <w:pStyle w:val="40"/>
        <w:spacing w:line="360" w:lineRule="auto"/>
        <w:ind w:firstLine="0" w:firstLineChars="0"/>
        <w:rPr>
          <w:rFonts w:hint="eastAsia" w:ascii="宋体" w:hAnsi="宋体" w:eastAsia="宋体" w:cs="宋体"/>
          <w:b/>
          <w:bCs/>
          <w:color w:val="auto"/>
          <w:sz w:val="24"/>
          <w:szCs w:val="24"/>
        </w:rPr>
      </w:pPr>
    </w:p>
    <w:p w14:paraId="3DBCFD15">
      <w:pPr>
        <w:pStyle w:val="40"/>
        <w:numPr>
          <w:ilvl w:val="0"/>
          <w:numId w:val="3"/>
        </w:numPr>
        <w:spacing w:line="360" w:lineRule="auto"/>
        <w:ind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3DBCFD1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（一）知识图谱、专业建设管理端</w:t>
      </w:r>
    </w:p>
    <w:p w14:paraId="3DBCFD1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1.具备学院所有专业和课程概况的全局性展示，以及全面管理和监控功能，在各个专业、课程下有直观、全面、准确的数据展示，有较好的定制化门户展示效果。</w:t>
      </w:r>
    </w:p>
    <w:p w14:paraId="3DBCFD1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2.对专业、课程、知识点综合分析，提供全面的趋同度分析，为学院优化专业和课程设置提供数据支撑。</w:t>
      </w:r>
    </w:p>
    <w:p w14:paraId="3DBCFD1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(1)支持进行专业图谱分析，在专业层面进行专业建设分析、专业对比分析；在知识点层面进行重点分析、难点分析、考点分析、思政知识点分析、课程关联度分析、知识点重合度分析。</w:t>
      </w:r>
    </w:p>
    <w:p w14:paraId="3DBCFD1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专业建设分析包括完成度分析、重复度分析、相似度分析。完成度分析：可以直观展示该专业毕业要求，以及相应指标具体情况，专业课程目标的设置情况，课程目标与知识点关联情况及相应的详细情况。重复度分析支持展示专业中重复的毕业要求指标点和课程目标。相似度分析在选择课程和后，系统自动展示其他课程与它相似的课程目标数、课程目标相似度、相似知识点数、知识点相似度。</w:t>
      </w:r>
    </w:p>
    <w:p w14:paraId="3DBCFD1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(3)专业对比分析支持对比专业之间相同的毕业要求、毕业要求指标点、专业课程、课程目标等。</w:t>
      </w:r>
    </w:p>
    <w:p w14:paraId="3DBCFD1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知识点分析支持查看专业下每门课程所包含的重点、难点、考点、思政知识点的数量，课程关联度可分析课程之间关联知识点、关联关系的情况。重合度分析可对比专业内课程之间知识点的重合度，支持体现课程知识点总体重合度以及课程间重合度。</w:t>
      </w:r>
    </w:p>
    <w:p w14:paraId="3DBCFD1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梳理本专业人才培养方案，并生成可视化的人才培养体系矩阵图，详细了解本专业的人才培养方案相对应指标，以完成专业重构的顶层设计，形成人才培养方案预览。通过拆解专业人才培养方案中的培养目标，生成对应指标点，并将指标点与课程下的课程目标形成对应关系，明确培养目标与毕业要求之间的支撑关系，最终实现从培养目标、毕业要求、课程体系、能力体系、 问题体系、知识体系六个层级之间的贯通，来支撑本专业建设要求。</w:t>
      </w:r>
    </w:p>
    <w:p w14:paraId="3DBCFD1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(1)支持查看培养方案中的培养目标、专业毕业要求及相应的细则。</w:t>
      </w:r>
    </w:p>
    <w:p w14:paraId="3DBCFD1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(2)支持查看培养目标和毕业要求关系矩阵。</w:t>
      </w:r>
    </w:p>
    <w:p w14:paraId="3DBCFD2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(3)各专业可依据本专业特点设定明确的专业培养目标和毕业要求，自定义培养方案内容。并支持设置培养目标与毕业要求的关系，关系数据可对接至专业门户。</w:t>
      </w:r>
    </w:p>
    <w:p w14:paraId="3DBCFD2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(4)专业毕业要求管理：管理员可以管理专业列表，支持手动管理基本专业表，也可从教务系统同步；基于专业列表，专业负责人可建设、管理专业培养目标以及毕业要求指标体系，需支持二级指标体系管理。</w:t>
      </w:r>
    </w:p>
    <w:p w14:paraId="3DBCFD2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(5)专业课程管理：分配教务课程管理权限，课程负责人编辑课程目标并与专业建立联系；可设置课程大纲，用于课程教学及建设依据。</w:t>
      </w:r>
    </w:p>
    <w:p w14:paraId="3DBCFD2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(6)目标权重管理：将专业标准与具体的课程相关联，建立专业与课程的关系、课程与专业能力点的关系、课程目标与指向的专业能力要求点的关系。</w:t>
      </w:r>
    </w:p>
    <w:p w14:paraId="3DBCFD2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(7)支持在一个全局的页面中展示专业下全部课程，并且课程可以按照分类显示，如通识课、专业基础课、专业核心课等。还能进行学期筛选，展示课程的建设成果，如一流课程，思政示范课等。</w:t>
      </w:r>
    </w:p>
    <w:p w14:paraId="3DBCFD2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4.支持在系统中预览培养方案矩阵模型，矩阵内容包含培养目标、毕业要求、 课程体系、能力图谱、问题图谱、知识图谱等层面；每个层面中包含当前专业建设在各个层面中的全部内容，并且通过专业图谱建设，各层级间产生关联。</w:t>
      </w:r>
    </w:p>
    <w:p w14:paraId="3DBCFD2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在专业体系中展示3D立体样式的专业层级关系包括培养目标、毕业要求、毕业要求指标点、课程、课程目标等，并支持切换2D平面样式；清晰的查看本专业的毕业要求、毕业要求指标点，以及毕业要求与课程之间的支撑关系、毕业要求与课程目标、知识点、技能点之间的关联关系，将质保体系的顶层设计内涵直观展示给师生。</w:t>
      </w:r>
    </w:p>
    <w:p w14:paraId="3DBCFD2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查看各个节点详细内容，以及对应支撑关系。包括毕业要求指标点的详细内容及支撑该指标点的课程及课程详情、课程目标、课程知识点；每门课程所支撑的毕业要求指标点、毕业要求及课程目标和课程知识点等。</w:t>
      </w:r>
    </w:p>
    <w:p w14:paraId="3DBCFD2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(3)在专业门户中支持展示专业体系、专业预览、课程体系、知识图谱、问题图谱、目标图谱、能力图谱。</w:t>
      </w:r>
    </w:p>
    <w:p w14:paraId="3DBCFD2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(4)支持在门户界面和课程知识图谱展示互相切换便于搜索相关课程，支持在专业图谱门户中显示多门课程汇总展示。</w:t>
      </w:r>
    </w:p>
    <w:p w14:paraId="3DBCFD2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5.支持系统自动统计培养方案矩阵建设数据，包含：专业内建设课程总数、能力图谱数量、问题图谱数量与知识点数量。</w:t>
      </w:r>
    </w:p>
    <w:p w14:paraId="3DBCFD2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(1)支持显示该专业的统计数据，包含专业下课程数量、专业下课程图谱数量、专业下知识点总数、词云展示课程图谱、知识点分布统计。</w:t>
      </w:r>
    </w:p>
    <w:p w14:paraId="3DBCFD2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(2)支持展示知识点分布情况，包括包含重点、难点、考点、思政知识点的课程数量，以及这几类知识点在课程知识点的占比情况。</w:t>
      </w:r>
    </w:p>
    <w:p w14:paraId="3DBCFD2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(3)支持在课程体系中展示专业中的所有课程，支持查看课程知识点数量及问题数量，并能直接打开课程图谱详情页面查看课程知识图谱建设情况。</w:t>
      </w:r>
    </w:p>
    <w:p w14:paraId="3DBCFD2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(4)支持展示专业下所有课程的知识图谱和每门课程的知识图谱。</w:t>
      </w:r>
    </w:p>
    <w:p w14:paraId="3DBCFD2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(5)支持展示专业下的课程问题图谱。</w:t>
      </w:r>
    </w:p>
    <w:p w14:paraId="3DBCFD3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(6)支持展示该专业下所有课程的课程目标及该目标所关联的知识点、问题、资源数量。</w:t>
      </w:r>
    </w:p>
    <w:p w14:paraId="3DBCFD3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(7)支持展示该专业的学生毕业要求能力及该能力所对应的细分要求。</w:t>
      </w:r>
    </w:p>
    <w:p w14:paraId="3DBCFD3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支持专业培养目标的结构化展示和分析。按照专业实际培养需要，个性化定制专业培养目标，以及达成该培养目标的学习路径，适应不同的培养目标。同时详细展示该培养目标的毕业要求，以及相关课程、能力要求等内容。</w:t>
      </w:r>
    </w:p>
    <w:p w14:paraId="3DBCFD3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7.支持专业下课程的结构化展示，包含该专业每个学期对应的课程、学分，以及课程间的先修后续关系等。</w:t>
      </w:r>
    </w:p>
    <w:p w14:paraId="3DBCFD3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(1)支持管理员手动添加课程数据。</w:t>
      </w:r>
    </w:p>
    <w:p w14:paraId="3DBCFD3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(2)负责人可在个人空间管理负责课程目标。根据学院培养方案设定专业毕业管理要求，支持按专业、年级管理毕业要求。</w:t>
      </w:r>
    </w:p>
    <w:p w14:paraId="3DBCFD3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(3)提供富文本编辑器，方便添加学院培养方案。支持导入、导出、复制专业信息。</w:t>
      </w:r>
    </w:p>
    <w:p w14:paraId="3DBCFD3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(4)专业课程管理用于维护专业与课程、目标与毕业要求的关联关系。支持 添加、编辑、删除专业课程和目标。管理页面可关联课程目标和毕业要求指标点。</w:t>
      </w:r>
    </w:p>
    <w:p w14:paraId="3DBCFD3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专业人才培养体系梳理及结构优化。①纵向按照专业-课程-知识点的结构，根据人才培养方案的培养目标、毕业要求、能力要求，形成对应关系，并体现各个要素之间相互关系和对培养目标的支撑情况。②横向具备专业-专业， 课程-课程，知识点-知识点之间的互联，能对不同专业课程的关联性进行查重，优化专业和课程结构组织，避免重复建设。</w:t>
      </w:r>
    </w:p>
    <w:p w14:paraId="3DBCFD3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达成度统计管理：可根据不同的专业情况，设置不同的达成度统计规则。包括专业要求统计方式、课程与专业要求关系设置方式。学院可根据使用需求进行自定义设置，例如设置按毕业要求指标点与课程目标权重计算、按教务课程目标权重+课程与毕业要求区间(HML)计算、按教务课程目标权重+课程与毕业要求权重+课程与毕业要求(HNL)计算。(提供平台功能截图)</w:t>
      </w:r>
    </w:p>
    <w:p w14:paraId="3DBCFD3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(2)▲专业达成度分析：专业达成度分析报告支持专业、课程、毕业要求、学生四个维度。支持导出Word或者PDF版。(提供平台功能截图)</w:t>
      </w:r>
    </w:p>
    <w:p w14:paraId="3DBCFD3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毕业能力要求点分析：可以查看到年级-专业下各能力点的学生达成度。分析项包括：各专业质量标准对应的子能力点、考察的学生数、子能力达成目标、学生子能力点平均达成度、子能力点达标率、子能力点权重比、学生能力点(专业质量标准)平均达成度、能力点(专业质量标准)达成度以及整个专业的学生能力达成度。</w:t>
      </w:r>
    </w:p>
    <w:p w14:paraId="3DBCFD3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(4)▲课程分析：支持对比查看各课程的课程达成度，也支持管理者查看具体课程的达成度分析情况。(提供平台功能截图)</w:t>
      </w:r>
    </w:p>
    <w:p w14:paraId="3DBCFD3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(5)专业达成数据对比分析：进行2-3个专业的专业达成对比分析、毕业要求达成对比分析、毕业要求指标点达成对比分析以及专业间计算规则的对比分析。</w:t>
      </w:r>
    </w:p>
    <w:p w14:paraId="3DBCFD3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专业达成度过程性分析：各个年级专业关于过程性的数据统计，包括教务课程数、课程目标数、网络课程数、标记课程目标的题目数、课程目标使用数据等，以及各个课程过程性数据，方便管理员掌握各个专业实际情况，进行督查。</w:t>
      </w:r>
    </w:p>
    <w:p w14:paraId="3DBCFD3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专业对比分析可对比两个专业之间相同的毕业要求、毕业要求指标点、专业知识点分析，可以查看专业下每门课程所包含的重点、难点、考点、思政知识点的数量，课程关联度可分析两门课程之间关联知识点、关联关系的情况。重合度分析可对比专业内课程之间知识点的重合度，支持体现课程知识点总体重合度以及课程间重合度。</w:t>
      </w:r>
    </w:p>
    <w:p w14:paraId="3DBCFD4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9.专业知识图谱基础上，对课程和知识点结构优化和整合，有建设专业群知识图谱和专业大类知识图谱的方案和技术支撑。</w:t>
      </w:r>
    </w:p>
    <w:p w14:paraId="3DBCFD4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10.统计分析功能，对知识点、课程的相关度进行分析，统计出不同专业下相近课程、知识点，以及能力要求的相似度；通过对知识点的相关度统计，分析课程的相似度。</w:t>
      </w:r>
    </w:p>
    <w:p w14:paraId="3DBCFD4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(1)支持对知识点、课程的相关度进行分析，统计出不同专业下相近课程、知识点，以及能力要求的相似度。</w:t>
      </w:r>
    </w:p>
    <w:p w14:paraId="3DBCFD4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(2)支持通过对知识点的相关度统计，分析课程的相似度。</w:t>
      </w:r>
    </w:p>
    <w:p w14:paraId="3DBCFD4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11.利用AI技术和顾问服务，对专业人才培养方案、课程大纲、参考教材等进行系统梳理，建设该专业知识图谱，呈现专业下每门课程的关系网络，形成结构化、可视化的资源专网。</w:t>
      </w:r>
    </w:p>
    <w:p w14:paraId="3DBCFD4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（二）知识图谱建设课程、专业建设负责人端</w:t>
      </w:r>
    </w:p>
    <w:p w14:paraId="3DBCFD4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1.提供全面的课程、专业知识图谱建设规划指导，提供资源的制作、整理、上传、维护和管理等，包括视频、教案、教学大纲、教学课件，以及与课程内容有关的参考书籍、文献等。</w:t>
      </w:r>
    </w:p>
    <w:p w14:paraId="3DBCFD4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(1)提供全面的课程、专业知识图谱建设规划指导，提供资源的制作、整理、上传、维护和管理等，包括视频、教案、教学大纲、教学课件，以及与课程内容有关的参考书籍、文献等。</w:t>
      </w:r>
    </w:p>
    <w:p w14:paraId="3DBCFD4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(2)支持智能推荐相关知识点资源：在编辑单个知识点教学资源时，支持通过AI核心算法利用人工智能技术自动推荐知识点相关的在线课程、期刊、电子图书、报纸等资源，并支持一键直接添加关联；</w:t>
      </w:r>
    </w:p>
    <w:p w14:paraId="3DBCFD4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(3)支持课程知识图谱构建及智能导入，同步其他课程知识图谱，从课程章节导入，其中智能导入支持用户自主本地上传教学大纲、书籍教材，系统进行智能识别构建生成知识图谱。</w:t>
      </w:r>
    </w:p>
    <w:p w14:paraId="3DBCFD4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2.支持专业所有课程结构化展示，对应到每个学期应修课程(展示内容包括但不限于课程类型、学分、课程知识点等内容),且体现课程之间的先修后续等逻辑关系。</w:t>
      </w:r>
    </w:p>
    <w:p w14:paraId="3DBCFD4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3.对各门课程的知识点进行多层级架构建立，区分同级知识点、子级知识点和母级知识点，并能整理建立各个知识点的相互关联关系，体现知识点的先修后续和相互支撑等关系。</w:t>
      </w:r>
    </w:p>
    <w:p w14:paraId="3DBCFD4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(1)支持设置知识点逻辑关系：支持自定义设置知识点之间的关系，知识点关系需要包含父子、前后置、关联等关系。</w:t>
      </w:r>
    </w:p>
    <w:p w14:paraId="3DBCFD4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(2)支持自定义移动重构图谱顺序：支持大纲模式下移动图谱顺序，调整结构；支持图谱模式下，拖拽移动知识点顺序，调整展示结构。</w:t>
      </w:r>
    </w:p>
    <w:p w14:paraId="3DBCFD4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(3)支持设置知识点基本信息：包括知识点名称、知识点说明、相关词条等。</w:t>
      </w:r>
    </w:p>
    <w:p w14:paraId="3DBCFD4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(4)支持知识图谱按关系显示：支持图谱按关系显示，点击子级、后置、关联，只显示相关图谱，方便用户针对性学习。</w:t>
      </w:r>
    </w:p>
    <w:p w14:paraId="3DBCFD5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(5)支持按照知识点的关系属性(父子、关联、前后置关系)联动筛选。</w:t>
      </w:r>
    </w:p>
    <w:p w14:paraId="3DBCFD5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(6)支持按照知识点的标签、层次、认知维度、分类及关联关系等多个维度进行知识点的筛选查看。</w:t>
      </w:r>
    </w:p>
    <w:p w14:paraId="3DBCFD5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在课程知识图谱建设的基础上，根据课程关联度，知识点先修后续等分析，组织课程群建设，在整理知识点层级关系的基础上，实现对知识点的关联展示，即选中一个知识点，系统可自动呈现与该知识点关联的其他知识点，以及知识点间的先修后续关系。</w:t>
      </w:r>
    </w:p>
    <w:p w14:paraId="3DBCFD5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设置课程里的全部知识点及其属性、知识点之间的关联关系，知识点需要覆盖整门课程理论知识体系，用知识点掌握率考察目标达成度。支持通过大纲视图、思维导图视图、地图视图、图谱视图4种形式呈现知识图谱。</w:t>
      </w:r>
    </w:p>
    <w:p w14:paraId="3DBCFD5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(2)支持知识图谱形成网状结构，点击对应知识点即可查看知识点的关联知识点及管理资源及推荐资源；</w:t>
      </w:r>
    </w:p>
    <w:p w14:paraId="3DBCFD5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(3)在课程知识图谱建设的基础上，支持课程群图谱建设，实现对多门课程知识点的关联展示，即选中一个知识点，系统可自动呈现与该知识点关联的其他知识点，以及知识点间的先修后续关系。</w:t>
      </w:r>
    </w:p>
    <w:p w14:paraId="3DBCFD5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5.支持展示专业培养体系，从培养目标-毕业要求-课程体系-能力图谱-问题图谱-知识图谱维度进行展示。包含：培养目标，毕业要求，核心课程，能力，问题，知识点，思政点等基本情况。</w:t>
      </w:r>
    </w:p>
    <w:p w14:paraId="3DBCFD5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查看各个节点详细内容，以及对应支撑关系。包括毕业要求指标点的详细内容及支撑该指标点的课程及课程详情、课程目标、课程知识点；每门课程所支撑的毕业要求指标点、毕业要求及课程目标和课程知识点等。</w:t>
      </w:r>
    </w:p>
    <w:p w14:paraId="3DBCFD5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(2)具备知识图谱门户系统，能够提供对应的知识图谱门户模板，可展示课程介绍、知识图谱、知识关系、目标图谱、问题图谱及知识图谱相关统计功能，能够与教学平台互通互联。</w:t>
      </w:r>
    </w:p>
    <w:p w14:paraId="3DBCFD5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(3)问题图谱支持查看此问题关联的知识点，基于问题支线进行知识串联， 能更好的进行同一问题场景下的知识学习。符合OBE教学理念，支持学生通过问题层面进行知识点的学习。</w:t>
      </w:r>
    </w:p>
    <w:p w14:paraId="3DBCFD5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(4)能力图谱支持按照学分要求，科目要求，跨领域整合能力要求进行学生能力达成度分析。</w:t>
      </w:r>
    </w:p>
    <w:p w14:paraId="3DBCFD5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6.在线资源审查。</w:t>
      </w:r>
    </w:p>
    <w:p w14:paraId="3DBCFD5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(1)课程现有资源，课程视频、教材、教学大纲、培养方案等，提供校对功能，并能对关键字提供审查，或审查建议等。</w:t>
      </w:r>
    </w:p>
    <w:p w14:paraId="3DBCFD5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(2)在知识图谱建设过程中，推荐并提供的在线开放课程资源、教学视频、电子图书、期刊等资源，应不存在任何版权争议。</w:t>
      </w:r>
    </w:p>
    <w:p w14:paraId="3DBCFD5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▲供应商服务平台学生学习知识点时，系统支持自动推荐知识点相关期刊、图书、视频、文档等多种系统自带的知识点扩展资源，无需教师手动关联，并支持学生自主换选一批推荐资源。(提供平台功能截图)</w:t>
      </w:r>
    </w:p>
    <w:p w14:paraId="3DBCFD5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课程资源中应包含与课程内容相关的课程思政案例资源，并结合在相关知识点的运用。①思政教育内容与其他学科知识点相链接，形成跨学科的知识网络，增强思政教育的渗透力和影响力。②将思政理论与社会实际案例相结合，通过知识图谱的关联分析，提高教学的生动性和现实意义。③通过对知识图谱中的数据进行深入分析，挖掘思政教育的新规律、新趋势。</w:t>
      </w:r>
    </w:p>
    <w:p w14:paraId="3DBCFD6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(4)与课程知识图谱建设同步，建设与该门课程相关的思政图谱，并与其他课程的思政知识图谱相关联，形成完备且适用的课程思政图谱和关联资源。</w:t>
      </w:r>
    </w:p>
    <w:p w14:paraId="3DBCFD6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7.智能辅助。系统可以根据教师和学生在使用知识图谱过程中的应用数据， 分析教学对象特点，制订推荐教学计划，辅助教师完成该教学班级的备课， 实现针对性教学和个性化学习。在课程知识点教学过程完成后，教师可以；根据作业、测验等数据，分析、评估学生对该知识点的掌握情况，并制订下步教学方案。</w:t>
      </w:r>
    </w:p>
    <w:p w14:paraId="3DBCFD6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(1)支持辅助教师教学，辅助老师完成备课、教研、出题、试题分析工作。 支持基于图谱的搜索，可以更精准的返回所需内容。</w:t>
      </w:r>
    </w:p>
    <w:p w14:paraId="3DBCFD6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(2)支持查看某一位学生某个知识点的统计详情，包括学生此知识点的完成情况、掌握情况、知识点关联的学习任务完成详情等以及查看此知识点的课程资源和系统推荐的拓展资源。</w:t>
      </w:r>
    </w:p>
    <w:p w14:paraId="3DBCFD6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(3)▲支持知识图谱统计分析支持教师自定义分析，支持教师按照需求设定分析结果展示类型、设定多个分析变量，更自由灵活，多维度分析学生知识点学习情况。(提供平台功能截图)</w:t>
      </w:r>
    </w:p>
    <w:p w14:paraId="3DBCFD6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(4)支持教师查看班级整体知识点分析统计，查看知识点平均完成率、平均掌握率、完成率分布和掌握率分布等。</w:t>
      </w:r>
    </w:p>
    <w:p w14:paraId="3DBCFD6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(5)支持查看单个知识点的班级统计分析详情和推荐资源，包括此知识点的平均完成率、最高掌握率、最低掌握率、平均掌握率、每个学生的此知识点 完成情况和掌握情况、此知识点的每个教学任务的平均完成情况、掌握情况等，以及查看此知识点的课程资源和系统推荐的拓展资源，支持教师添加拓 展资源到课程，方便教师共享给学生阅读观看。</w:t>
      </w:r>
    </w:p>
    <w:p w14:paraId="3DBCFD6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(6)支持根据认知目标和诊断结果分析知识点教学效果达成情况。</w:t>
      </w:r>
    </w:p>
    <w:p w14:paraId="3DBCFD6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(7)支持查看班级下每个学生的知识点平均完成情况、平均掌握情况、课程 资料阅读情况等。</w:t>
      </w:r>
    </w:p>
    <w:p w14:paraId="3DBCFD6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8.系统自动整理课程知识目标、专业目标和能力培养目标，形成人才培养方 案能力矩阵，可视化呈现课程对专业培养目标的支撑度。</w:t>
      </w:r>
    </w:p>
    <w:p w14:paraId="3DBCFD6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(1)支持查看目标达成情况，包括课程目标总体达成度、达成度区间人数占比和每个课程目标的最高达成度、最低达成度、平均达成度。</w:t>
      </w:r>
    </w:p>
    <w:p w14:paraId="3DBCFD6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(2)支持按照学分要求，科目要求，跨领域整合能力要求进行学生能力达成度分析。</w:t>
      </w:r>
    </w:p>
    <w:p w14:paraId="3DBCFD6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专业分析：可以查看到这个年级-专业的能力达成度目标、学生平均达成度目标、达标率、能力达成度标准差以及各专业能力点的统计表，统计表包括：各能力点达成度分布情况雷达图、各能力点达成度平均分对比柱状图。(提供平台功能截图)</w:t>
      </w:r>
    </w:p>
    <w:p w14:paraId="3DBCFD6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（三）课程专属AI环境搭建</w:t>
      </w:r>
    </w:p>
    <w:p w14:paraId="3DBCFD6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1.通用大语言模型对接</w:t>
      </w:r>
    </w:p>
    <w:p w14:paraId="3DBCFD6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完成指定通用大语言模型或多个通用大模型对接。</w:t>
      </w:r>
    </w:p>
    <w:p w14:paraId="3DBCFD7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2.课程专属智能体训练</w:t>
      </w:r>
    </w:p>
    <w:p w14:paraId="3DBCFD7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供应商建设课程问答库，涵盖常见问题、重点难点问题与拓展性问题，为教师与学生提供即时问题解决支持。同时，问答库应支持智能检索与语义理解，提升答疑效率与精准度。</w:t>
      </w:r>
    </w:p>
    <w:p w14:paraId="3DBCFD7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(1)知识库建设</w:t>
      </w:r>
    </w:p>
    <w:p w14:paraId="3DBCFD7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 在线课程自我训练</w:t>
      </w:r>
    </w:p>
    <w:p w14:paraId="3DBCFD7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1）▲支持一键同步在线课程或者图书资源，对已有资源进行智能化训练。(提供平台功能截图)</w:t>
      </w:r>
    </w:p>
    <w:p w14:paraId="3DBCFD7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2）支持增量同步在线课程，保持与课程内容的一致。</w:t>
      </w:r>
    </w:p>
    <w:p w14:paraId="3DBCFD7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1.2 资源上传与训练</w:t>
      </w:r>
    </w:p>
    <w:p w14:paraId="3DBCFD7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课程单元内容建设，可编辑视频、文档、图片、音频、图书、公式、符号、附件、网页、动画等。</w:t>
      </w:r>
    </w:p>
    <w:p w14:paraId="3DBCFD7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支持直接将从word中将内容复制粘贴到编辑器内，并完整保留里面的文字和图片等内容。</w:t>
      </w:r>
    </w:p>
    <w:p w14:paraId="3DBCFD7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视频上传与播放支持rmvb、3gp、mpg、mpeg、mov、wmv、avi、mkv、mp4、flv、vob、f4v等高清和网络格式，视频上传后自动转码，无需下载可以直接在线进行播放。</w:t>
      </w:r>
    </w:p>
    <w:p w14:paraId="3DBCFD7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支持2G以上文件上传，并可断点续传。</w:t>
      </w:r>
    </w:p>
    <w:p w14:paraId="3DBCFD7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支持将资源先批量上传至个人课程空间云盘中再引用。</w:t>
      </w:r>
    </w:p>
    <w:p w14:paraId="3DBCFD7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支持查看资源上传与训练状态，支持查看训练资源来源。</w:t>
      </w:r>
    </w:p>
    <w:p w14:paraId="3DBCFD7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支持按时间范围查看资源上传情况。</w:t>
      </w:r>
    </w:p>
    <w:p w14:paraId="3DBCFD7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支持通过任务中心查看训练进程。</w:t>
      </w:r>
    </w:p>
    <w:p w14:paraId="3DBCFD7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支持自定义文件分类，支持文件批量删除、重命名等操作。</w:t>
      </w:r>
    </w:p>
    <w:p w14:paraId="3DBCFD8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3.学术文献一键对接训练</w:t>
      </w:r>
    </w:p>
    <w:p w14:paraId="3DBCFD8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 支持对接文献库，一次性导入不超过30本课程相关书籍，进行训练</w:t>
      </w:r>
    </w:p>
    <w:p w14:paraId="3DBCFD8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 支持反复导入</w:t>
      </w:r>
    </w:p>
    <w:p w14:paraId="3DBCFD8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4.AI问答库建设</w:t>
      </w:r>
    </w:p>
    <w:p w14:paraId="3DBCFD8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支持自定义添加、编辑、删除业务问答分类，分类数量无限制；</w:t>
      </w:r>
    </w:p>
    <w:p w14:paraId="3DBCFD8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支持自定义添加、编辑、删除、批量导入、批量导出、批量删除业务问答规则，业务问答规则数量无限制；</w:t>
      </w:r>
    </w:p>
    <w:p w14:paraId="3DBCFD8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支持手工启用、停用业务问答规则，可根据关键词搜索业务内容；</w:t>
      </w:r>
    </w:p>
    <w:p w14:paraId="3DBCFD8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业务问答规则中，答案支持文本、图片、语音、视频、自定义级联菜单、图文混排、链接等多种内容；</w:t>
      </w:r>
    </w:p>
    <w:p w14:paraId="3DBCFD8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自定义添加、编辑业务问答中问题标签，并根据标签进行问答提示；</w:t>
      </w:r>
    </w:p>
    <w:p w14:paraId="3DBCFD8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支持用户手动上传文档至问答库，上传后系统可上传的文档进行解析，解析后可智能回答文档相关问题；</w:t>
      </w:r>
    </w:p>
    <w:p w14:paraId="3DBCFD8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支持对校本网络教学平台已建设的网络课程资料的进行智能解析，围绕课程内容进行人机问答；</w:t>
      </w:r>
    </w:p>
    <w:p w14:paraId="3DBCFD8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▲机器可自动对没有答案的问题描述进行关键词识别并统计聚类，按照关键词问答频率由高到低排序，同时可以批量导出未知问题；(提供平台功能截图)</w:t>
      </w:r>
    </w:p>
    <w:p w14:paraId="3DBCFD8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支持手工添加未知问题至业务问答规则，并支持自定义修改；</w:t>
      </w:r>
    </w:p>
    <w:p w14:paraId="3DBCFD8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支持自动忽略无意义的问法，比如无效数字字母的组合；</w:t>
      </w:r>
    </w:p>
    <w:p w14:paraId="3DBCFD8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支持根据用户输入问题进行匹配提示；</w:t>
      </w:r>
    </w:p>
    <w:p w14:paraId="3DBCFD8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支持问答无匹配时，提供语义相似度最高的热门问题；</w:t>
      </w:r>
    </w:p>
    <w:p w14:paraId="3DBCFD9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支持未知问题回复语自定义设置；</w:t>
      </w:r>
    </w:p>
    <w:p w14:paraId="3DBCFD9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支持欢迎语的自定义设置；</w:t>
      </w:r>
    </w:p>
    <w:p w14:paraId="3DBCFD9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支持阈值自定义；</w:t>
      </w:r>
    </w:p>
    <w:p w14:paraId="3DBCFD9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支持自定义配置访客端的常见问题及通知公告；</w:t>
      </w:r>
    </w:p>
    <w:p w14:paraId="3DBCFD9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可根据用户行为自动记录待学习问题，超级管理员可一键学习或一键通过。</w:t>
      </w:r>
    </w:p>
    <w:p w14:paraId="3DBCFD9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5.应用库建设</w:t>
      </w:r>
    </w:p>
    <w:p w14:paraId="3DBCFD9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1）▲支持通过AI助教问答，实现智能推荐关联的微应用。(提供平台功能截图)</w:t>
      </w:r>
    </w:p>
    <w:p w14:paraId="3DBCFD9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6.AI助教问答与资源推荐</w:t>
      </w:r>
    </w:p>
    <w:p w14:paraId="3DBCFD9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1）支持通过文字、语音等方式与AI助教交互问答。</w:t>
      </w:r>
    </w:p>
    <w:p w14:paraId="3DBCFD9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支持在不同的时间段自动推送智能学习提示语。</w:t>
      </w:r>
    </w:p>
    <w:p w14:paraId="3DBCFD9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支持大模型托底回答，使用自研教育垂直领域大模型，以海量电子图书、期刊为训练数据，为师生提供智能可信的AI问答服务。</w:t>
      </w:r>
    </w:p>
    <w:p w14:paraId="3DBCFD9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支持查询图书、期刊等文献，根据用户输入问题推荐相关文献，图书、期刊等。</w:t>
      </w:r>
    </w:p>
    <w:p w14:paraId="3DBCFD9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7.移动端学习</w:t>
      </w:r>
    </w:p>
    <w:p w14:paraId="3DBCFD9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为保障数据安全、功能更完整，灵活性更强移动学习端需配备专业的APP，同时为方便使用者在学习、教学、管理角色中随意切换，供应商不得根据用户角色区分下载不同移动端APP，同一个移动端APP完成教、学、管，让移动学习与管理体验更完美。(提供平台功能截图)</w:t>
      </w:r>
    </w:p>
    <w:p w14:paraId="3DBCFD9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（四）课程图谱建设</w:t>
      </w:r>
    </w:p>
    <w:p w14:paraId="3DBCFD9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1.知识图谱建设</w:t>
      </w:r>
    </w:p>
    <w:p w14:paraId="3DBCFDA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1.1.提供全面的课程、专业知识图谱建设规划指导，提供资源的制作、整理、 上传、维护和管理等，包括视频、教案、教学大纲、教学课件，以及与课程  内容有关的参考书籍、文献等。</w:t>
      </w:r>
    </w:p>
    <w:p w14:paraId="3DBCFDA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(1)支持智能推荐相关知识点资源：在编辑单个知识点教学资源时，支持通过AI核心算法利用人工智能技术自动推荐知识点相关的在线课程、期刊、 电子图书、报纸等资源，并支持—键直接添加关联；</w:t>
      </w:r>
    </w:p>
    <w:p w14:paraId="3DBCFDA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(2)支持课程知识图谱构建及智能导入，同步其他课程知识图谱，从课程章节导入，其中智能导入支持用户自主本地上传教学大纲、书籍教材，系统 进行智能识别构建生成知识图谱。</w:t>
      </w:r>
    </w:p>
    <w:p w14:paraId="3DBCFDA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2.▲对各门课程的知识点进行多层级架构建立，区分同级知识点、子级知识点 和母级知识点，并能整理建立各个知识点的相互关联关系，体现知识点的先 修后续和相互支撑等关系。</w:t>
      </w:r>
    </w:p>
    <w:p w14:paraId="3DBCFDA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(1)支持设置知识点逻辑关系：支持自定义设置知识点之间的关系，知识点关系需要包含父子、前后置、关联等关系。</w:t>
      </w:r>
    </w:p>
    <w:p w14:paraId="3DBCFDA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(2)支持自定义移动重构图谱顺序：支持大纲模式下移动图谱顺序，调整结 构；支持图谱模式下，拖拽移动知识点顺序，调整展示结构。</w:t>
      </w:r>
    </w:p>
    <w:p w14:paraId="3DBCFDA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(3)支持设置知识点基本信息：包括知识点名称、知识点说明、相关词条等。</w:t>
      </w:r>
    </w:p>
    <w:p w14:paraId="3DBCFDA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(4)支持知识图谱按关系显示：支持图谱按关系显示，点击子级、后置、关 联，只显示相关图谱，方便用户针对性学习。</w:t>
      </w:r>
    </w:p>
    <w:p w14:paraId="3DBCFDA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(5)支持按照知识点的关系属性(父子、关联、前后置关系)联动筛选。</w:t>
      </w:r>
    </w:p>
    <w:p w14:paraId="3DBCFDA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(6)支持按照知识点的标签、层次、认知维度、分类及关联关系等多个维度 进行知识点的筛选查看。</w:t>
      </w:r>
    </w:p>
    <w:p w14:paraId="3DBCFDA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在课程知识图谱建设的基础上，根据课程关联度，知识点先修后续等分析，组织课程群建设，在整理知识点层级关系的基础上，实现对知识点的关联展示，即选中一个知识点，系统可自动呈现与该知识点关联的其他知识点，以及知识点间的先修后续关系。</w:t>
      </w:r>
    </w:p>
    <w:p w14:paraId="3DBCFDA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设置课程里的全部知识点及其属性、知识点之间的关联关系，知识点需要覆盖整门课程理论知识体系，用知识点掌握率考察目标达成度。支持通过大纲视图、思维导图视图、地图视图、图谱视图4种形式呈现知识图谱。</w:t>
      </w:r>
    </w:p>
    <w:p w14:paraId="3DBCFDA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(2)支持知识图谱形成网状结构，点击对应知识点即可查看知识点的关联知识点及管理资源及推荐资源；(提供平台功能截图)</w:t>
      </w:r>
    </w:p>
    <w:p w14:paraId="3DBCFDA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(3)在课程知识图谱建设的基础上，支持课程群图谱建设，实现对多门课程知识点的关联展示，即选中一个知识点，系统可自动呈现与该知识点关联的其他知识点，以及知识点间的先修后续关系。</w:t>
      </w:r>
    </w:p>
    <w:p w14:paraId="3DBCFDA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4.支持展示专业培养体系，从培养目标-毕业要求-课程体系-能力图谱-问题图谱-知识图谱维度进行展示。包含：培养目标，毕业要求，核心课程，能力， 问题，知识点，思政点等基本情况。</w:t>
      </w:r>
    </w:p>
    <w:p w14:paraId="3DBCFDA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(1)支持查看各个节点详细内容，以及对应支撑关系。包括毕业要求指标点 的详细内容及支撑该指标点的课程及课程详情、课程目标、课程知识点；每 门课程所支撑的毕业要求指标点、毕业要求及课程目标和课程知识点等。</w:t>
      </w:r>
    </w:p>
    <w:p w14:paraId="3DBCFDB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具备知识图谱门户系统，能够提供对应的知识图谱门户模板，并且支持自定义添加需要展示的模块，提供富媒体编辑器，支持上传图片、文档等。可展示课程介绍、知识图谱、知识关系、目标图谱、问题图谱及知识图谱相关统计功能，能够与教学平台互通互联。(提供平台功能截图)</w:t>
      </w:r>
    </w:p>
    <w:p w14:paraId="3DBCFDB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(3)问题图谱支持查看此问题关联的知识点，基于问题支线进行知识串联， 能更好的进行同一问题场景下的知识学习。符合OBE教学理念，支持学生通  过问题层面进行知识点的学习。</w:t>
      </w:r>
    </w:p>
    <w:p w14:paraId="3DBCFDB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(4)能力图谱支持按照学分要求，科目要求，跨领域整合能力要求进行学生能力达成度分析。</w:t>
      </w:r>
    </w:p>
    <w:p w14:paraId="3DBCFDB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(5)支持查看目标达成情况，包括课程目标总体达成度、达成度区间人数占比和每个课程目标的最高达成度、最低达成度、平均达成度。</w:t>
      </w:r>
    </w:p>
    <w:p w14:paraId="3DBCFDB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5.在线资源审查。</w:t>
      </w:r>
    </w:p>
    <w:p w14:paraId="3DBCFDB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(1)课程现有资源，课程视频、教材、教学大纲、培养方案等，提供校对功能，并能对关键字提供审查，或审查建议等。</w:t>
      </w:r>
    </w:p>
    <w:p w14:paraId="3DBCFDB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(2)★供应商服务平台支持用户在线检测各类资源，过滤糟粕信息，包括图片在线检测、文本在线检测等，能过滤色情、广告、暴力、涉政等各种风险点以及图片的检测。(现场演示)</w:t>
      </w:r>
    </w:p>
    <w:p w14:paraId="3DBCFDB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(3)在知识图谱建设过程中，推荐并提供的在线开放课程资源、教学视频、电子图书、期刊等资源，应不存在任何版权争议。</w:t>
      </w:r>
    </w:p>
    <w:p w14:paraId="3DBCFDB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课程资源中应包含与课程内容相关的课程思政案例资源，并结合在相关知识点的运用。①思政教育内容与其他学科知识点相链接，形成跨学科的知识网络，增强思政教育的渗透力和影响力。②将思政理论与社会实际案例相结合，通过知识图谱的关联分析，提高教学的生动性和现实意义。③通过对知识图谱中的数据进行深入分析，挖掘思政教育的新规律、新趋势。</w:t>
      </w:r>
    </w:p>
    <w:p w14:paraId="3DBCFDB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(5)与课程知识图谱建设同步，建设与该门课程相关的思政图谱，并与其他课程的思政知识图谱相关联，形成完备且适用的课程思政图谱和关联资源。</w:t>
      </w:r>
    </w:p>
    <w:p w14:paraId="3DBCFDB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智能辅助。系统可以根据教师和学生在使用知识图谱过程中的应用数据，分析教学对象特点，制订推荐教学计划，辅助教师完成该教学班级的备课，实现针对性教学和个性化学习在课程知识点教学过程完成后，教师可以根据作业、测验等数据，分析、评估学生对该知识点的掌握情况，并制订下步教学方案。</w:t>
      </w:r>
    </w:p>
    <w:p w14:paraId="3DBCFDB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(1)支持辅助教师教学，辅助老师完成备课、教研、出题、试题分析工作。支持基于图谱的搜索，可以更精准的返回所需内容。</w:t>
      </w:r>
    </w:p>
    <w:p w14:paraId="3DBCFDB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(2)支持查看某一位学生某个知识点的统计详情，包括学生此知识点的完成情况、掌握情况、知识点关联的学习任务完成详情等以及查看此知识点的 课程资源和系统推荐的拓展资源。(提供平台功能截图)</w:t>
      </w:r>
    </w:p>
    <w:p w14:paraId="3DBCFDB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(3)支持知识图谱统计分析支持教师自定义分析，支持教师按照需求设定分析结果展示类型、设定多个分析变量，更自由灵活，多维度分析学生知识点学学习情况。</w:t>
      </w:r>
    </w:p>
    <w:p w14:paraId="3DBCFDB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(4)支持教师查看班级整体知识点分析统计，查看知识点平均完成率、平均掌握率、完成率分布和掌握率分布等。</w:t>
      </w:r>
    </w:p>
    <w:p w14:paraId="3DBCFDB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(5)支持按知识点查看每个知识点的关联学习资源数、平均完成率、平均掌握率、课程资料数、课程资料人均阅读情况等。</w:t>
      </w:r>
    </w:p>
    <w:p w14:paraId="3DBCFDC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支持查看单个知识点的班级统计分析详情和推荐资源，包括此知识点的平均完成率、最高掌握率、最低掌握率、平均掌握率、每个学生的此知识点完成情况和掌握情况、此知识点的每个教学任务的平均完成情况、掌握情况等，以及查看此知识点的课程资源和系统推荐的拓展资源，支持教师添加拓展资源到课程，方便教师共享给学生阅读观看。</w:t>
      </w:r>
    </w:p>
    <w:p w14:paraId="3DBCFDC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(7)支持根据认知目标和诊断结果分析知识点教学效果达成情况。</w:t>
      </w:r>
    </w:p>
    <w:p w14:paraId="3DBCFDC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(8)支持查看班级下每个学生的知识点平均完成情况、平均掌握情况、课程资料阅读情况等。</w:t>
      </w:r>
    </w:p>
    <w:p w14:paraId="3DBCFDC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7.支持知识点关联课程章节中的视频</w:t>
      </w:r>
    </w:p>
    <w:p w14:paraId="3DBCFDC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在网页上通过视频中任意时间点插入图片或PPT：可以在任意时间点插入图片或PPT，同时支持对插入的内容在时间轴上随意拖动。插入的PPT可以任意拖动位置，并可以跟视频窗口进行切换。(提供平台功能截图)</w:t>
      </w:r>
    </w:p>
    <w:p w14:paraId="3DBCFDC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在网页上拖动视频播放的起始点、终止点，就可以将视频文件按照课程的要求剪辑成适当长度，教师还可手动输入时间点，进行视频在线虚拟剪辑，不破坏教师原有视频，同一视频可以重复多次使用进行不同时间段虚拟剪辑。(现场演示)</w:t>
      </w:r>
    </w:p>
    <w:p w14:paraId="3DBCFDC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课程建设的教学视频文件具有“防拖拽和防窗口切换”功能，支持视频中任意时间点插入测验：上传视频后，可以在任意时间点插入测试题，包含单选题、多选题和对错题，支持设置答错是否允许继续观看视频，如果答错，支持设置或看多少分钟，或者设置回看时间段；支持学生作答后查看答案。(提供平台功能截图)</w:t>
      </w:r>
    </w:p>
    <w:p w14:paraId="3DBCFDC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（2）知识图谱建设教师使用端</w:t>
      </w:r>
    </w:p>
    <w:p w14:paraId="3DBCFDC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2.1.清晰展示专业、课程和知识点及其相互关系，帮助教师明确学生需要达到 的学习成果，从而设定具体、可衡量的教学目标。</w:t>
      </w:r>
    </w:p>
    <w:p w14:paraId="3DBCFDC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(1)支持进行跨课程知识点关联，实现不同课程自之间知识的聚合联动，关联后可以实现跨课学习并进行专业下多门课程的知识点关联展示应用；</w:t>
      </w:r>
    </w:p>
    <w:p w14:paraId="3DBCFDC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供应商服务平台支持查看目标达成情况，包括课程目标总体达成度、达成度区间人数占比和每个课程目标的最高达成度、最低达成度、平均达成度；支持按照学分要求，科目要求，跨领域整合能力要求进行学生能力达成度分析。</w:t>
      </w:r>
    </w:p>
    <w:p w14:paraId="3DBCFDC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2.2.详尽展示课程内知识点结构和知识点对课程预定能力目标的支持情况，以及课程内和课程外知识点间的逻辑关系，确保教学内容覆盖所有能力目标。</w:t>
      </w:r>
    </w:p>
    <w:p w14:paraId="3DBCFDC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基于专业培养方案，将课程的能力目标与毕业要求关联，支持设置课程目标并与知识点关联，每门课程设定清晰的课程目标，形成知识点-课程目标-毕业要求关联体系，形成能力画像，包含能力名称、能力详情、关联问题、关联主题、关联知识点等。</w:t>
      </w:r>
    </w:p>
    <w:p w14:paraId="3DBCFDC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2.3.利用人工智能辅助教师识别课程中的关键知识点，并提供与该知识点的关联知识点情况，帮助教师制定教学策略，实施针对性教学。</w:t>
      </w:r>
    </w:p>
    <w:p w14:paraId="3DBCFDC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(1)支持多种智能化创建方式：支持智能导入教学大纲、电子教材等，系统智能识别构建生成知识图谱。</w:t>
      </w:r>
    </w:p>
    <w:p w14:paraId="3DBCFDC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(2)支持查看某个知识点相关知识点情况，帮助教师制定教学策略，实施针对性教学。</w:t>
      </w:r>
    </w:p>
    <w:p w14:paraId="3DBCFDD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(3)支持智能标注视频资源中的知识点：对教学平台课程中的视频进行智能分析，自动匹配课程中的知识点，并在视频对应的时间点进行自动打点，也支持用户手动标注或修改教学视频片段位置信息；</w:t>
      </w:r>
    </w:p>
    <w:p w14:paraId="3DBCFDD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(4)支持学生在整个在线学习过程中，随时通过学生端平台提出问题，AI助教会查找整个资料库及时给学生做出回应。对于课程内专业问题还需给出答案的来源，学生直接点击可以查看原文，以保证答案的准确性。</w:t>
      </w:r>
    </w:p>
    <w:p w14:paraId="3DBCFDD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(5)供应商服务平台支持智能识别视频内容，在视频时间点上自动打知识点标签，教师可以在智能标记的基础上进行手动调整修改；学生在学习对应知识点时视频播放自动定位到知识点标记的时间点。</w:t>
      </w:r>
    </w:p>
    <w:p w14:paraId="3DBCFDD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题库支持创建文件夹对试题进行分类管理，支持多文件夹目录层级。文件夹支持设置共享范围：私有（仅自己可见，文件夹中只能添加自己创建的题目）、共享给指定教学团队成员（仅指定成员可见，文件夹中只能添加自己创建的题目）、公开（所有教学团队成员可见，文件夹中可添加其他成员创建的题目）、是否允许学生自测（是否允许学生从此文件夹中抽题自测）。支持对单个试题进行排序、编辑、移动、锁定、修改题型、修改难易度、关联知识点、关联课程目标、一键推送云盘功能。</w:t>
      </w:r>
    </w:p>
    <w:p w14:paraId="3DBCFDD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（3）学生学习端</w:t>
      </w:r>
    </w:p>
    <w:p w14:paraId="3DBCFDD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3.1.对学生学习进行过程化管理，根据学生学习情况形成评价和反馈，提供学生学习能力画像，帮助学生规划学习路径，力争实现个性化学习。</w:t>
      </w:r>
    </w:p>
    <w:p w14:paraId="3DBCFDD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(1)支持学生查看本人的知识点统计分析，包括每个知识点的完成情况、掌握情况、课程资料阅读情况等。</w:t>
      </w:r>
    </w:p>
    <w:p w14:paraId="3DBCFDD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基于知识图谱、数据分析技术，快速检测定位学生的学习状况和薄弱点，基于对学生学情更加准确的判断，利用知识点之间关联关系，包括前后序关系，可以合理的为学生做针对性的推荐，推荐相关的内容以及学习策略，学习路径规划。将精准检测，内容推送，路径规划，整个流程作为动态 闭环，稳步提升学生知识掌握程度。</w:t>
      </w:r>
    </w:p>
    <w:p w14:paraId="3DBCFDD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(3)支持精准检测学生学习水平，找到薄弱知识点。通过对学生过程化动态学习数据的自动分析，检测学生的学习水平，精确诊断学生的学习情况，并分析学生薄弱知识点。</w:t>
      </w:r>
    </w:p>
    <w:p w14:paraId="3DBCFDD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3.2.通过专业图谱和课程图谱应用，形成问题、目标、能力图谱，便于学生在学习过程中有明确的学习目标。</w:t>
      </w:r>
    </w:p>
    <w:p w14:paraId="3DBCFDD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目标图谱：支持基于专业培养方案，将课程的能力目标与毕业要求关联，支持设置课程目标并与知识点关联，每门课程设定清晰的课程目标，形成知识点-课程目标-毕业要求关联体系，形成能力画像，包含能力名称、能力详情、关联问题、关联主题、关联知识点等。</w:t>
      </w:r>
    </w:p>
    <w:p w14:paraId="3DBCFDD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问题图谱：支持指向高阶思维与能力提升的问题图谱创建，从高阶目标出发，通过基本问题、组合问题和疑难问题的设置，通过问题间的逻辑关系，将三层问题体系相关联，通过建设完整的问题体系及关联的问题描述、问题标签，关联知识点，形成基于问题的学习路径，引导学生从知识吸收到应用创造的能力提升。</w:t>
      </w:r>
    </w:p>
    <w:p w14:paraId="3DBCFDD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达成度统计方式、考核规则设置：支持各专业设置统计方式，统计方式支持如下：①按毕业要求指标点与课程目标权重设置；②按教务课程目标权重+课程与毕业要求区间(HML)设置；③按教务课程目标权重+课程与毕业要求权重+课程与毕业要求(HML)设置；毕业要求考核计算规则设置支持如下：①最低达成数据计算；②平均达成数据计算③权重达成数据计算。</w:t>
      </w:r>
    </w:p>
    <w:p w14:paraId="3DBCFDD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3.3.结合专业和课程特征，利用AI大模型基于专业进行智能问题推荐，将本专业和课程相关的问题进行汇聚和展示。</w:t>
      </w:r>
    </w:p>
    <w:p w14:paraId="3DBCFDD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学生在整个在线学习过程中，随时通过学生端平台提出问题，AI助教会查找整个资料库及时给学生做出回应。对于课程内专业问题还需给出答案的来源，学生直接点击可以查看原文，以保证答案的准确性。(现场演示)</w:t>
      </w:r>
    </w:p>
    <w:p w14:paraId="3DBCFDD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3.4.课程体系展示。</w:t>
      </w:r>
    </w:p>
    <w:p w14:paraId="3DBCFDE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(1)将各专业所授课程进行结构化展示，对应到每个学期应修课程(展示内容包括但不限于课程类型、学分、课程知识点等内容),且体现课程之间的先修后续等逻辑关系。</w:t>
      </w:r>
    </w:p>
    <w:p w14:paraId="3DBCFDE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(2)结构化展示课程的知识点关系，通过知识点关系展示，帮助学生认识知识点先修后续关系和相互支撑、关联关系，有效规划课程学习。</w:t>
      </w:r>
    </w:p>
    <w:p w14:paraId="3DBCFDE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(3)在整理知识点层级关系的基础上，实现对知识点的关联展示，即选中一个知识点，系统可自动呈现与该知识点关联的其他知识点，以及知识点间的先修后续关系。</w:t>
      </w:r>
    </w:p>
    <w:p w14:paraId="3DBCFDE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3.5.支持问题图谱展示，学习过程中能筛选并查看该门课程的问题图谱，并根据学习进度展示相应的问题图谱。同时在问题图谱中能关联到相应知识点，便于学生对知识点的巩固和掌握。</w:t>
      </w:r>
    </w:p>
    <w:p w14:paraId="3DBCFDE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供应商服务平台提供探索模式，使学生能够选择并深入分析多组问题，系统引导学生思考并整合相关联的知识点，支持学生识别并连接主线问题与子级问题，构建问题之间的层级关系，加深对问题网络的理解，为方便学生便捷探索，系统需提供“终止探索”和“提交”两种方式，且终止探索后记录不能被存档。(现场演示)</w:t>
      </w:r>
    </w:p>
    <w:p w14:paraId="3DBCFDE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3.6.根据学生先修课程情况和后续知识点情况，制订推荐学习计划，帮助学生根据目前学习情况，科学规划后续学习。</w:t>
      </w:r>
    </w:p>
    <w:p w14:paraId="3DBCFDE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学习全过程智能助教陪伴，学习前会对近期学习数据进行分析，提供相关学习指引；支持帮助学生整理当前课程的知识点概况，学习进度以及推荐学习的知识点，帮助学生自主学习；支持根据学生学习情况生成个性化学习路径。</w:t>
      </w:r>
    </w:p>
    <w:p w14:paraId="3DBCFDE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(2)支持学生查看课程知识图谱，并查看每个知识点的学习进度情况；支持学生按知识点进行课程任务学习，观看课程视频阅读课程资料等。</w:t>
      </w:r>
    </w:p>
    <w:p w14:paraId="3DBCFDE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3.7.供应商应具有自主知识产权的线上学习平台(支持Windows、macOS等主要操作系统)及移动端学习工具(支持Android、ios等主流移动端操作系统)。</w:t>
      </w:r>
    </w:p>
    <w:p w14:paraId="3DBCFDE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（五）课程AI工作台教学应用</w:t>
      </w:r>
    </w:p>
    <w:p w14:paraId="3DBCFDE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1.AI教案</w:t>
      </w:r>
    </w:p>
    <w:p w14:paraId="3DBCFDE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教师输入教学材料或关键词，AI自动生成教案，并支持教师借助写作助手进行再次编辑。</w:t>
      </w:r>
    </w:p>
    <w:p w14:paraId="3DBCFDE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支持教师补充所教层次、适合的教学风格，形成更加具有个性化的教案。</w:t>
      </w:r>
    </w:p>
    <w:p w14:paraId="3DBCFDE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支持一键导出教案，并且支持按学校教案模板导出。</w:t>
      </w:r>
    </w:p>
    <w:p w14:paraId="3DBCFDE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2.AI 课件</w:t>
      </w:r>
    </w:p>
    <w:p w14:paraId="3DBCFDE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1）通过输入PPT内容要求，AI智能生成PPT大纲</w:t>
      </w:r>
    </w:p>
    <w:p w14:paraId="3DBCFDF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2）支持教师在线直接编辑生成的大纲内容</w:t>
      </w:r>
    </w:p>
    <w:p w14:paraId="3DBCFDF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3）支持AI自动根据大纲生成PPT，教师可以进行在线编辑或下载</w:t>
      </w:r>
    </w:p>
    <w:p w14:paraId="3DBCFDF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4）支持选择PPT模板场景、设计风格、主题颜色，生成个性化PPT</w:t>
      </w:r>
    </w:p>
    <w:p w14:paraId="3DBCFDF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3.AI写作</w:t>
      </w:r>
    </w:p>
    <w:p w14:paraId="3DBCFDF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1）老师可以向AI写作助手提出需求，点击“生成”，写作助手会根据要求智能生成相应的内容，老师点击保存可以将内容输出到章节编辑页面上</w:t>
      </w:r>
    </w:p>
    <w:p w14:paraId="3DBCFDF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2）老师可进行文本修改、删减或排版</w:t>
      </w:r>
    </w:p>
    <w:p w14:paraId="3DBCFDF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3）在章节编辑页面，选中内容可进行AI改写、扩写、续写、简写、翻译等操作</w:t>
      </w:r>
    </w:p>
    <w:p w14:paraId="3DBCFDF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4.AI出题</w:t>
      </w:r>
    </w:p>
    <w:p w14:paraId="3DBCFDF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1）支持教师通过输入相关的教学材料和知识点，AI系统可以自动生成对应的题目并且不限制教师使用次数。</w:t>
      </w:r>
    </w:p>
    <w:p w14:paraId="3DBCFDF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2）支持多种题型，题型包括选择题、填空题、简答题等，以便满足不同类型考题的需求</w:t>
      </w:r>
    </w:p>
    <w:p w14:paraId="3DBCFDF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3）教师可以根据课程内容和学生水平，将生成的题目添加到题库。并随时使用这些题目进行测验、考试或者课堂练习。</w:t>
      </w:r>
    </w:p>
    <w:p w14:paraId="3DBCFDF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4）支持设置出的题目的要求，比如：适用年级、难易度、题目偏向等。</w:t>
      </w:r>
    </w:p>
    <w:p w14:paraId="3DBCFDF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5）支持AI生成口语测评题，教师可以输入需要学生跟读的文本，学生通过系统录制跟读的音频，系统将对录音进行语音分析评估其完整度、准确度和流利度，并给出针对性的评分和反馈意见。</w:t>
      </w:r>
    </w:p>
    <w:p w14:paraId="3DBCFDF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6）AI口语测评题：支持选择包括汉语、英语及日语、韩语、俄语等多种小语种，设置评分严宽度。（现场演示）</w:t>
      </w:r>
    </w:p>
    <w:p w14:paraId="3DBCFDF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5.★AI批阅</w:t>
      </w:r>
    </w:p>
    <w:p w14:paraId="3DBCFDF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 使用先进的 AI 技术，能够批阅学生的主观题、论述题、小论文等</w:t>
      </w:r>
    </w:p>
    <w:p w14:paraId="3DBCFE0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 对参考答案和学生答案进行分词处理和语法分析，以便计算词语和语句的相似度，从而量化学生答案与标准答案的匹配程度</w:t>
      </w:r>
    </w:p>
    <w:p w14:paraId="3DBCFE0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3）支持利用语义相似度计算结果给出学生相应的得分，通过深度学习等技术来模拟人类对语义相似度的判断，从而更准确地评估学生的答案质量</w:t>
      </w:r>
    </w:p>
    <w:p w14:paraId="3DBCFE0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4）▲系统可以根据教师设置的得分点来匹配得分，确保评分符合标准化要求，同时满足教学目标和评价体系。支持智能批阅程序题(提供平台功能截图)</w:t>
      </w:r>
    </w:p>
    <w:p w14:paraId="3DBCFE0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5）★智能批阅支持识别用户上传的手写图片、复杂图片等，同时也支持程序题在线运行。（现场演示）</w:t>
      </w:r>
    </w:p>
    <w:p w14:paraId="3DBCFE0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5）支持智能批阅口语题</w:t>
      </w:r>
    </w:p>
    <w:p w14:paraId="3DBCFE0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6.AI学情分析</w:t>
      </w:r>
    </w:p>
    <w:p w14:paraId="3DBCFE0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1）支持智能呈现班级整体知识点分析数据，提供个性化学习路径。</w:t>
      </w:r>
    </w:p>
    <w:p w14:paraId="3DBCFE0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2）可查看知识点平均完成率、平均掌握率、完成率分布和掌握率分布等。支持按知识点查看每个知识点的关联学习资源数、平均完成率、平均掌握率、课程资料数、课程资料人均阅读情况等。</w:t>
      </w:r>
    </w:p>
    <w:p w14:paraId="3DBCFE0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3）基于AI学情分析，可由AI生成学情分析画像，减轻教师学情分析压力，提升效率。</w:t>
      </w:r>
    </w:p>
    <w:p w14:paraId="3DBCFE0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 针对班级学情数据进行分析，将班级学生分布自动划分为全优层、学霸层、勤奋层、提升层，并给出具体的教学建议，帮助教师开展精准教学。(提供平台功能截图)</w:t>
      </w:r>
    </w:p>
    <w:p w14:paraId="3DBCFE0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7.个性化学习路径推荐</w:t>
      </w:r>
    </w:p>
    <w:p w14:paraId="3DBCFE0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1）为学生智能化推荐个性化学习路径，呈现路径中各知识点掌握率</w:t>
      </w:r>
    </w:p>
    <w:p w14:paraId="3DBCFE0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2）基于知识点的学习，智能化分析学生学习进度与掌握情况，掌握率高于90%的知识点在学习路径上不再显示</w:t>
      </w:r>
    </w:p>
    <w:p w14:paraId="3DBCFE0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3）基于错题智能推荐薄弱知识点</w:t>
      </w:r>
    </w:p>
    <w:p w14:paraId="3DBCFE0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8.智能推荐资源</w:t>
      </w:r>
    </w:p>
    <w:p w14:paraId="3DBCFE0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根据需求，可通过问答方式由AI助教提供智能化资源推荐，通过关键词识别，智能化挖掘呈现相关联学术资源，包含期刊、图书等内容，助力学生复习相关知识、扩展学习的深度与广度。</w:t>
      </w:r>
    </w:p>
    <w:p w14:paraId="3DBCFE1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9.文献阅读</w:t>
      </w:r>
    </w:p>
    <w:p w14:paraId="3DBCFE1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根据原文内容支持随机生成并显示默认问题，可通过点击默认问题或自定义输入问题查看回复，平台通过匹配向量之间的相似性，支持文字、表格等多种输出格式；</w:t>
      </w:r>
    </w:p>
    <w:p w14:paraId="3DBCFE1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▲支持点击词云查看人物、机构、地名在原文出现次数、页码以及原文信息，快速了解原文的重点和主题；(提供平台功能截图)</w:t>
      </w:r>
    </w:p>
    <w:p w14:paraId="3DBCFE1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通过对于原文的分析，支持按照章节提取关键信息，生成摘要列表；</w:t>
      </w:r>
    </w:p>
    <w:p w14:paraId="3DBCFE1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通过对于原文的分析将复杂的概念和关系可视化，支持按照脑图或markdown格式切换查看，帮助知识整理和信息归纳；</w:t>
      </w:r>
    </w:p>
    <w:p w14:paraId="3DBCFE1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通过对原文的分析，支持按照章节查看系统生成的相关试题，试题可以章节为维度进行筛选，生成的试题均为本章节相关内容试题；</w:t>
      </w:r>
    </w:p>
    <w:p w14:paraId="3DBCFE1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支持原文在线预览，支持目录检索、全文检索。</w:t>
      </w:r>
    </w:p>
    <w:p w14:paraId="3DBCFE1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10.视频理解</w:t>
      </w:r>
    </w:p>
    <w:p w14:paraId="3DBCFE1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支持自定义上传视频，AI智能分析生成“智能速览”，总结视频摘要、片段摘要。</w:t>
      </w:r>
    </w:p>
    <w:p w14:paraId="3DBCFE1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智能分析视频中的发言人，按发言人统计发言百分比、发言段落，以时间轴形式展示。</w:t>
      </w:r>
    </w:p>
    <w:p w14:paraId="3DBCFE1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根据视频随机生成问题，可通过点击默认问题或自定义输入问题开展机器问答，平台通过匹配向量之间的相似性；</w:t>
      </w:r>
    </w:p>
    <w:p w14:paraId="3DBCFE1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点击词云查看实体出现次数、时间段以及视频文本信息，快速了解视频的重点和主题；通过对于视频的片段分析将复杂的概念和关系可视化，支持按照脑图或markdown格式切换查看，帮助知识整理和信息归纳；(提供平台功能截图)</w:t>
      </w:r>
    </w:p>
    <w:p w14:paraId="3DBCFE1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通过对视频片段的分析，支持按照片段查看系统生成的相关试题，生成的试题均为本视频相关内容试题。</w:t>
      </w:r>
    </w:p>
    <w:p w14:paraId="3DBCFE1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智能生成视频字幕，随视频播放自动轮播，支持对字幕内容二次编辑。</w:t>
      </w:r>
    </w:p>
    <w:p w14:paraId="3DBCFE1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11.章节内容智能审查与文本纠错</w:t>
      </w:r>
    </w:p>
    <w:p w14:paraId="3DBCFE1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支持实现文字自动校对，包括错字、漏字、缺字、多字、语法、错误、语义错误等都可以实现自动校对标注。</w:t>
      </w:r>
    </w:p>
    <w:p w14:paraId="3DBCFE2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12.作业智能查重</w:t>
      </w:r>
    </w:p>
    <w:p w14:paraId="3DBCFE2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★支持智能查重，支持班级内学生与学生作业查重，也支持与校外的图书、报纸、期刊、网络文档等多种文献类型进行查重。（现场演示）</w:t>
      </w:r>
    </w:p>
    <w:p w14:paraId="3DBCFE2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支持选择不同的比对库，包含全部全文比对库、图书全文比对库、非图书全文比对库、法律法规比对库、自建库选择进行检测。</w:t>
      </w:r>
    </w:p>
    <w:p w14:paraId="3DBCFE2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每万字的检测需在数秒内完成，并在10分钟内提供检测报告；</w:t>
      </w:r>
    </w:p>
    <w:p w14:paraId="3DBCFE2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支持30M以上的TXT、DOC、PDF、DOCX、ZIP、RAR多种格式以及非加密文档的上传检测；支持ZIP、RAR压缩包形式上传（大小需在50M以内）；</w:t>
      </w:r>
    </w:p>
    <w:p w14:paraId="3DBCFE2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支持点击选择文件上传文档或者将50字以上、1万字以下的文本直接粘贴到文本框中进行检测；</w:t>
      </w:r>
    </w:p>
    <w:p w14:paraId="3DBCFE2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支持根据上传的检测文献生成检测报告，支持查看在线报告，也支持批量下载全部检测报告、批量下载PDF报告；</w:t>
      </w:r>
    </w:p>
    <w:p w14:paraId="3DBCFE2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▲用户可下载PDF报告（简结报告、全文检测报告）和HTML报告（综合评估、相似片段、全文对比）进行查看和打印，（PDF报告和HTML报告均提供相似度检测专用印章）；(提供平台功能截图)</w:t>
      </w:r>
    </w:p>
    <w:p w14:paraId="3DBCFE2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▲支持按文献类型查看典型相似图书列表、典型相似报纸列表、典型相似期刊列表、典型相似网络文档列表，支持在检测结果中，单独查看两两文献的比对结果。(提供平台功能截图)</w:t>
      </w:r>
    </w:p>
    <w:p w14:paraId="3DBCFE2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支持查看最密集相似段、密集相似段、非密集相似段；</w:t>
      </w:r>
    </w:p>
    <w:p w14:paraId="3DBCFE2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13.视频智能分析</w:t>
      </w:r>
    </w:p>
    <w:p w14:paraId="3DBCFE2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1）对课程建设系统中的视频进行智能分析，自动匹配课程中的知识点，并在视频对应的时间点进行自动打点</w:t>
      </w:r>
    </w:p>
    <w:p w14:paraId="3DBCFE2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2）基于人工智能技术生成知识点词云分析并展示</w:t>
      </w:r>
    </w:p>
    <w:p w14:paraId="3DBCFE2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3）支持视频播放时学生可以定位到时间点观看对应知识点的视频讲解。</w:t>
      </w:r>
    </w:p>
    <w:p w14:paraId="3DBCFE2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14.智能翻译</w:t>
      </w:r>
    </w:p>
    <w:p w14:paraId="3DBCFE2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支持用户自行上传文件进行双语翻译（文件至少为10MB内无加密PDF文件）。</w:t>
      </w:r>
    </w:p>
    <w:p w14:paraId="3DBCFE3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支持单语切换：一键切换阅读模式。在开启“同步滑动”的情况下，实现页面同步跳转，方便阅读；</w:t>
      </w:r>
    </w:p>
    <w:p w14:paraId="3DBCFE3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支持查词定位：原文、译文阅读界面均支持文章内容的精准查找定位，支持高亮显示和大小写区分，方便用户通过关键词快速检索文章内容；</w:t>
      </w:r>
    </w:p>
    <w:p w14:paraId="3DBCFE3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支持页码定位：支持用户通过上下滑动进行定位，同时支持输入页码调试定位；</w:t>
      </w:r>
    </w:p>
    <w:p w14:paraId="3DBCFE3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支持调整阅读比例：支持自动缩放、实际大小、适合页宽以及100%、125%、150%的页面调整；</w:t>
      </w:r>
    </w:p>
    <w:p w14:paraId="3DBCFE3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支持开启划词翻译功能，选中原文、译文文本并翻译；</w:t>
      </w:r>
    </w:p>
    <w:p w14:paraId="3DBCFE3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支持演示（全屏）模式。</w:t>
      </w:r>
    </w:p>
    <w:p w14:paraId="3DBCFE3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PDF文件上传翻译，可以由英文、日文、韩文、法文、德文翻译为中文，支持10M、100页以内的PDF文档，支持查看翻译中状态，如原语言/目标语言、翻译时间、文件大小。支持阅读翻译结果对照显示模式和演示模式，支持按关键字搜索，全亮显示或者区分大小写。支持划词翻译，滑动对照显示窗口时，原文和译文同步滑动。（现场演示）</w:t>
      </w:r>
    </w:p>
    <w:p w14:paraId="3DBCFE3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15.公式识别</w:t>
      </w:r>
    </w:p>
    <w:p w14:paraId="3DBCFE3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教师录入公式后，系统自动将图片公式分析出来并可转换为latex公式。</w:t>
      </w:r>
    </w:p>
    <w:p w14:paraId="3DBCFE3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16.AI实践</w:t>
      </w:r>
    </w:p>
    <w:p w14:paraId="3DBCFE3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基于AI技术的AI实践平台支持教师进行多维实践任务设计：既可构建高拟真临床诊疗场景、心理干预案例等角色模拟训练，亦可针对学生提交的实验作品进行评估。通过多模态数据采集与分析，实现对学生实践成果的自动化评估与智能反馈。（提供平台功能截图及使用案例截图）</w:t>
      </w:r>
    </w:p>
    <w:p w14:paraId="3DBCFE3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（六）学情分析</w:t>
      </w:r>
    </w:p>
    <w:p w14:paraId="3DBCFE3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1.学情统计&amp;图谱统计</w:t>
      </w:r>
    </w:p>
    <w:p w14:paraId="3DBCFE3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支持用户能深入分析学习情况和图谱数据，以优化教学和学习策略</w:t>
      </w:r>
    </w:p>
    <w:p w14:paraId="3DBCFE3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支持探索每个知识点在班级中的平均表现，并在不同班级间轻松切换，以获得全面的视角</w:t>
      </w:r>
    </w:p>
    <w:p w14:paraId="3DBCFE3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支持将学情统计的快照保存为图像，便于回顾和分享</w:t>
      </w:r>
    </w:p>
    <w:p w14:paraId="3DBCFE4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支持在学情统计中检索节点，帮助用户快速定位特定节点的完成率/掌握率</w:t>
      </w:r>
    </w:p>
    <w:p w14:paraId="3DBCFE4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图谱统计功能从多维角度对课程的宏观理解、对知识点的深入分析，以及用户自定义的探索路径</w:t>
      </w:r>
    </w:p>
    <w:p w14:paraId="3DBCFE4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课程总览提供了一个多维度的课程视角，包括知识点、资源、任务点、资料和评估活动的统计</w:t>
      </w:r>
    </w:p>
    <w:p w14:paraId="3DBCFE4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▲课程总览支持创意的词云形式，展示学习中的热门知识点，直观地反映学习的重点和热点(提供平台功能截图)</w:t>
      </w:r>
    </w:p>
    <w:p w14:paraId="3DBCFE4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知识点学习情况分析通过图形化的方式，提供班级学习的整体视图，包括完成率和掌握率</w:t>
      </w:r>
    </w:p>
    <w:p w14:paraId="3DBCFE4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支持对知识点掌握情况深入分析，同时展示学生知识点掌握率和知识点完成率的前五名，以此突显学习成效的佼佼者</w:t>
      </w:r>
    </w:p>
    <w:p w14:paraId="3DBCFE4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支持全面审视所有学生的数据，提供两种不同的视角来观察这些数据：从知识点出发或从学生个体出发</w:t>
      </w:r>
    </w:p>
    <w:p w14:paraId="3DBCFE4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按知识点统计支持展示每个知识点关联学习资源、班级平均掌握率、班级平均完成率、关联资料数、课程资料人均阅读数，同时支持查看该知识点详情页面</w:t>
      </w:r>
    </w:p>
    <w:p w14:paraId="3DBCFE4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通过知识图谱的形式，用颜色区分来展示知识点的完成度和掌握度，让数据的呈现更加生动和直观</w:t>
      </w:r>
    </w:p>
    <w:p w14:paraId="3DBCFE4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从学生个体的视角，支持提供了包含基本信息和学习表现的综合视图</w:t>
      </w:r>
    </w:p>
    <w:p w14:paraId="3DBCFE4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支持按人统计点击学生详情，提供列表和知识图谱两种形式，展示每个知识点的完成情况，包括完成率和掌握率</w:t>
      </w:r>
    </w:p>
    <w:p w14:paraId="3DBCFE4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2.知识点统计</w:t>
      </w:r>
    </w:p>
    <w:p w14:paraId="3DBCFE4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分类卡片综合展示关键信息，如标题、描述、知识点及其资源和标签概览，提供非任务点与任务点的数量统计</w:t>
      </w:r>
    </w:p>
    <w:p w14:paraId="3DBCFE4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用户可通过点击卡片进入详情页面，页面细分为六个核心部分，全面覆盖分类的各个方面</w:t>
      </w:r>
    </w:p>
    <w:p w14:paraId="3DBCFE4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分类简介与导航提供分类的标题和说明，并允许用户在同层级分类间轻松切换，以促进不同分类间的比较和对照</w:t>
      </w:r>
    </w:p>
    <w:p w14:paraId="3DBCFE4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知识点与资源关联展示知识点数量及其关联的资源总数，揭示知识点的内容丰富度</w:t>
      </w:r>
    </w:p>
    <w:p w14:paraId="3DBCFE5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知识点微课入口支持以列表形式展示知识点标签，并允许一键跳转至相关微课，增强学习的直接性和便捷性</w:t>
      </w:r>
    </w:p>
    <w:p w14:paraId="3DBCFE5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知识点标签支持展示分类下所有知识点的标签数量，包括考点、重点和难点，以助于用户识别关键学习领域</w:t>
      </w:r>
    </w:p>
    <w:p w14:paraId="3DBCFE5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支持利用饼图展示子级知识点的不同属性分类，如事实性、概念性等，以视觉化手段辅助理解</w:t>
      </w:r>
    </w:p>
    <w:p w14:paraId="3DBCFE5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知识点建设情况支持通过水位图展示知识点资源的关联情况，反映知识点的建设进度</w:t>
      </w:r>
    </w:p>
    <w:p w14:paraId="3DBCFE5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知识点建设情况支持以柱状图形式展示每个知识点的关联资源数量，提供资源分配的视觉比较</w:t>
      </w:r>
    </w:p>
    <w:p w14:paraId="3DBCFE5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支持以班级为单位，展示不同班级之间的知识点平均掌握率和知识点平均完成率，反映学习成效和掌握程度</w:t>
      </w:r>
    </w:p>
    <w:p w14:paraId="3DBCFE5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支持展示分类资源归属并将关联分类的资源归纳至列表，同时按章节、作业/考试、课程资料等板块进行展示</w:t>
      </w:r>
    </w:p>
    <w:p w14:paraId="3DBCFE5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支持展示班级资源差异化视图，展示不同班级的专属资源，并允许用户根据班级切换视图，以适应不同教学需求</w:t>
      </w:r>
    </w:p>
    <w:p w14:paraId="3DBCFE58">
      <w:pPr>
        <w:autoSpaceDE w:val="0"/>
        <w:autoSpaceDN w:val="0"/>
        <w:spacing w:line="360" w:lineRule="auto"/>
        <w:ind w:firstLine="420"/>
        <w:rPr>
          <w:rFonts w:hint="eastAsia"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3DBCFE5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（1）技术培训：为采购方进行人员培训，提供每年不少于 </w:t>
      </w:r>
      <w:r>
        <w:rPr>
          <w:rFonts w:hint="eastAsia" w:ascii="宋体" w:hAnsi="宋体" w:eastAsia="宋体" w:cs="宋体"/>
          <w:color w:val="auto"/>
          <w:sz w:val="24"/>
          <w:szCs w:val="24"/>
        </w:rPr>
        <w:t xml:space="preserve">3 </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 xml:space="preserve">不低于 </w:t>
      </w:r>
      <w:r>
        <w:rPr>
          <w:rFonts w:hint="eastAsia" w:ascii="宋体" w:hAnsi="宋体" w:eastAsia="宋体" w:cs="宋体"/>
          <w:color w:val="auto"/>
          <w:sz w:val="24"/>
          <w:szCs w:val="24"/>
        </w:rPr>
        <w:t xml:space="preserve">10 </w:t>
      </w:r>
      <w:r>
        <w:rPr>
          <w:rFonts w:hint="eastAsia" w:ascii="宋体" w:hAnsi="宋体" w:eastAsia="宋体" w:cs="宋体"/>
          <w:color w:val="auto"/>
          <w:sz w:val="24"/>
          <w:szCs w:val="24"/>
          <w:lang w:val="zh-CN"/>
        </w:rPr>
        <w:t>人。</w:t>
      </w:r>
    </w:p>
    <w:p w14:paraId="3DBCFE5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质保期3年，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3DBCFE5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24</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1天内</w:t>
      </w:r>
      <w:r>
        <w:rPr>
          <w:rFonts w:hint="eastAsia" w:ascii="宋体" w:hAnsi="宋体" w:eastAsia="宋体" w:cs="宋体"/>
          <w:color w:val="auto"/>
          <w:sz w:val="24"/>
          <w:szCs w:val="24"/>
          <w:lang w:val="zh-CN"/>
        </w:rPr>
        <w:t>解决。</w:t>
      </w:r>
    </w:p>
    <w:p w14:paraId="3DBCFE5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3DBCFE5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3DBCFE5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3DBCFE5F">
      <w:pPr>
        <w:autoSpaceDE w:val="0"/>
        <w:autoSpaceDN w:val="0"/>
        <w:spacing w:line="360" w:lineRule="auto"/>
        <w:ind w:firstLine="420"/>
        <w:rPr>
          <w:rFonts w:hint="eastAsia"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3DBCFE6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交货期：合同签订后</w:t>
      </w:r>
      <w:r>
        <w:rPr>
          <w:rFonts w:hint="eastAsia" w:ascii="宋体" w:hAnsi="宋体" w:eastAsia="宋体" w:cs="宋体"/>
          <w:color w:val="auto"/>
          <w:sz w:val="24"/>
          <w:szCs w:val="24"/>
        </w:rPr>
        <w:t>护理学专业图谱及智慧课程</w:t>
      </w:r>
      <w:r>
        <w:rPr>
          <w:rFonts w:hint="eastAsia" w:ascii="宋体" w:hAnsi="宋体" w:eastAsia="宋体" w:cs="宋体"/>
          <w:color w:val="auto"/>
          <w:sz w:val="24"/>
          <w:szCs w:val="24"/>
          <w:lang w:val="zh-CN"/>
        </w:rPr>
        <w:t>需在180天内交付。</w:t>
      </w:r>
    </w:p>
    <w:p w14:paraId="3DBCFE6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3DBCFE6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3DBCFE63">
      <w:pPr>
        <w:autoSpaceDE w:val="0"/>
        <w:autoSpaceDN w:val="0"/>
        <w:spacing w:line="360" w:lineRule="auto"/>
        <w:ind w:firstLine="420"/>
        <w:rPr>
          <w:rFonts w:hint="eastAsia"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3DBCFE6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3DBCFE6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243A54C5">
      <w:pPr>
        <w:autoSpaceDE w:val="0"/>
        <w:autoSpaceDN w:val="0"/>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3、本项目需按照《南京医科大学信息化项目建设要求（2025版）》执行。</w:t>
      </w:r>
    </w:p>
    <w:p w14:paraId="3DBCFE66">
      <w:pPr>
        <w:autoSpaceDE w:val="0"/>
        <w:autoSpaceDN w:val="0"/>
        <w:spacing w:line="360" w:lineRule="auto"/>
        <w:ind w:firstLine="420"/>
        <w:rPr>
          <w:rFonts w:hint="eastAsia"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3DBCFE67">
      <w:pPr>
        <w:pStyle w:val="14"/>
        <w:spacing w:before="120" w:after="120" w:line="360" w:lineRule="auto"/>
        <w:ind w:firstLine="480" w:firstLineChars="200"/>
        <w:rPr>
          <w:rFonts w:hint="eastAsia" w:hAnsi="宋体" w:eastAsia="宋体"/>
          <w:color w:val="auto"/>
          <w:sz w:val="24"/>
          <w:szCs w:val="28"/>
        </w:rPr>
      </w:pPr>
      <w:bookmarkStart w:id="48" w:name="_Toc401414769"/>
      <w:r>
        <w:rPr>
          <w:rFonts w:hint="eastAsia" w:hAnsi="宋体" w:eastAsia="宋体"/>
          <w:color w:val="auto"/>
          <w:sz w:val="24"/>
          <w:szCs w:val="28"/>
        </w:rPr>
        <w:t>货物交付、安装、调试且通过验收</w:t>
      </w:r>
      <w:r>
        <w:rPr>
          <w:rFonts w:hint="eastAsia" w:hAnsi="宋体" w:eastAsia="宋体" w:cs="宋体"/>
          <w:color w:val="auto"/>
          <w:sz w:val="24"/>
          <w:szCs w:val="24"/>
        </w:rPr>
        <w:t>后合格一周内甲方支付合同总金额的90</w:t>
      </w:r>
      <w:r>
        <w:rPr>
          <w:rFonts w:hint="eastAsia" w:hAnsi="宋体" w:eastAsia="宋体" w:cs="宋体"/>
          <w:b/>
          <w:color w:val="auto"/>
          <w:sz w:val="24"/>
          <w:szCs w:val="24"/>
        </w:rPr>
        <w:t>%</w:t>
      </w:r>
      <w:r>
        <w:rPr>
          <w:rFonts w:hint="eastAsia" w:hAnsi="宋体" w:eastAsia="宋体" w:cs="宋体"/>
          <w:color w:val="auto"/>
          <w:sz w:val="24"/>
          <w:szCs w:val="24"/>
        </w:rPr>
        <w:t>，付款之前需收到乙方开具的合法有效的</w:t>
      </w:r>
      <w:r>
        <w:rPr>
          <w:rFonts w:hint="eastAsia" w:hAnsi="宋体" w:eastAsia="宋体" w:cs="宋体"/>
          <w:b/>
          <w:color w:val="auto"/>
          <w:sz w:val="24"/>
          <w:szCs w:val="24"/>
        </w:rPr>
        <w:t>相应发票。</w:t>
      </w:r>
      <w:r>
        <w:rPr>
          <w:rFonts w:hint="eastAsia" w:hAnsi="宋体" w:eastAsia="宋体" w:cs="宋体"/>
          <w:color w:val="auto"/>
          <w:sz w:val="24"/>
          <w:szCs w:val="24"/>
        </w:rPr>
        <w:t>甲方正常使用满一年后的一周内，支付剩余合同总金额的10%。</w:t>
      </w:r>
    </w:p>
    <w:p w14:paraId="3DBCFE69">
      <w:pPr>
        <w:pStyle w:val="2"/>
        <w:rPr>
          <w:rFonts w:hint="eastAsia" w:asciiTheme="majorEastAsia" w:hAnsiTheme="majorEastAsia" w:eastAsiaTheme="majorEastAsia"/>
          <w:b/>
          <w:color w:val="auto"/>
          <w:szCs w:val="32"/>
        </w:rPr>
      </w:pPr>
    </w:p>
    <w:p w14:paraId="3DBCFE6A">
      <w:pPr>
        <w:pStyle w:val="2"/>
        <w:pageBreakBefore/>
        <w:rPr>
          <w:rFonts w:hint="eastAsia"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3DBCFE6B">
      <w:pPr>
        <w:rPr>
          <w:color w:val="auto"/>
        </w:rPr>
      </w:pPr>
    </w:p>
    <w:p w14:paraId="3DBCFE6C">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一、评标方法</w:t>
      </w:r>
    </w:p>
    <w:p w14:paraId="3DBCFE6D">
      <w:pPr>
        <w:pStyle w:val="34"/>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3DBCFE6E">
      <w:pPr>
        <w:pStyle w:val="34"/>
        <w:rPr>
          <w:rFonts w:hint="eastAsia"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53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59"/>
        <w:gridCol w:w="6785"/>
        <w:gridCol w:w="654"/>
      </w:tblGrid>
      <w:tr w14:paraId="3DBC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3DBCFE6F">
            <w:pPr>
              <w:spacing w:line="400" w:lineRule="exact"/>
              <w:jc w:val="center"/>
              <w:rPr>
                <w:rFonts w:hint="eastAsia"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473" w:type="pct"/>
            <w:tcBorders>
              <w:top w:val="single" w:color="auto" w:sz="4" w:space="0"/>
              <w:left w:val="single" w:color="auto" w:sz="4" w:space="0"/>
              <w:bottom w:val="single" w:color="auto" w:sz="4" w:space="0"/>
              <w:right w:val="single" w:color="auto" w:sz="4" w:space="0"/>
            </w:tcBorders>
            <w:vAlign w:val="center"/>
          </w:tcPr>
          <w:p w14:paraId="3DBCFE70">
            <w:pPr>
              <w:spacing w:line="400" w:lineRule="exact"/>
              <w:jc w:val="center"/>
              <w:rPr>
                <w:rFonts w:hint="eastAsia" w:ascii="宋体" w:hAnsi="宋体" w:cs="宋体"/>
                <w:b/>
                <w:color w:val="auto"/>
                <w:sz w:val="24"/>
              </w:rPr>
            </w:pPr>
            <w:r>
              <w:rPr>
                <w:rFonts w:hint="eastAsia" w:ascii="宋体" w:hAnsi="宋体" w:cs="宋体"/>
                <w:b/>
                <w:color w:val="auto"/>
                <w:sz w:val="24"/>
              </w:rPr>
              <w:t>评分项目</w:t>
            </w:r>
          </w:p>
        </w:tc>
        <w:tc>
          <w:tcPr>
            <w:tcW w:w="3736" w:type="pct"/>
            <w:tcBorders>
              <w:top w:val="single" w:color="auto" w:sz="4" w:space="0"/>
              <w:left w:val="single" w:color="auto" w:sz="4" w:space="0"/>
              <w:bottom w:val="single" w:color="auto" w:sz="4" w:space="0"/>
              <w:right w:val="single" w:color="auto" w:sz="4" w:space="0"/>
            </w:tcBorders>
            <w:vAlign w:val="center"/>
          </w:tcPr>
          <w:p w14:paraId="3DBCFE71">
            <w:pPr>
              <w:spacing w:line="400" w:lineRule="exact"/>
              <w:jc w:val="center"/>
              <w:rPr>
                <w:rFonts w:hint="eastAsia" w:ascii="宋体" w:hAnsi="宋体" w:cs="宋体"/>
                <w:b/>
                <w:color w:val="auto"/>
                <w:sz w:val="24"/>
              </w:rPr>
            </w:pPr>
            <w:r>
              <w:rPr>
                <w:rFonts w:hint="eastAsia" w:ascii="宋体" w:hAnsi="宋体" w:cs="宋体"/>
                <w:b/>
                <w:color w:val="auto"/>
                <w:sz w:val="24"/>
              </w:rPr>
              <w:t>评分标准及细则</w:t>
            </w:r>
          </w:p>
        </w:tc>
        <w:tc>
          <w:tcPr>
            <w:tcW w:w="360" w:type="pct"/>
            <w:tcBorders>
              <w:top w:val="single" w:color="auto" w:sz="4" w:space="0"/>
              <w:left w:val="single" w:color="auto" w:sz="4" w:space="0"/>
              <w:bottom w:val="single" w:color="auto" w:sz="4" w:space="0"/>
              <w:right w:val="single" w:color="auto" w:sz="4" w:space="0"/>
            </w:tcBorders>
            <w:vAlign w:val="center"/>
          </w:tcPr>
          <w:p w14:paraId="3DBCFE72">
            <w:pPr>
              <w:spacing w:line="400" w:lineRule="exact"/>
              <w:jc w:val="center"/>
              <w:rPr>
                <w:rFonts w:hint="eastAsia" w:ascii="宋体" w:hAnsi="宋体" w:cs="宋体"/>
                <w:b/>
                <w:color w:val="auto"/>
                <w:sz w:val="24"/>
              </w:rPr>
            </w:pPr>
            <w:r>
              <w:rPr>
                <w:rFonts w:hint="eastAsia" w:ascii="宋体" w:hAnsi="宋体" w:cs="宋体"/>
                <w:b/>
                <w:color w:val="auto"/>
                <w:sz w:val="24"/>
              </w:rPr>
              <w:t>分值</w:t>
            </w:r>
          </w:p>
        </w:tc>
      </w:tr>
      <w:tr w14:paraId="3DBC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3DBCFE74">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473" w:type="pct"/>
            <w:tcBorders>
              <w:top w:val="single" w:color="auto" w:sz="4" w:space="0"/>
              <w:left w:val="single" w:color="auto" w:sz="4" w:space="0"/>
              <w:bottom w:val="single" w:color="auto" w:sz="4" w:space="0"/>
              <w:right w:val="single" w:color="auto" w:sz="4" w:space="0"/>
            </w:tcBorders>
            <w:vAlign w:val="center"/>
          </w:tcPr>
          <w:p w14:paraId="3DBCFE75">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736" w:type="pct"/>
            <w:tcBorders>
              <w:top w:val="single" w:color="auto" w:sz="4" w:space="0"/>
              <w:left w:val="single" w:color="auto" w:sz="4" w:space="0"/>
              <w:bottom w:val="single" w:color="auto" w:sz="4" w:space="0"/>
              <w:right w:val="single" w:color="auto" w:sz="4" w:space="0"/>
            </w:tcBorders>
            <w:vAlign w:val="center"/>
          </w:tcPr>
          <w:p w14:paraId="3DBCFE76">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价格分采用低价优先法计算，即满足采购文件要求且报价最低的投标人的最终报价为评审基准价，其价格分为满分10分，其它投标人的价格分统一按照以下公式计算：</w:t>
            </w:r>
          </w:p>
          <w:p w14:paraId="3DBCFE77">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报价得分=(评审基准价/该投标人的最终报价)×10分。</w:t>
            </w:r>
          </w:p>
        </w:tc>
        <w:tc>
          <w:tcPr>
            <w:tcW w:w="360" w:type="pct"/>
            <w:tcBorders>
              <w:top w:val="single" w:color="auto" w:sz="4" w:space="0"/>
              <w:left w:val="single" w:color="auto" w:sz="4" w:space="0"/>
              <w:bottom w:val="single" w:color="auto" w:sz="4" w:space="0"/>
              <w:right w:val="single" w:color="auto" w:sz="4" w:space="0"/>
            </w:tcBorders>
            <w:vAlign w:val="center"/>
          </w:tcPr>
          <w:p w14:paraId="3DBCFE78">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p>
        </w:tc>
      </w:tr>
      <w:tr w14:paraId="3DBC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29" w:type="pct"/>
            <w:tcBorders>
              <w:left w:val="single" w:color="auto" w:sz="4" w:space="0"/>
              <w:right w:val="single" w:color="auto" w:sz="4" w:space="0"/>
            </w:tcBorders>
            <w:vAlign w:val="center"/>
          </w:tcPr>
          <w:p w14:paraId="3DBCFE7A">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473" w:type="pct"/>
            <w:tcBorders>
              <w:left w:val="single" w:color="auto" w:sz="4" w:space="0"/>
              <w:right w:val="single" w:color="auto" w:sz="4" w:space="0"/>
            </w:tcBorders>
            <w:vAlign w:val="center"/>
          </w:tcPr>
          <w:p w14:paraId="3DBCFE7B">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736" w:type="pct"/>
            <w:tcBorders>
              <w:top w:val="single" w:color="auto" w:sz="4" w:space="0"/>
              <w:left w:val="single" w:color="auto" w:sz="4" w:space="0"/>
              <w:bottom w:val="single" w:color="auto" w:sz="4" w:space="0"/>
              <w:right w:val="single" w:color="auto" w:sz="4" w:space="0"/>
            </w:tcBorders>
            <w:vAlign w:val="center"/>
          </w:tcPr>
          <w:p w14:paraId="3DBCFE7C">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投标人对招标文件具体项目需求的响应程度：全部响应即满足招标文件的技术指标、参数及服务要求的得20分，加“▲”为实质性需求参数，有一项不满足视为无效投标，其他参数每一条负偏离扣0.2分扣完为止。</w:t>
            </w:r>
          </w:p>
          <w:p w14:paraId="3DBCFE7D">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该项得分为0的投标为无效投标。</w:t>
            </w:r>
          </w:p>
        </w:tc>
        <w:tc>
          <w:tcPr>
            <w:tcW w:w="360" w:type="pct"/>
            <w:tcBorders>
              <w:top w:val="single" w:color="auto" w:sz="4" w:space="0"/>
              <w:left w:val="single" w:color="auto" w:sz="4" w:space="0"/>
              <w:bottom w:val="single" w:color="auto" w:sz="4" w:space="0"/>
              <w:right w:val="single" w:color="auto" w:sz="4" w:space="0"/>
            </w:tcBorders>
            <w:vAlign w:val="center"/>
          </w:tcPr>
          <w:p w14:paraId="3DBCFE7E">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20</w:t>
            </w:r>
          </w:p>
        </w:tc>
      </w:tr>
      <w:tr w14:paraId="3DBC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29" w:type="pct"/>
            <w:tcBorders>
              <w:left w:val="single" w:color="auto" w:sz="4" w:space="0"/>
              <w:right w:val="single" w:color="auto" w:sz="4" w:space="0"/>
            </w:tcBorders>
            <w:vAlign w:val="center"/>
          </w:tcPr>
          <w:p w14:paraId="3DBCFE80">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473" w:type="pct"/>
            <w:tcBorders>
              <w:left w:val="single" w:color="auto" w:sz="4" w:space="0"/>
              <w:right w:val="single" w:color="auto" w:sz="4" w:space="0"/>
            </w:tcBorders>
            <w:vAlign w:val="center"/>
          </w:tcPr>
          <w:p w14:paraId="3DBCFE81">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技术需求</w:t>
            </w:r>
          </w:p>
        </w:tc>
        <w:tc>
          <w:tcPr>
            <w:tcW w:w="3736" w:type="pct"/>
            <w:tcBorders>
              <w:top w:val="single" w:color="auto" w:sz="4" w:space="0"/>
              <w:left w:val="single" w:color="auto" w:sz="4" w:space="0"/>
              <w:bottom w:val="single" w:color="auto" w:sz="4" w:space="0"/>
              <w:right w:val="single" w:color="auto" w:sz="4" w:space="0"/>
            </w:tcBorders>
            <w:vAlign w:val="center"/>
          </w:tcPr>
          <w:p w14:paraId="3DBCFE82">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投标人按照招标文件中对标有“★”的10项技术需求内容进行演示，演示内容全部符合要求的得20分；每有一项内容与要求不符或未演示的扣2分，扣完为止。</w:t>
            </w:r>
          </w:p>
          <w:p w14:paraId="3DBCFE83">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需使用所投型号真实服务产品进行演示。每项演示必须展示前后页面跳转，否则不得分。静态页面演示或PPT演示或原型图演示不得分。投标人自行携带演示设备进行演示，每个投标人演示时间15分钟。</w:t>
            </w:r>
          </w:p>
        </w:tc>
        <w:tc>
          <w:tcPr>
            <w:tcW w:w="360" w:type="pct"/>
            <w:tcBorders>
              <w:top w:val="single" w:color="auto" w:sz="4" w:space="0"/>
              <w:left w:val="single" w:color="auto" w:sz="4" w:space="0"/>
              <w:bottom w:val="single" w:color="auto" w:sz="4" w:space="0"/>
              <w:right w:val="single" w:color="auto" w:sz="4" w:space="0"/>
            </w:tcBorders>
            <w:vAlign w:val="center"/>
          </w:tcPr>
          <w:p w14:paraId="3DBCFE84">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20</w:t>
            </w:r>
          </w:p>
        </w:tc>
      </w:tr>
      <w:tr w14:paraId="3DBC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29" w:type="pct"/>
            <w:tcBorders>
              <w:left w:val="single" w:color="auto" w:sz="4" w:space="0"/>
              <w:right w:val="single" w:color="auto" w:sz="4" w:space="0"/>
            </w:tcBorders>
            <w:vAlign w:val="center"/>
          </w:tcPr>
          <w:p w14:paraId="3DBCFE86">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c>
          <w:tcPr>
            <w:tcW w:w="473" w:type="pct"/>
            <w:tcBorders>
              <w:left w:val="single" w:color="auto" w:sz="4" w:space="0"/>
              <w:right w:val="single" w:color="auto" w:sz="4" w:space="0"/>
            </w:tcBorders>
            <w:vAlign w:val="center"/>
          </w:tcPr>
          <w:p w14:paraId="3DBCFE87">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项目技术方案</w:t>
            </w:r>
          </w:p>
        </w:tc>
        <w:tc>
          <w:tcPr>
            <w:tcW w:w="3736" w:type="pct"/>
            <w:tcBorders>
              <w:top w:val="single" w:color="auto" w:sz="4" w:space="0"/>
              <w:left w:val="single" w:color="auto" w:sz="4" w:space="0"/>
              <w:bottom w:val="single" w:color="auto" w:sz="4" w:space="0"/>
              <w:right w:val="single" w:color="auto" w:sz="4" w:space="0"/>
            </w:tcBorders>
            <w:vAlign w:val="center"/>
          </w:tcPr>
          <w:p w14:paraId="3DBCFE88">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提供项目技术方案（包括系统架构、系统功能模块、技术保障能力等）。方案整体设计针对性强，完全满足采购人项目建设需求，得15分；方案整体设计可行，基本满足（略有欠缺，不影响采购人使用的）采购人项目需求，得10分；方案整体设计可行性差，不能完全满足采购人项目建设需要，得6分；不提供不得分。</w:t>
            </w:r>
          </w:p>
        </w:tc>
        <w:tc>
          <w:tcPr>
            <w:tcW w:w="360" w:type="pct"/>
            <w:tcBorders>
              <w:top w:val="single" w:color="auto" w:sz="4" w:space="0"/>
              <w:left w:val="single" w:color="auto" w:sz="4" w:space="0"/>
              <w:bottom w:val="single" w:color="auto" w:sz="4" w:space="0"/>
              <w:right w:val="single" w:color="auto" w:sz="4" w:space="0"/>
            </w:tcBorders>
            <w:vAlign w:val="center"/>
          </w:tcPr>
          <w:p w14:paraId="3DBCFE89">
            <w:pPr>
              <w:spacing w:line="400" w:lineRule="exact"/>
              <w:jc w:val="center"/>
              <w:textAlignment w:val="center"/>
              <w:rPr>
                <w:rFonts w:hint="eastAsia" w:ascii="宋体" w:hAnsi="宋体" w:eastAsia="宋体" w:cs="宋体"/>
                <w:b/>
                <w:bCs/>
                <w:color w:val="auto"/>
                <w:sz w:val="24"/>
                <w:szCs w:val="24"/>
              </w:rPr>
            </w:pPr>
          </w:p>
          <w:p w14:paraId="3DBCFE8A">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15</w:t>
            </w:r>
          </w:p>
        </w:tc>
      </w:tr>
      <w:tr w14:paraId="3DBC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29" w:type="pct"/>
            <w:tcBorders>
              <w:left w:val="single" w:color="auto" w:sz="4" w:space="0"/>
              <w:right w:val="single" w:color="auto" w:sz="4" w:space="0"/>
            </w:tcBorders>
            <w:vAlign w:val="center"/>
          </w:tcPr>
          <w:p w14:paraId="3DBCFE8C">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c>
          <w:tcPr>
            <w:tcW w:w="473" w:type="pct"/>
            <w:tcBorders>
              <w:left w:val="single" w:color="auto" w:sz="4" w:space="0"/>
              <w:right w:val="single" w:color="auto" w:sz="4" w:space="0"/>
            </w:tcBorders>
            <w:vAlign w:val="center"/>
          </w:tcPr>
          <w:p w14:paraId="3DBCFE8D">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项目实施方案</w:t>
            </w:r>
          </w:p>
        </w:tc>
        <w:tc>
          <w:tcPr>
            <w:tcW w:w="3736" w:type="pct"/>
            <w:tcBorders>
              <w:top w:val="single" w:color="auto" w:sz="4" w:space="0"/>
              <w:left w:val="single" w:color="auto" w:sz="4" w:space="0"/>
              <w:bottom w:val="single" w:color="auto" w:sz="4" w:space="0"/>
              <w:right w:val="single" w:color="auto" w:sz="4" w:space="0"/>
            </w:tcBorders>
            <w:vAlign w:val="center"/>
          </w:tcPr>
          <w:p w14:paraId="3DBCFE8E">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提供项目实施方案（包括项目组织结构、项目实施流程、项目质量控制、验收交付方案等）。技术实施方案完善合理，完全满足采购人实际实施需求，得10分；方案完整详细、可行性强，安排较合理，得7分；方案基本完整、具备一定的可行性，安排基本合理，得5分；不提供不得分。</w:t>
            </w:r>
          </w:p>
        </w:tc>
        <w:tc>
          <w:tcPr>
            <w:tcW w:w="360" w:type="pct"/>
            <w:tcBorders>
              <w:top w:val="single" w:color="auto" w:sz="4" w:space="0"/>
              <w:left w:val="single" w:color="auto" w:sz="4" w:space="0"/>
              <w:bottom w:val="single" w:color="auto" w:sz="4" w:space="0"/>
              <w:right w:val="single" w:color="auto" w:sz="4" w:space="0"/>
            </w:tcBorders>
            <w:vAlign w:val="center"/>
          </w:tcPr>
          <w:p w14:paraId="3DBCFE8F">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p>
        </w:tc>
      </w:tr>
      <w:tr w14:paraId="3DBC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29" w:type="pct"/>
            <w:tcBorders>
              <w:left w:val="single" w:color="auto" w:sz="4" w:space="0"/>
              <w:right w:val="single" w:color="auto" w:sz="4" w:space="0"/>
            </w:tcBorders>
            <w:vAlign w:val="center"/>
          </w:tcPr>
          <w:p w14:paraId="3DBCFE91">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6</w:t>
            </w:r>
          </w:p>
        </w:tc>
        <w:tc>
          <w:tcPr>
            <w:tcW w:w="473" w:type="pct"/>
            <w:tcBorders>
              <w:left w:val="single" w:color="auto" w:sz="4" w:space="0"/>
              <w:right w:val="single" w:color="auto" w:sz="4" w:space="0"/>
            </w:tcBorders>
            <w:vAlign w:val="center"/>
          </w:tcPr>
          <w:p w14:paraId="3DBCFE92">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课程资源</w:t>
            </w:r>
          </w:p>
        </w:tc>
        <w:tc>
          <w:tcPr>
            <w:tcW w:w="3736" w:type="pct"/>
            <w:tcBorders>
              <w:top w:val="single" w:color="auto" w:sz="4" w:space="0"/>
              <w:left w:val="single" w:color="auto" w:sz="4" w:space="0"/>
              <w:bottom w:val="single" w:color="auto" w:sz="4" w:space="0"/>
              <w:right w:val="single" w:color="auto" w:sz="4" w:space="0"/>
            </w:tcBorders>
            <w:vAlign w:val="center"/>
          </w:tcPr>
          <w:p w14:paraId="3DBCFE93">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提供的电子图书、出版社等备课资源的著作权的授权证明(所有知识产权、信息网络传播权纠纷由投标人承担责任)。投标人提供的课程参考引用资源如电子图书、可引用编辑课程须取得著作权人的授权。</w:t>
            </w:r>
          </w:p>
          <w:p w14:paraId="3DBCFE94">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 投标人提供的课程资源多于60份，得8分；</w:t>
            </w:r>
          </w:p>
          <w:p w14:paraId="3DBCFE95">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 投标人提供的课程资源多于40份，不足60份的，得4分；</w:t>
            </w:r>
          </w:p>
          <w:p w14:paraId="3DBCFE96">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 投标人提供的课程资源多于20份，不足40份的，得1分；</w:t>
            </w:r>
          </w:p>
          <w:p w14:paraId="3DBCFE97">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4) 投标人提供的课程资源不足20份的，不得分。</w:t>
            </w:r>
          </w:p>
        </w:tc>
        <w:tc>
          <w:tcPr>
            <w:tcW w:w="360" w:type="pct"/>
            <w:tcBorders>
              <w:top w:val="single" w:color="auto" w:sz="4" w:space="0"/>
              <w:left w:val="single" w:color="auto" w:sz="4" w:space="0"/>
              <w:bottom w:val="single" w:color="auto" w:sz="4" w:space="0"/>
              <w:right w:val="single" w:color="auto" w:sz="4" w:space="0"/>
            </w:tcBorders>
            <w:vAlign w:val="center"/>
          </w:tcPr>
          <w:p w14:paraId="3DBCFE98">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p>
        </w:tc>
      </w:tr>
      <w:tr w14:paraId="3DBC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29" w:type="pct"/>
            <w:tcBorders>
              <w:left w:val="single" w:color="auto" w:sz="4" w:space="0"/>
              <w:right w:val="single" w:color="auto" w:sz="4" w:space="0"/>
            </w:tcBorders>
            <w:vAlign w:val="center"/>
          </w:tcPr>
          <w:p w14:paraId="3DBCFE9A">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7</w:t>
            </w:r>
          </w:p>
        </w:tc>
        <w:tc>
          <w:tcPr>
            <w:tcW w:w="473" w:type="pct"/>
            <w:tcBorders>
              <w:left w:val="single" w:color="auto" w:sz="4" w:space="0"/>
              <w:right w:val="single" w:color="auto" w:sz="4" w:space="0"/>
            </w:tcBorders>
            <w:vAlign w:val="center"/>
          </w:tcPr>
          <w:p w14:paraId="3DBCFE9B">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移动端 APP </w:t>
            </w:r>
          </w:p>
        </w:tc>
        <w:tc>
          <w:tcPr>
            <w:tcW w:w="3736" w:type="pct"/>
            <w:tcBorders>
              <w:top w:val="single" w:color="auto" w:sz="4" w:space="0"/>
              <w:left w:val="single" w:color="auto" w:sz="4" w:space="0"/>
              <w:bottom w:val="single" w:color="auto" w:sz="4" w:space="0"/>
              <w:right w:val="single" w:color="auto" w:sz="4" w:space="0"/>
            </w:tcBorders>
            <w:vAlign w:val="center"/>
          </w:tcPr>
          <w:p w14:paraId="3DBCFE9C">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投标文件中须提供满足要求的唯一移动端APP名称、安卓版本和IOS版本APP上架截图证明、投标人承诺函并加盖投标人公章，能够满足要求的得5分。不满足要求或未按规定提供材料者不得分。</w:t>
            </w:r>
          </w:p>
        </w:tc>
        <w:tc>
          <w:tcPr>
            <w:tcW w:w="360" w:type="pct"/>
            <w:tcBorders>
              <w:top w:val="single" w:color="auto" w:sz="4" w:space="0"/>
              <w:left w:val="single" w:color="auto" w:sz="4" w:space="0"/>
              <w:bottom w:val="single" w:color="auto" w:sz="4" w:space="0"/>
              <w:right w:val="single" w:color="auto" w:sz="4" w:space="0"/>
            </w:tcBorders>
            <w:vAlign w:val="center"/>
          </w:tcPr>
          <w:p w14:paraId="3DBCFE9D">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r>
      <w:tr w14:paraId="3DBC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29" w:type="pct"/>
            <w:tcBorders>
              <w:left w:val="single" w:color="auto" w:sz="4" w:space="0"/>
              <w:right w:val="single" w:color="auto" w:sz="4" w:space="0"/>
            </w:tcBorders>
            <w:vAlign w:val="center"/>
          </w:tcPr>
          <w:p w14:paraId="3DBCFE9F">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p>
        </w:tc>
        <w:tc>
          <w:tcPr>
            <w:tcW w:w="473" w:type="pct"/>
            <w:tcBorders>
              <w:left w:val="single" w:color="auto" w:sz="4" w:space="0"/>
              <w:right w:val="single" w:color="auto" w:sz="4" w:space="0"/>
            </w:tcBorders>
            <w:vAlign w:val="center"/>
          </w:tcPr>
          <w:p w14:paraId="3DBCFEA0">
            <w:pPr>
              <w:tabs>
                <w:tab w:val="left" w:pos="392"/>
              </w:tabs>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售后服务</w:t>
            </w:r>
          </w:p>
        </w:tc>
        <w:tc>
          <w:tcPr>
            <w:tcW w:w="3736" w:type="pct"/>
            <w:tcBorders>
              <w:top w:val="single" w:color="auto" w:sz="4" w:space="0"/>
              <w:left w:val="single" w:color="auto" w:sz="4" w:space="0"/>
              <w:bottom w:val="single" w:color="auto" w:sz="4" w:space="0"/>
              <w:right w:val="single" w:color="auto" w:sz="4" w:space="0"/>
            </w:tcBorders>
            <w:vAlign w:val="center"/>
          </w:tcPr>
          <w:p w14:paraId="3DBCFEA1">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1)售后服务方案有结合项目实际建立相关管理制度、操作规程、应急预案等， 能满足本项目售后服务需要，完全满足或优于招标文件售后服务年限要求， 所提供的售后服务及技术支持服务好，售后服务内容齐全完整，有完整的前后端服务团队和体系支持的，得8分；</w:t>
            </w:r>
          </w:p>
          <w:p w14:paraId="3DBCFEA2">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售后服务方案有建立相关管理制度、操作规程、应急预案等，部分满足本项目管理需要，完全满足招标文件售后服务年限要求，所提供的售后服务及技术支持服务可行，售后服务内容齐全，服务团队和体系基本满足招标文件要求的，得4分；</w:t>
            </w:r>
          </w:p>
          <w:p w14:paraId="3DBCFEA3">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售后服务方案中建立的相关管理制度、操作规程、应急预案等缺乏可行性，满足招标文件售后服务年限要求，所提供的售后服务及技术支持服务基本合理，售后服务内容不齐全，服务团队和体系基本满足招标文件要求的得1分；</w:t>
            </w:r>
          </w:p>
          <w:p w14:paraId="3DBCFEA4">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4)未提供售后服务方案的，得0分。</w:t>
            </w:r>
          </w:p>
        </w:tc>
        <w:tc>
          <w:tcPr>
            <w:tcW w:w="360" w:type="pct"/>
            <w:tcBorders>
              <w:top w:val="single" w:color="auto" w:sz="4" w:space="0"/>
              <w:left w:val="single" w:color="auto" w:sz="4" w:space="0"/>
              <w:bottom w:val="single" w:color="auto" w:sz="4" w:space="0"/>
              <w:right w:val="single" w:color="auto" w:sz="4" w:space="0"/>
            </w:tcBorders>
            <w:vAlign w:val="center"/>
          </w:tcPr>
          <w:p w14:paraId="3DBCFEA5">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p>
        </w:tc>
      </w:tr>
      <w:tr w14:paraId="3DBC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29" w:type="pct"/>
            <w:tcBorders>
              <w:left w:val="single" w:color="auto" w:sz="4" w:space="0"/>
              <w:right w:val="single" w:color="auto" w:sz="4" w:space="0"/>
            </w:tcBorders>
            <w:vAlign w:val="center"/>
          </w:tcPr>
          <w:p w14:paraId="3DBCFEA7">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p>
        </w:tc>
        <w:tc>
          <w:tcPr>
            <w:tcW w:w="473" w:type="pct"/>
            <w:tcBorders>
              <w:left w:val="single" w:color="auto" w:sz="4" w:space="0"/>
              <w:right w:val="single" w:color="auto" w:sz="4" w:space="0"/>
            </w:tcBorders>
            <w:vAlign w:val="center"/>
          </w:tcPr>
          <w:p w14:paraId="3DBCFEA8">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736" w:type="pct"/>
            <w:tcBorders>
              <w:top w:val="single" w:color="auto" w:sz="4" w:space="0"/>
              <w:left w:val="single" w:color="auto" w:sz="4" w:space="0"/>
              <w:right w:val="single" w:color="auto" w:sz="4" w:space="0"/>
            </w:tcBorders>
            <w:vAlign w:val="center"/>
          </w:tcPr>
          <w:p w14:paraId="3DBCFEA9">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投标人提供自2022 年1 月 1日至今承揽过类似项目业绩的，每提供一个得1分，最高得4分。</w:t>
            </w:r>
          </w:p>
          <w:p w14:paraId="3DBCFEAA">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360" w:type="pct"/>
            <w:tcBorders>
              <w:top w:val="single" w:color="auto" w:sz="4" w:space="0"/>
              <w:left w:val="single" w:color="auto" w:sz="4" w:space="0"/>
              <w:right w:val="single" w:color="auto" w:sz="4" w:space="0"/>
            </w:tcBorders>
            <w:vAlign w:val="center"/>
          </w:tcPr>
          <w:p w14:paraId="3DBCFEAB">
            <w:pPr>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r>
      <w:tr w14:paraId="3DBC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29" w:type="pct"/>
            <w:tcBorders>
              <w:left w:val="single" w:color="auto" w:sz="4" w:space="0"/>
              <w:right w:val="single" w:color="auto" w:sz="4" w:space="0"/>
            </w:tcBorders>
            <w:vAlign w:val="center"/>
          </w:tcPr>
          <w:p w14:paraId="3DBCFEAD">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p>
        </w:tc>
        <w:tc>
          <w:tcPr>
            <w:tcW w:w="473" w:type="pct"/>
            <w:tcBorders>
              <w:left w:val="single" w:color="auto" w:sz="4" w:space="0"/>
              <w:right w:val="single" w:color="auto" w:sz="4" w:space="0"/>
            </w:tcBorders>
            <w:vAlign w:val="center"/>
          </w:tcPr>
          <w:p w14:paraId="3DBCFEAE">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736" w:type="pct"/>
            <w:tcBorders>
              <w:left w:val="single" w:color="auto" w:sz="4" w:space="0"/>
              <w:right w:val="single" w:color="auto" w:sz="4" w:space="0"/>
            </w:tcBorders>
            <w:vAlign w:val="center"/>
          </w:tcPr>
          <w:p w14:paraId="3DBCFEAF">
            <w:pPr>
              <w:spacing w:line="400" w:lineRule="exact"/>
              <w:jc w:val="center"/>
              <w:rPr>
                <w:rFonts w:hint="eastAsia" w:ascii="宋体" w:hAnsi="宋体" w:eastAsia="宋体" w:cs="宋体"/>
                <w:b/>
                <w:bCs/>
                <w:color w:val="auto"/>
                <w:sz w:val="24"/>
                <w:szCs w:val="24"/>
              </w:rPr>
            </w:pPr>
          </w:p>
        </w:tc>
        <w:tc>
          <w:tcPr>
            <w:tcW w:w="360" w:type="pct"/>
            <w:tcBorders>
              <w:left w:val="single" w:color="auto" w:sz="4" w:space="0"/>
              <w:right w:val="single" w:color="auto" w:sz="4" w:space="0"/>
            </w:tcBorders>
            <w:vAlign w:val="center"/>
          </w:tcPr>
          <w:p w14:paraId="3DBCFEB0">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3DBCFEB2">
      <w:pPr>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说明：</w:t>
      </w:r>
    </w:p>
    <w:p w14:paraId="3DBCFEB3">
      <w:pPr>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3DBCFEB4">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DBCFEB5">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3DBCFEB6">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3DBCFEB7">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3DBCFEB8">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3DBCFEB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3DBCFEBA">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3DBCFEBB">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3DBCFE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3DBCFEB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3DBCFEBE">
      <w:pPr>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3DBCFEBF">
      <w:pPr>
        <w:spacing w:line="360" w:lineRule="auto"/>
        <w:ind w:firstLine="482" w:firstLineChars="200"/>
        <w:rPr>
          <w:rFonts w:hint="eastAsia" w:ascii="宋体" w:hAnsi="宋体" w:eastAsia="宋体" w:cs="宋体"/>
          <w:b/>
          <w:bCs/>
          <w:color w:val="auto"/>
          <w:sz w:val="24"/>
          <w:szCs w:val="24"/>
        </w:rPr>
      </w:pPr>
    </w:p>
    <w:p w14:paraId="3DBCFEC0">
      <w:pPr>
        <w:pStyle w:val="34"/>
        <w:ind w:firstLine="482" w:firstLineChars="200"/>
        <w:rPr>
          <w:rFonts w:hint="eastAsia"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3DBCFEC1">
      <w:pPr>
        <w:pStyle w:val="34"/>
        <w:ind w:firstLineChars="200"/>
        <w:rPr>
          <w:rFonts w:hint="eastAsia" w:ascii="宋体" w:hAnsi="宋体" w:cs="宋体"/>
          <w:color w:val="auto"/>
        </w:rPr>
      </w:pPr>
    </w:p>
    <w:p w14:paraId="3DBCFEC2">
      <w:pPr>
        <w:pStyle w:val="34"/>
        <w:ind w:firstLineChars="200"/>
        <w:rPr>
          <w:rFonts w:hint="eastAsia" w:ascii="宋体" w:hAnsi="宋体" w:cs="宋体"/>
          <w:color w:val="auto"/>
        </w:rPr>
      </w:pPr>
    </w:p>
    <w:p w14:paraId="3DBCFEC3">
      <w:pPr>
        <w:pStyle w:val="34"/>
        <w:ind w:firstLineChars="200"/>
        <w:rPr>
          <w:rFonts w:hint="eastAsia" w:ascii="宋体" w:hAnsi="宋体" w:cs="宋体"/>
          <w:color w:val="auto"/>
        </w:rPr>
      </w:pPr>
    </w:p>
    <w:p w14:paraId="3DBCFEC4">
      <w:pPr>
        <w:pStyle w:val="34"/>
        <w:ind w:firstLineChars="200"/>
        <w:rPr>
          <w:rFonts w:hint="eastAsia" w:ascii="宋体" w:hAnsi="宋体" w:cs="宋体"/>
          <w:color w:val="auto"/>
        </w:rPr>
      </w:pPr>
    </w:p>
    <w:p w14:paraId="3DBCFEC5">
      <w:pPr>
        <w:pStyle w:val="34"/>
        <w:ind w:firstLineChars="200"/>
        <w:rPr>
          <w:rFonts w:hint="eastAsia" w:ascii="宋体" w:hAnsi="宋体" w:cs="宋体"/>
          <w:color w:val="auto"/>
        </w:rPr>
      </w:pPr>
    </w:p>
    <w:p w14:paraId="3DBCFEC6">
      <w:pPr>
        <w:pStyle w:val="34"/>
        <w:ind w:firstLineChars="200"/>
        <w:rPr>
          <w:rFonts w:hint="eastAsia" w:ascii="宋体" w:hAnsi="宋体" w:cs="宋体"/>
          <w:color w:val="auto"/>
        </w:rPr>
      </w:pPr>
    </w:p>
    <w:p w14:paraId="3DBCFEC7">
      <w:pPr>
        <w:pStyle w:val="34"/>
        <w:ind w:firstLineChars="200"/>
        <w:rPr>
          <w:rFonts w:hint="eastAsia" w:ascii="宋体" w:hAnsi="宋体" w:cs="宋体"/>
          <w:color w:val="auto"/>
        </w:rPr>
      </w:pPr>
    </w:p>
    <w:p w14:paraId="3DBCFEC8">
      <w:pPr>
        <w:pStyle w:val="34"/>
        <w:ind w:firstLineChars="200"/>
        <w:rPr>
          <w:rFonts w:hint="eastAsia" w:ascii="宋体" w:hAnsi="宋体" w:cs="宋体"/>
          <w:color w:val="auto"/>
        </w:rPr>
      </w:pPr>
    </w:p>
    <w:p w14:paraId="3DBCFEC9">
      <w:pPr>
        <w:pStyle w:val="34"/>
        <w:ind w:firstLineChars="200"/>
        <w:rPr>
          <w:rFonts w:hint="eastAsia" w:ascii="宋体" w:hAnsi="宋体" w:cs="宋体"/>
          <w:color w:val="auto"/>
        </w:rPr>
      </w:pPr>
    </w:p>
    <w:p w14:paraId="3DBCFECA">
      <w:pPr>
        <w:pStyle w:val="34"/>
        <w:ind w:firstLineChars="200"/>
        <w:rPr>
          <w:rFonts w:hint="eastAsia" w:ascii="宋体" w:hAnsi="宋体" w:cs="宋体"/>
          <w:color w:val="auto"/>
        </w:rPr>
      </w:pPr>
    </w:p>
    <w:p w14:paraId="3DBCFECB">
      <w:pPr>
        <w:spacing w:line="360" w:lineRule="auto"/>
        <w:jc w:val="center"/>
        <w:rPr>
          <w:rFonts w:hint="eastAsia" w:ascii="宋体" w:hAnsi="宋体" w:eastAsia="宋体" w:cs="宋体"/>
          <w:b/>
          <w:bCs/>
          <w:color w:val="auto"/>
          <w:sz w:val="36"/>
          <w:szCs w:val="36"/>
        </w:rPr>
      </w:pPr>
    </w:p>
    <w:p w14:paraId="3DBCFECC">
      <w:pPr>
        <w:pStyle w:val="2"/>
        <w:numPr>
          <w:ilvl w:val="0"/>
          <w:numId w:val="4"/>
        </w:numPr>
        <w:rPr>
          <w:rFonts w:hint="eastAsia"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3DBCFECD">
      <w:pPr>
        <w:spacing w:line="440" w:lineRule="exact"/>
        <w:jc w:val="center"/>
        <w:rPr>
          <w:rFonts w:hint="eastAsia" w:ascii="宋体" w:hAnsi="宋体" w:eastAsia="宋体" w:cs="宋体"/>
          <w:b/>
          <w:color w:val="auto"/>
          <w:sz w:val="28"/>
          <w:szCs w:val="24"/>
        </w:rPr>
      </w:pPr>
      <w:r>
        <w:rPr>
          <w:rFonts w:hint="eastAsia" w:ascii="宋体" w:hAnsi="宋体" w:eastAsia="宋体" w:cs="宋体"/>
          <w:b/>
          <w:color w:val="auto"/>
          <w:sz w:val="28"/>
          <w:szCs w:val="24"/>
        </w:rPr>
        <w:t>关于采购        的技术服务合同</w:t>
      </w:r>
    </w:p>
    <w:p w14:paraId="3DBCFECE">
      <w:pPr>
        <w:pStyle w:val="14"/>
        <w:spacing w:line="440" w:lineRule="exact"/>
        <w:ind w:left="550" w:leftChars="250"/>
        <w:rPr>
          <w:rFonts w:hint="eastAsia" w:hAnsi="宋体" w:eastAsia="宋体" w:cs="宋体"/>
          <w:color w:val="auto"/>
          <w:sz w:val="24"/>
          <w:szCs w:val="24"/>
        </w:rPr>
      </w:pPr>
      <w:r>
        <w:rPr>
          <w:rFonts w:hint="eastAsia" w:hAnsi="宋体" w:eastAsia="宋体" w:cs="宋体"/>
          <w:color w:val="auto"/>
          <w:sz w:val="24"/>
          <w:szCs w:val="24"/>
        </w:rPr>
        <w:t>委托方（甲方）：南京医科大学</w:t>
      </w:r>
    </w:p>
    <w:p w14:paraId="3DBCFECF">
      <w:pPr>
        <w:pStyle w:val="14"/>
        <w:spacing w:line="440" w:lineRule="exact"/>
        <w:ind w:left="550" w:leftChars="250"/>
        <w:rPr>
          <w:rFonts w:hint="eastAsia" w:hAnsi="宋体" w:eastAsia="宋体" w:cs="宋体"/>
          <w:color w:val="auto"/>
          <w:sz w:val="24"/>
          <w:szCs w:val="24"/>
        </w:rPr>
      </w:pPr>
      <w:r>
        <w:rPr>
          <w:rFonts w:hint="eastAsia" w:hAnsi="宋体" w:eastAsia="宋体" w:cs="宋体"/>
          <w:color w:val="auto"/>
          <w:sz w:val="24"/>
          <w:szCs w:val="24"/>
        </w:rPr>
        <w:t>地址：</w:t>
      </w:r>
    </w:p>
    <w:p w14:paraId="3DBCFED0">
      <w:pPr>
        <w:pStyle w:val="14"/>
        <w:spacing w:line="440" w:lineRule="exact"/>
        <w:ind w:left="550" w:leftChars="250"/>
        <w:rPr>
          <w:rFonts w:hint="eastAsia" w:hAnsi="宋体" w:eastAsia="宋体" w:cs="宋体"/>
          <w:color w:val="auto"/>
          <w:sz w:val="24"/>
          <w:szCs w:val="24"/>
        </w:rPr>
      </w:pPr>
      <w:r>
        <w:rPr>
          <w:rFonts w:hint="eastAsia" w:hAnsi="宋体" w:eastAsia="宋体" w:cs="宋体"/>
          <w:color w:val="auto"/>
          <w:sz w:val="24"/>
          <w:szCs w:val="24"/>
        </w:rPr>
        <w:t xml:space="preserve">联系方式：                                     </w:t>
      </w:r>
    </w:p>
    <w:p w14:paraId="3DBCFED1">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受托方（乙方）：   </w:t>
      </w:r>
    </w:p>
    <w:p w14:paraId="3DBCFED2">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地址：</w:t>
      </w:r>
    </w:p>
    <w:p w14:paraId="3DBCFED3">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联系方式：                                     </w:t>
      </w:r>
    </w:p>
    <w:p w14:paraId="3DBCFED4">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甲方委托乙方就甲方</w:t>
      </w:r>
      <w:r>
        <w:rPr>
          <w:rFonts w:hint="eastAsia" w:hAnsi="宋体" w:eastAsia="宋体" w:cs="宋体"/>
          <w:color w:val="auto"/>
          <w:sz w:val="24"/>
          <w:szCs w:val="24"/>
          <w:u w:val="single"/>
        </w:rPr>
        <w:t xml:space="preserve">                   </w:t>
      </w:r>
      <w:r>
        <w:rPr>
          <w:rFonts w:hint="eastAsia" w:hAnsi="宋体" w:eastAsia="宋体" w:cs="宋体"/>
          <w:color w:val="auto"/>
          <w:sz w:val="24"/>
          <w:szCs w:val="24"/>
        </w:rPr>
        <w:t>项目提供</w:t>
      </w:r>
      <w:r>
        <w:rPr>
          <w:rFonts w:hint="eastAsia" w:hAnsi="宋体" w:eastAsia="宋体" w:cs="宋体"/>
          <w:color w:val="auto"/>
          <w:sz w:val="24"/>
          <w:szCs w:val="24"/>
          <w:u w:val="single"/>
        </w:rPr>
        <w:t xml:space="preserve">       </w:t>
      </w:r>
      <w:r>
        <w:rPr>
          <w:rFonts w:hint="eastAsia" w:hAnsi="宋体" w:eastAsia="宋体" w:cs="宋体"/>
          <w:color w:val="auto"/>
          <w:sz w:val="24"/>
          <w:szCs w:val="24"/>
        </w:rPr>
        <w:t>专项技术服务，甲方支付相应的技术服务报酬。双方经过平等协商，在真实、充分地表达各自意愿的基础上，根据《中华人民共和国民法典》的规定，达成如下协议，并由双方共同恪守。</w:t>
      </w:r>
    </w:p>
    <w:p w14:paraId="3DBCFED5">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第一条</w:t>
      </w:r>
      <w:r>
        <w:rPr>
          <w:rFonts w:hint="eastAsia" w:hAnsi="宋体" w:eastAsia="宋体" w:cs="宋体"/>
          <w:color w:val="auto"/>
          <w:sz w:val="24"/>
          <w:szCs w:val="24"/>
        </w:rPr>
        <w:t xml:space="preserve"> 甲方委托乙方进行技术服务的内容如下：</w:t>
      </w:r>
    </w:p>
    <w:p w14:paraId="3DBCFED6">
      <w:pPr>
        <w:pStyle w:val="14"/>
        <w:spacing w:line="440" w:lineRule="exact"/>
        <w:ind w:left="550" w:leftChars="250"/>
        <w:jc w:val="left"/>
        <w:rPr>
          <w:rFonts w:hint="eastAsia" w:hAnsi="宋体" w:eastAsia="宋体" w:cs="宋体"/>
          <w:color w:val="auto"/>
          <w:sz w:val="24"/>
          <w:szCs w:val="24"/>
        </w:rPr>
      </w:pPr>
      <w:r>
        <w:rPr>
          <w:rFonts w:hint="eastAsia" w:hAnsi="宋体" w:eastAsia="宋体" w:cs="宋体"/>
          <w:color w:val="auto"/>
          <w:sz w:val="24"/>
          <w:szCs w:val="24"/>
        </w:rPr>
        <w:t xml:space="preserve">1．技术服务的目标：                                                                                                           2．技术服务的内容：                                                        3．技术服务的方式：                                  </w:t>
      </w:r>
    </w:p>
    <w:p w14:paraId="3DBCFED7">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第二条</w:t>
      </w:r>
      <w:r>
        <w:rPr>
          <w:rFonts w:hint="eastAsia" w:hAnsi="宋体" w:eastAsia="宋体" w:cs="宋体"/>
          <w:color w:val="auto"/>
          <w:sz w:val="24"/>
          <w:szCs w:val="24"/>
        </w:rPr>
        <w:t xml:space="preserve"> 乙方应按下列要求完成技术服务工作：</w:t>
      </w:r>
    </w:p>
    <w:p w14:paraId="3DBCFED8">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1．技术服务地点：</w:t>
      </w:r>
    </w:p>
    <w:p w14:paraId="3DBCFED9">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2．技术服务期限：</w:t>
      </w:r>
    </w:p>
    <w:p w14:paraId="3DBCFEDA">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3．技术服务进度：                                     </w:t>
      </w:r>
    </w:p>
    <w:p w14:paraId="3DBCFEDB">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4．技术服务质量要求：</w:t>
      </w:r>
    </w:p>
    <w:p w14:paraId="3DBCFEDC">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5．技术服务质量期限要求：</w:t>
      </w:r>
    </w:p>
    <w:p w14:paraId="3DBCFEDD">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6. 后续服务要求：如后续开发过程中甲方及第三方需要乙方协助，乙方应当无条件配合，包括但不仅限于提供系统接口、技术服务、数据对接。</w:t>
      </w:r>
    </w:p>
    <w:p w14:paraId="3DBCFEDE">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第三条</w:t>
      </w:r>
      <w:r>
        <w:rPr>
          <w:rFonts w:hint="eastAsia" w:hAnsi="宋体" w:eastAsia="宋体" w:cs="宋体"/>
          <w:color w:val="auto"/>
          <w:sz w:val="24"/>
          <w:szCs w:val="24"/>
        </w:rPr>
        <w:t xml:space="preserve"> 为保证乙方有效进行技术服务工作，甲方应当向乙方提供下列工作条件和协作事项：</w:t>
      </w:r>
    </w:p>
    <w:p w14:paraId="3DBCFEDF">
      <w:pPr>
        <w:pStyle w:val="14"/>
        <w:spacing w:line="440" w:lineRule="exact"/>
        <w:ind w:left="440" w:leftChars="200" w:firstLine="120" w:firstLineChars="50"/>
        <w:jc w:val="left"/>
        <w:rPr>
          <w:rFonts w:hint="eastAsia" w:hAnsi="宋体" w:eastAsia="宋体" w:cs="宋体"/>
          <w:color w:val="auto"/>
          <w:sz w:val="24"/>
          <w:szCs w:val="24"/>
        </w:rPr>
      </w:pPr>
      <w:r>
        <w:rPr>
          <w:rFonts w:hint="eastAsia" w:hAnsi="宋体" w:eastAsia="宋体" w:cs="宋体"/>
          <w:color w:val="auto"/>
          <w:sz w:val="24"/>
          <w:szCs w:val="24"/>
        </w:rPr>
        <w:t>1．提供技术资料：（1）</w:t>
      </w:r>
      <w:r>
        <w:rPr>
          <w:rFonts w:hint="eastAsia" w:hAnsi="宋体" w:eastAsia="宋体" w:cs="宋体"/>
          <w:color w:val="auto"/>
          <w:sz w:val="24"/>
          <w:szCs w:val="24"/>
          <w:u w:val="single"/>
        </w:rPr>
        <w:t xml:space="preserve">                                                 ；</w:t>
      </w:r>
      <w:r>
        <w:rPr>
          <w:rFonts w:hint="eastAsia" w:hAnsi="宋体" w:eastAsia="宋体" w:cs="宋体"/>
          <w:color w:val="auto"/>
          <w:sz w:val="24"/>
          <w:szCs w:val="24"/>
        </w:rPr>
        <w:t>（2）</w:t>
      </w:r>
      <w:r>
        <w:rPr>
          <w:rFonts w:hint="eastAsia" w:hAnsi="宋体" w:eastAsia="宋体" w:cs="宋体"/>
          <w:color w:val="auto"/>
          <w:sz w:val="24"/>
          <w:szCs w:val="24"/>
          <w:u w:val="single"/>
        </w:rPr>
        <w:t xml:space="preserve">                                                 ；  </w:t>
      </w:r>
      <w:r>
        <w:rPr>
          <w:rFonts w:hint="eastAsia" w:hAnsi="宋体" w:eastAsia="宋体" w:cs="宋体"/>
          <w:color w:val="auto"/>
          <w:sz w:val="24"/>
          <w:szCs w:val="24"/>
        </w:rPr>
        <w:t xml:space="preserve">  （3）</w:t>
      </w:r>
      <w:r>
        <w:rPr>
          <w:rFonts w:hint="eastAsia" w:hAnsi="宋体" w:eastAsia="宋体" w:cs="宋体"/>
          <w:color w:val="auto"/>
          <w:sz w:val="24"/>
          <w:szCs w:val="24"/>
          <w:u w:val="single"/>
        </w:rPr>
        <w:t xml:space="preserve">                                                 ；</w:t>
      </w:r>
      <w:r>
        <w:rPr>
          <w:rFonts w:hint="eastAsia" w:hAnsi="宋体" w:eastAsia="宋体" w:cs="宋体"/>
          <w:color w:val="auto"/>
          <w:sz w:val="24"/>
          <w:szCs w:val="24"/>
        </w:rPr>
        <w:t xml:space="preserve">   </w:t>
      </w:r>
    </w:p>
    <w:p w14:paraId="3DBCFEE0">
      <w:pPr>
        <w:pStyle w:val="14"/>
        <w:spacing w:line="440" w:lineRule="exact"/>
        <w:ind w:left="440" w:leftChars="200"/>
        <w:jc w:val="left"/>
        <w:rPr>
          <w:rFonts w:hint="eastAsia" w:hAnsi="宋体" w:eastAsia="宋体" w:cs="宋体"/>
          <w:color w:val="auto"/>
          <w:sz w:val="24"/>
          <w:szCs w:val="24"/>
        </w:rPr>
      </w:pPr>
      <w:r>
        <w:rPr>
          <w:rFonts w:hint="eastAsia" w:hAnsi="宋体" w:eastAsia="宋体" w:cs="宋体"/>
          <w:color w:val="auto"/>
          <w:sz w:val="24"/>
          <w:szCs w:val="24"/>
        </w:rPr>
        <w:t>2．提供工作条件： （1）</w:t>
      </w:r>
      <w:r>
        <w:rPr>
          <w:rFonts w:hint="eastAsia" w:hAnsi="宋体" w:eastAsia="宋体" w:cs="宋体"/>
          <w:color w:val="auto"/>
          <w:sz w:val="24"/>
          <w:szCs w:val="24"/>
          <w:u w:val="single"/>
        </w:rPr>
        <w:t xml:space="preserve">                                                    ；</w:t>
      </w:r>
      <w:r>
        <w:rPr>
          <w:rFonts w:hint="eastAsia" w:hAnsi="宋体" w:eastAsia="宋体" w:cs="宋体"/>
          <w:color w:val="auto"/>
          <w:sz w:val="24"/>
          <w:szCs w:val="24"/>
        </w:rPr>
        <w:t xml:space="preserve">       （2）</w:t>
      </w:r>
      <w:r>
        <w:rPr>
          <w:rFonts w:hint="eastAsia" w:hAnsi="宋体" w:eastAsia="宋体" w:cs="宋体"/>
          <w:color w:val="auto"/>
          <w:sz w:val="24"/>
          <w:szCs w:val="24"/>
          <w:u w:val="single"/>
        </w:rPr>
        <w:t xml:space="preserve">                                                  ；</w:t>
      </w:r>
      <w:r>
        <w:rPr>
          <w:rFonts w:hint="eastAsia" w:hAnsi="宋体" w:eastAsia="宋体" w:cs="宋体"/>
          <w:color w:val="auto"/>
          <w:sz w:val="24"/>
          <w:szCs w:val="24"/>
        </w:rPr>
        <w:t xml:space="preserve">      </w:t>
      </w:r>
    </w:p>
    <w:p w14:paraId="3DBCFEE1">
      <w:pPr>
        <w:pStyle w:val="14"/>
        <w:spacing w:line="440" w:lineRule="exact"/>
        <w:ind w:left="550" w:leftChars="250"/>
        <w:jc w:val="left"/>
        <w:rPr>
          <w:rFonts w:hint="eastAsia" w:hAnsi="宋体" w:eastAsia="宋体" w:cs="宋体"/>
          <w:color w:val="auto"/>
          <w:sz w:val="24"/>
          <w:szCs w:val="24"/>
        </w:rPr>
      </w:pPr>
      <w:r>
        <w:rPr>
          <w:rFonts w:hint="eastAsia" w:hAnsi="宋体" w:eastAsia="宋体" w:cs="宋体"/>
          <w:color w:val="auto"/>
          <w:sz w:val="24"/>
          <w:szCs w:val="24"/>
        </w:rPr>
        <w:t>3．其他：</w:t>
      </w:r>
      <w:r>
        <w:rPr>
          <w:rFonts w:hint="eastAsia" w:hAnsi="宋体" w:eastAsia="宋体" w:cs="宋体"/>
          <w:color w:val="auto"/>
          <w:sz w:val="24"/>
          <w:szCs w:val="24"/>
          <w:u w:val="single"/>
        </w:rPr>
        <w:t xml:space="preserve">                /                             。</w:t>
      </w:r>
      <w:r>
        <w:rPr>
          <w:rFonts w:hint="eastAsia" w:hAnsi="宋体" w:eastAsia="宋体" w:cs="宋体"/>
          <w:color w:val="auto"/>
          <w:sz w:val="24"/>
          <w:szCs w:val="24"/>
        </w:rPr>
        <w:t xml:space="preserve">                                                              </w:t>
      </w:r>
      <w:r>
        <w:rPr>
          <w:rFonts w:hint="eastAsia" w:hAnsi="宋体" w:eastAsia="宋体" w:cs="宋体"/>
          <w:b/>
          <w:color w:val="auto"/>
          <w:sz w:val="24"/>
          <w:szCs w:val="24"/>
        </w:rPr>
        <w:t>第四条</w:t>
      </w:r>
      <w:r>
        <w:rPr>
          <w:rFonts w:hint="eastAsia" w:hAnsi="宋体" w:eastAsia="宋体" w:cs="宋体"/>
          <w:color w:val="auto"/>
          <w:sz w:val="24"/>
          <w:szCs w:val="24"/>
        </w:rPr>
        <w:t xml:space="preserve"> 技术服务费及支付方式</w:t>
      </w:r>
    </w:p>
    <w:p w14:paraId="3DBCFEE2">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1．技术服务费总额为：</w:t>
      </w:r>
      <w:r>
        <w:rPr>
          <w:rFonts w:hint="eastAsia" w:hAnsi="宋体" w:eastAsia="宋体" w:cs="宋体"/>
          <w:color w:val="auto"/>
          <w:sz w:val="24"/>
          <w:szCs w:val="24"/>
          <w:u w:val="single"/>
        </w:rPr>
        <w:t xml:space="preserve">                                 </w:t>
      </w:r>
      <w:r>
        <w:rPr>
          <w:rFonts w:hint="eastAsia" w:hAnsi="宋体" w:eastAsia="宋体" w:cs="宋体"/>
          <w:color w:val="auto"/>
          <w:sz w:val="24"/>
          <w:szCs w:val="24"/>
        </w:rPr>
        <w:t>；</w:t>
      </w:r>
    </w:p>
    <w:p w14:paraId="3DBCFEE3">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2．技术服务费由甲方</w:t>
      </w:r>
      <w:r>
        <w:rPr>
          <w:rFonts w:hint="eastAsia" w:hAnsi="宋体" w:eastAsia="宋体" w:cs="宋体"/>
          <w:color w:val="auto"/>
          <w:sz w:val="24"/>
          <w:szCs w:val="24"/>
          <w:u w:val="single"/>
        </w:rPr>
        <w:t xml:space="preserve">   一次性/ 分期  </w:t>
      </w:r>
      <w:r>
        <w:rPr>
          <w:rFonts w:hint="eastAsia" w:hAnsi="宋体" w:eastAsia="宋体" w:cs="宋体"/>
          <w:color w:val="auto"/>
          <w:sz w:val="24"/>
          <w:szCs w:val="24"/>
        </w:rPr>
        <w:t xml:space="preserve">支付给乙方。 </w:t>
      </w:r>
    </w:p>
    <w:p w14:paraId="3DBCFEE4">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具体支付方式和时间如下：</w:t>
      </w:r>
    </w:p>
    <w:p w14:paraId="3DBCFEE5">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3、结算方式</w:t>
      </w:r>
      <w:r>
        <w:rPr>
          <w:rFonts w:hint="eastAsia" w:hAnsi="宋体" w:eastAsia="宋体" w:cs="宋体"/>
          <w:color w:val="auto"/>
          <w:sz w:val="24"/>
          <w:szCs w:val="24"/>
          <w:u w:val="single"/>
        </w:rPr>
        <w:t xml:space="preserve">          </w:t>
      </w:r>
      <w:r>
        <w:rPr>
          <w:rFonts w:hint="eastAsia" w:hAnsi="宋体" w:eastAsia="宋体" w:cs="宋体"/>
          <w:color w:val="auto"/>
          <w:sz w:val="24"/>
          <w:szCs w:val="24"/>
        </w:rPr>
        <w:t>：</w:t>
      </w:r>
    </w:p>
    <w:p w14:paraId="3DBCFEE6">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服务交付且安装、调试后，并通过验收后合格一周内甲方支付合同总金额的90</w:t>
      </w:r>
      <w:r>
        <w:rPr>
          <w:rFonts w:hint="eastAsia" w:hAnsi="宋体" w:eastAsia="宋体" w:cs="宋体"/>
          <w:b/>
          <w:color w:val="auto"/>
          <w:sz w:val="24"/>
          <w:szCs w:val="24"/>
        </w:rPr>
        <w:t>%</w:t>
      </w:r>
      <w:r>
        <w:rPr>
          <w:rFonts w:hint="eastAsia" w:hAnsi="宋体" w:eastAsia="宋体" w:cs="宋体"/>
          <w:color w:val="auto"/>
          <w:sz w:val="24"/>
          <w:szCs w:val="24"/>
        </w:rPr>
        <w:t>，付款之前需收到乙方开具的合法有效的</w:t>
      </w:r>
      <w:r>
        <w:rPr>
          <w:rFonts w:hint="eastAsia" w:hAnsi="宋体" w:eastAsia="宋体" w:cs="宋体"/>
          <w:b/>
          <w:color w:val="auto"/>
          <w:sz w:val="24"/>
          <w:szCs w:val="24"/>
        </w:rPr>
        <w:t>相应发票。</w:t>
      </w:r>
      <w:r>
        <w:rPr>
          <w:rFonts w:hint="eastAsia" w:hAnsi="宋体" w:eastAsia="宋体" w:cs="宋体"/>
          <w:color w:val="auto"/>
          <w:sz w:val="24"/>
          <w:szCs w:val="24"/>
        </w:rPr>
        <w:t>自验收合格日起，甲方正常使用满一年后的一周内，支付剩余合同总金额的10%。</w:t>
      </w:r>
      <w:bookmarkStart w:id="73" w:name="_GoBack"/>
      <w:bookmarkEnd w:id="73"/>
    </w:p>
    <w:p w14:paraId="3DBCFEE8">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乙方开户银行名称、账户名称和帐号为：</w:t>
      </w:r>
    </w:p>
    <w:p w14:paraId="3DBCFEE9">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开户银行：                                        </w:t>
      </w:r>
    </w:p>
    <w:p w14:paraId="3DBCFEEA">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账户名称：                                      </w:t>
      </w:r>
    </w:p>
    <w:p w14:paraId="3DBCFEEB">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帐号：                                            </w:t>
      </w:r>
    </w:p>
    <w:p w14:paraId="3DBCFEEC">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第五条</w:t>
      </w:r>
      <w:r>
        <w:rPr>
          <w:rFonts w:hint="eastAsia" w:hAnsi="宋体" w:eastAsia="宋体" w:cs="宋体"/>
          <w:color w:val="auto"/>
          <w:sz w:val="24"/>
          <w:szCs w:val="24"/>
        </w:rPr>
        <w:t xml:space="preserve"> 双方确定因履行本合同应遵守的保密义务如下：</w:t>
      </w:r>
    </w:p>
    <w:p w14:paraId="3DBCFEED">
      <w:pPr>
        <w:pStyle w:val="14"/>
        <w:spacing w:line="440" w:lineRule="exact"/>
        <w:ind w:firstLine="480" w:firstLineChars="200"/>
        <w:jc w:val="left"/>
        <w:rPr>
          <w:rFonts w:hint="eastAsia" w:hAnsi="宋体" w:eastAsia="宋体" w:cs="宋体"/>
          <w:color w:val="auto"/>
          <w:sz w:val="24"/>
          <w:szCs w:val="24"/>
        </w:rPr>
      </w:pPr>
      <w:r>
        <w:rPr>
          <w:rFonts w:hint="eastAsia" w:hAnsi="宋体" w:eastAsia="宋体" w:cs="宋体"/>
          <w:color w:val="auto"/>
          <w:sz w:val="24"/>
          <w:szCs w:val="24"/>
        </w:rPr>
        <w:t>5.1.甲方：</w:t>
      </w:r>
    </w:p>
    <w:p w14:paraId="3DBCFEEE">
      <w:pPr>
        <w:pStyle w:val="14"/>
        <w:spacing w:line="440" w:lineRule="exact"/>
        <w:ind w:left="550" w:leftChars="250"/>
        <w:jc w:val="left"/>
        <w:rPr>
          <w:rFonts w:hint="eastAsia" w:hAnsi="宋体" w:eastAsia="宋体" w:cs="宋体"/>
          <w:color w:val="auto"/>
          <w:sz w:val="24"/>
          <w:szCs w:val="24"/>
        </w:rPr>
      </w:pPr>
      <w:r>
        <w:rPr>
          <w:rFonts w:hint="eastAsia" w:hAnsi="宋体" w:eastAsia="宋体" w:cs="宋体"/>
          <w:color w:val="auto"/>
          <w:sz w:val="24"/>
          <w:szCs w:val="24"/>
        </w:rPr>
        <w:t xml:space="preserve">5.1.1.保密内容（包括技术信息和经营信息）:                              5.1.2.涉密人员范围: </w:t>
      </w:r>
    </w:p>
    <w:p w14:paraId="3DBCFEEF">
      <w:pPr>
        <w:pStyle w:val="14"/>
        <w:spacing w:line="440" w:lineRule="exact"/>
        <w:ind w:firstLine="480" w:firstLineChars="200"/>
        <w:jc w:val="left"/>
        <w:rPr>
          <w:rFonts w:hint="eastAsia" w:hAnsi="宋体" w:eastAsia="宋体" w:cs="宋体"/>
          <w:color w:val="auto"/>
          <w:sz w:val="24"/>
          <w:szCs w:val="24"/>
        </w:rPr>
      </w:pPr>
      <w:r>
        <w:rPr>
          <w:rFonts w:hint="eastAsia" w:hAnsi="宋体" w:eastAsia="宋体" w:cs="宋体"/>
          <w:color w:val="auto"/>
          <w:sz w:val="24"/>
          <w:szCs w:val="24"/>
        </w:rPr>
        <w:t xml:space="preserve">5.1.3.保密期限：                               </w:t>
      </w:r>
    </w:p>
    <w:p w14:paraId="3DBCFEF0">
      <w:pPr>
        <w:pStyle w:val="14"/>
        <w:spacing w:line="440" w:lineRule="exact"/>
        <w:ind w:firstLine="480" w:firstLineChars="200"/>
        <w:jc w:val="left"/>
        <w:rPr>
          <w:rFonts w:hint="eastAsia" w:hAnsi="宋体" w:eastAsia="宋体" w:cs="宋体"/>
          <w:color w:val="auto"/>
          <w:sz w:val="24"/>
          <w:szCs w:val="24"/>
        </w:rPr>
      </w:pPr>
      <w:r>
        <w:rPr>
          <w:rFonts w:hint="eastAsia" w:hAnsi="宋体" w:eastAsia="宋体" w:cs="宋体"/>
          <w:color w:val="auto"/>
          <w:sz w:val="24"/>
          <w:szCs w:val="24"/>
        </w:rPr>
        <w:t xml:space="preserve">5.1.4.泄密责任：  </w:t>
      </w:r>
    </w:p>
    <w:p w14:paraId="3DBCFEF1">
      <w:pPr>
        <w:pStyle w:val="14"/>
        <w:spacing w:line="440" w:lineRule="exact"/>
        <w:ind w:firstLine="480" w:firstLineChars="200"/>
        <w:jc w:val="left"/>
        <w:rPr>
          <w:rFonts w:hint="eastAsia" w:hAnsi="宋体" w:eastAsia="宋体" w:cs="宋体"/>
          <w:color w:val="auto"/>
          <w:sz w:val="24"/>
          <w:szCs w:val="24"/>
        </w:rPr>
      </w:pPr>
      <w:r>
        <w:rPr>
          <w:rFonts w:hint="eastAsia" w:hAnsi="宋体" w:eastAsia="宋体" w:cs="宋体"/>
          <w:color w:val="auto"/>
          <w:sz w:val="24"/>
          <w:szCs w:val="24"/>
        </w:rPr>
        <w:t>5.2.乙方：</w:t>
      </w:r>
    </w:p>
    <w:p w14:paraId="3DBCFEF2">
      <w:pPr>
        <w:pStyle w:val="14"/>
        <w:spacing w:line="440" w:lineRule="exact"/>
        <w:ind w:left="550" w:leftChars="250"/>
        <w:jc w:val="left"/>
        <w:rPr>
          <w:rFonts w:hint="eastAsia" w:hAnsi="宋体" w:eastAsia="宋体" w:cs="宋体"/>
          <w:color w:val="auto"/>
          <w:sz w:val="24"/>
          <w:szCs w:val="24"/>
        </w:rPr>
      </w:pPr>
      <w:r>
        <w:rPr>
          <w:rFonts w:hint="eastAsia" w:hAnsi="宋体" w:eastAsia="宋体" w:cs="宋体"/>
          <w:color w:val="auto"/>
          <w:sz w:val="24"/>
          <w:szCs w:val="24"/>
        </w:rPr>
        <w:t xml:space="preserve">5.2.1.保密内容（包括技术信息和经营信息）:                              5.2.2.涉密人员范围: </w:t>
      </w:r>
    </w:p>
    <w:p w14:paraId="3DBCFEF3">
      <w:pPr>
        <w:pStyle w:val="14"/>
        <w:spacing w:line="440" w:lineRule="exact"/>
        <w:ind w:firstLine="480" w:firstLineChars="200"/>
        <w:jc w:val="left"/>
        <w:rPr>
          <w:rFonts w:hint="eastAsia" w:hAnsi="宋体" w:eastAsia="宋体" w:cs="宋体"/>
          <w:color w:val="auto"/>
          <w:sz w:val="24"/>
          <w:szCs w:val="24"/>
        </w:rPr>
      </w:pPr>
      <w:r>
        <w:rPr>
          <w:rFonts w:hint="eastAsia" w:hAnsi="宋体" w:eastAsia="宋体" w:cs="宋体"/>
          <w:color w:val="auto"/>
          <w:sz w:val="24"/>
          <w:szCs w:val="24"/>
        </w:rPr>
        <w:t xml:space="preserve">5.2.3.保密期限：                               </w:t>
      </w:r>
    </w:p>
    <w:p w14:paraId="3DBCFEF4">
      <w:pPr>
        <w:pStyle w:val="14"/>
        <w:spacing w:line="440" w:lineRule="exact"/>
        <w:ind w:firstLine="480" w:firstLineChars="200"/>
        <w:jc w:val="left"/>
        <w:rPr>
          <w:rFonts w:hint="eastAsia" w:hAnsi="宋体" w:eastAsia="宋体" w:cs="宋体"/>
          <w:color w:val="auto"/>
          <w:sz w:val="24"/>
          <w:szCs w:val="24"/>
        </w:rPr>
      </w:pPr>
      <w:r>
        <w:rPr>
          <w:rFonts w:hint="eastAsia" w:hAnsi="宋体" w:eastAsia="宋体" w:cs="宋体"/>
          <w:color w:val="auto"/>
          <w:sz w:val="24"/>
          <w:szCs w:val="24"/>
        </w:rPr>
        <w:t xml:space="preserve">5.2.4.泄密责任： </w:t>
      </w:r>
    </w:p>
    <w:p w14:paraId="3DBCFEF5">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第六条</w:t>
      </w:r>
      <w:r>
        <w:rPr>
          <w:rFonts w:hint="eastAsia" w:hAnsi="宋体" w:eastAsia="宋体" w:cs="宋体"/>
          <w:color w:val="auto"/>
          <w:sz w:val="24"/>
          <w:szCs w:val="24"/>
        </w:rPr>
        <w:t xml:space="preserve"> 本合同的变更必须由双方协商一致，并以书面形式确定。</w:t>
      </w:r>
    </w:p>
    <w:p w14:paraId="3DBCFEF6">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第七条</w:t>
      </w:r>
      <w:r>
        <w:rPr>
          <w:rFonts w:hint="eastAsia" w:hAnsi="宋体" w:eastAsia="宋体" w:cs="宋体"/>
          <w:color w:val="auto"/>
          <w:sz w:val="24"/>
          <w:szCs w:val="24"/>
        </w:rPr>
        <w:t xml:space="preserve"> 双方确定以下列标准和方式对乙方的技术服务工作成果进行验收：</w:t>
      </w:r>
    </w:p>
    <w:p w14:paraId="3DBCFEF7">
      <w:pPr>
        <w:pStyle w:val="14"/>
        <w:spacing w:line="440" w:lineRule="exact"/>
        <w:ind w:firstLine="600" w:firstLineChars="250"/>
        <w:rPr>
          <w:rFonts w:hint="eastAsia" w:hAnsi="宋体" w:eastAsia="宋体" w:cs="宋体"/>
          <w:color w:val="auto"/>
          <w:sz w:val="24"/>
          <w:szCs w:val="24"/>
        </w:rPr>
      </w:pPr>
      <w:r>
        <w:rPr>
          <w:rFonts w:hint="eastAsia" w:hAnsi="宋体" w:eastAsia="宋体" w:cs="宋体"/>
          <w:color w:val="auto"/>
          <w:sz w:val="24"/>
          <w:szCs w:val="24"/>
        </w:rPr>
        <w:t>1．乙方完成技术服务工作的形式：</w:t>
      </w:r>
    </w:p>
    <w:p w14:paraId="3DBCFEF8">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 2．技术服务工作成果的验收标准：</w:t>
      </w:r>
    </w:p>
    <w:p w14:paraId="3DBCFEF9">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 3．技术服务工作成果的验收方法：</w:t>
      </w:r>
    </w:p>
    <w:p w14:paraId="3DBCFEFA">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 4．验收的时间和地点：</w:t>
      </w:r>
    </w:p>
    <w:p w14:paraId="3DBCFEFB">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第八条</w:t>
      </w:r>
      <w:r>
        <w:rPr>
          <w:rFonts w:hint="eastAsia" w:hAnsi="宋体" w:eastAsia="宋体" w:cs="宋体"/>
          <w:color w:val="auto"/>
          <w:sz w:val="24"/>
          <w:szCs w:val="24"/>
        </w:rPr>
        <w:t xml:space="preserve"> 知识产权归属：</w:t>
      </w:r>
    </w:p>
    <w:p w14:paraId="3DBCFEFC">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3DBCFEFD">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3DBCFEFE">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第九条</w:t>
      </w:r>
      <w:r>
        <w:rPr>
          <w:rFonts w:hint="eastAsia" w:hAnsi="宋体" w:eastAsia="宋体" w:cs="宋体"/>
          <w:color w:val="auto"/>
          <w:sz w:val="24"/>
          <w:szCs w:val="24"/>
        </w:rPr>
        <w:t xml:space="preserve"> 双方确定，按以下约定承担各自的违约责任：</w:t>
      </w:r>
    </w:p>
    <w:p w14:paraId="3DBCFEFF">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3DBCFF00">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3DBCFF01">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3. 乙方供给甲方的设备、材料及乙方自己的施工用具，进入甲方现场后的保管，由乙方负责，乙方在甲方现场安装、调试、验收人员的安全、保险、食宿和交通由乙方全权负责。</w:t>
      </w:r>
    </w:p>
    <w:p w14:paraId="3DBCFF02">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3DBCFF03">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3DBCFF04">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6. 乙方履行义务不符合合同约定，甲方有权扣减本合同总金额10%的技术服务费，尾款不足10%的，乙方应当补足。</w:t>
      </w:r>
    </w:p>
    <w:p w14:paraId="3DBCFF05">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7.乙方违反本合同第二条第6款及第八条约定的，一次性支付甲方违约金【 3 】万元；如违约金不足以弥补甲方损失，乙方还应当赔偿给甲方造成的损失，包括但不仅限于预期利益、因维权产生的公证费、诉讼费、保全担保费、鉴定费、律师费、交通费用。</w:t>
      </w:r>
    </w:p>
    <w:p w14:paraId="3DBCFF06">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第十条</w:t>
      </w:r>
      <w:r>
        <w:rPr>
          <w:rFonts w:hint="eastAsia" w:hAnsi="宋体" w:eastAsia="宋体" w:cs="宋体"/>
          <w:color w:val="auto"/>
          <w:sz w:val="24"/>
          <w:szCs w:val="24"/>
        </w:rPr>
        <w:t xml:space="preserve"> 双方确定，在本合同有效期内，甲方指定</w:t>
      </w:r>
      <w:r>
        <w:rPr>
          <w:rFonts w:hint="eastAsia" w:hAnsi="宋体" w:eastAsia="宋体" w:cs="宋体"/>
          <w:color w:val="auto"/>
          <w:sz w:val="24"/>
          <w:szCs w:val="24"/>
          <w:u w:val="single"/>
        </w:rPr>
        <w:t xml:space="preserve">    </w:t>
      </w:r>
      <w:r>
        <w:rPr>
          <w:rFonts w:hint="eastAsia" w:hAnsi="宋体" w:eastAsia="宋体" w:cs="宋体"/>
          <w:color w:val="auto"/>
          <w:sz w:val="24"/>
          <w:szCs w:val="24"/>
        </w:rPr>
        <w:t>为甲方项目联系人，乙方指定</w:t>
      </w:r>
      <w:r>
        <w:rPr>
          <w:rFonts w:hint="eastAsia" w:hAnsi="宋体" w:eastAsia="宋体" w:cs="宋体"/>
          <w:color w:val="auto"/>
          <w:sz w:val="24"/>
          <w:szCs w:val="24"/>
          <w:u w:val="single"/>
        </w:rPr>
        <w:t xml:space="preserve">      </w:t>
      </w:r>
      <w:r>
        <w:rPr>
          <w:rFonts w:hint="eastAsia" w:hAnsi="宋体" w:eastAsia="宋体" w:cs="宋体"/>
          <w:color w:val="auto"/>
          <w:sz w:val="24"/>
          <w:szCs w:val="24"/>
        </w:rPr>
        <w:t>为乙方项目联系人。</w:t>
      </w:r>
    </w:p>
    <w:p w14:paraId="3DBCFF07">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一方变更项目联系人的，应当及时以书面形式通知另一方。未及时通知并影响本合同履行或造成损失的，应承担相应的责任。</w:t>
      </w:r>
    </w:p>
    <w:p w14:paraId="3DBCFF08">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 </w:t>
      </w:r>
      <w:r>
        <w:rPr>
          <w:rFonts w:hint="eastAsia" w:hAnsi="宋体" w:eastAsia="宋体" w:cs="宋体"/>
          <w:b/>
          <w:color w:val="auto"/>
          <w:sz w:val="24"/>
          <w:szCs w:val="24"/>
        </w:rPr>
        <w:t xml:space="preserve">第十一条 </w:t>
      </w:r>
      <w:r>
        <w:rPr>
          <w:rFonts w:hint="eastAsia" w:hAnsi="宋体" w:eastAsia="宋体" w:cs="宋体"/>
          <w:color w:val="auto"/>
          <w:sz w:val="24"/>
          <w:szCs w:val="24"/>
        </w:rPr>
        <w:t>不可抗力事件处理</w:t>
      </w:r>
    </w:p>
    <w:p w14:paraId="3DBCFF09">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1. 在合同有效期内，任何一方因不可抗力事件导致不能履行合同，则合同履行期可延长，其延长期与不可抗力影响期相同。</w:t>
      </w:r>
    </w:p>
    <w:p w14:paraId="3DBCFF0A">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2. 不可抗力事件发生后，应立即通知对方，并寄送有关权威机构出具的证明。</w:t>
      </w:r>
    </w:p>
    <w:p w14:paraId="3DBCFF0B">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3. 不可抗力事件延续30天以上，双方应通过友好协商，书面确定是否继续履行合同。</w:t>
      </w:r>
    </w:p>
    <w:p w14:paraId="3DBCFF0C">
      <w:pPr>
        <w:pStyle w:val="14"/>
        <w:spacing w:line="440" w:lineRule="exact"/>
        <w:ind w:firstLine="482" w:firstLineChars="200"/>
        <w:rPr>
          <w:rFonts w:hint="eastAsia" w:hAnsi="宋体" w:eastAsia="宋体" w:cs="宋体"/>
          <w:color w:val="auto"/>
          <w:sz w:val="24"/>
          <w:szCs w:val="24"/>
        </w:rPr>
      </w:pPr>
      <w:r>
        <w:rPr>
          <w:rFonts w:hint="eastAsia" w:hAnsi="宋体" w:eastAsia="宋体" w:cs="宋体"/>
          <w:b/>
          <w:color w:val="auto"/>
          <w:sz w:val="24"/>
          <w:szCs w:val="24"/>
        </w:rPr>
        <w:t xml:space="preserve">第十二条 </w:t>
      </w:r>
      <w:r>
        <w:rPr>
          <w:rFonts w:hint="eastAsia" w:hAnsi="宋体" w:eastAsia="宋体" w:cs="宋体"/>
          <w:color w:val="auto"/>
          <w:sz w:val="24"/>
          <w:szCs w:val="24"/>
        </w:rPr>
        <w:t>诉讼条款</w:t>
      </w:r>
    </w:p>
    <w:p w14:paraId="3DBCFF0D">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3DBCFF0E">
      <w:pPr>
        <w:pStyle w:val="14"/>
        <w:spacing w:line="440" w:lineRule="exact"/>
        <w:ind w:firstLine="482" w:firstLineChars="200"/>
        <w:rPr>
          <w:rFonts w:hint="eastAsia" w:hAnsi="宋体" w:eastAsia="宋体" w:cs="宋体"/>
          <w:b/>
          <w:color w:val="auto"/>
          <w:sz w:val="24"/>
          <w:szCs w:val="24"/>
        </w:rPr>
      </w:pPr>
      <w:r>
        <w:rPr>
          <w:rFonts w:hint="eastAsia" w:hAnsi="宋体" w:eastAsia="宋体" w:cs="宋体"/>
          <w:b/>
          <w:color w:val="auto"/>
          <w:sz w:val="24"/>
          <w:szCs w:val="24"/>
        </w:rPr>
        <w:t xml:space="preserve">第十三条 </w:t>
      </w:r>
      <w:r>
        <w:rPr>
          <w:rFonts w:hint="eastAsia" w:hAnsi="宋体" w:eastAsia="宋体" w:cs="宋体"/>
          <w:color w:val="auto"/>
          <w:sz w:val="24"/>
          <w:szCs w:val="24"/>
        </w:rPr>
        <w:t>合同生效及其它</w:t>
      </w:r>
    </w:p>
    <w:p w14:paraId="3DBCFF0F">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1.  招投标文件作为合同的附件，与本合同具有同等法律效力。合同经双方法定代表人或授权委托代表人签字、盖章后生效。</w:t>
      </w:r>
    </w:p>
    <w:p w14:paraId="3DBCFF10">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2.本合同未尽事宜，遵照《中华人民共和国民法典》有关条文执行。</w:t>
      </w:r>
    </w:p>
    <w:p w14:paraId="3DBCFF11">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3.本合同正本一式肆份，甲方叁份，乙方壹份，具有同等法律效力。</w:t>
      </w:r>
    </w:p>
    <w:p w14:paraId="3DBCFF12">
      <w:pPr>
        <w:pStyle w:val="14"/>
        <w:spacing w:line="440" w:lineRule="exact"/>
        <w:ind w:firstLine="480" w:firstLineChars="200"/>
        <w:rPr>
          <w:rFonts w:hint="eastAsia" w:hAnsi="宋体" w:eastAsia="宋体" w:cs="宋体"/>
          <w:color w:val="auto"/>
          <w:sz w:val="24"/>
          <w:szCs w:val="24"/>
        </w:rPr>
      </w:pPr>
      <w:r>
        <w:rPr>
          <w:rFonts w:hint="eastAsia" w:hAnsi="宋体" w:eastAsia="宋体" w:cs="宋体"/>
          <w:color w:val="auto"/>
          <w:sz w:val="24"/>
          <w:szCs w:val="24"/>
        </w:rPr>
        <w:t>4.</w:t>
      </w:r>
      <w:r>
        <w:rPr>
          <w:rFonts w:hint="eastAsia" w:hAnsi="宋体" w:eastAsia="宋体" w:cs="Times New Roman"/>
          <w:color w:val="auto"/>
          <w:kern w:val="0"/>
          <w:sz w:val="24"/>
          <w:szCs w:val="24"/>
        </w:rPr>
        <w:t>合同签订地点：江苏省</w:t>
      </w:r>
      <w:r>
        <w:rPr>
          <w:rFonts w:hint="eastAsia" w:hAnsi="宋体" w:eastAsia="宋体" w:cs="Times New Roman"/>
          <w:color w:val="auto"/>
          <w:kern w:val="0"/>
          <w:sz w:val="24"/>
          <w:szCs w:val="28"/>
        </w:rPr>
        <w:t>南京市</w:t>
      </w:r>
      <w:r>
        <w:rPr>
          <w:rFonts w:hint="eastAsia" w:hAnsi="宋体" w:eastAsia="宋体"/>
          <w:color w:val="auto"/>
          <w:sz w:val="24"/>
          <w:szCs w:val="24"/>
        </w:rPr>
        <w:t>。</w:t>
      </w:r>
    </w:p>
    <w:p w14:paraId="3DBCFF13">
      <w:pPr>
        <w:pStyle w:val="14"/>
        <w:spacing w:line="440" w:lineRule="exact"/>
        <w:ind w:firstLine="480" w:firstLineChars="200"/>
        <w:rPr>
          <w:rFonts w:hint="eastAsia" w:hAnsi="宋体" w:eastAsia="宋体" w:cs="宋体"/>
          <w:color w:val="auto"/>
          <w:sz w:val="24"/>
          <w:szCs w:val="24"/>
        </w:rPr>
      </w:pPr>
    </w:p>
    <w:p w14:paraId="3DBCFF14">
      <w:pPr>
        <w:pStyle w:val="14"/>
        <w:spacing w:line="440" w:lineRule="exact"/>
        <w:ind w:firstLine="480" w:firstLineChars="200"/>
        <w:rPr>
          <w:rFonts w:hint="eastAsia" w:hAnsi="宋体" w:eastAsia="宋体" w:cs="宋体"/>
          <w:color w:val="auto"/>
          <w:sz w:val="24"/>
          <w:szCs w:val="24"/>
        </w:rPr>
      </w:pPr>
    </w:p>
    <w:p w14:paraId="3DBCFF15">
      <w:pPr>
        <w:pStyle w:val="14"/>
        <w:spacing w:line="440" w:lineRule="exact"/>
        <w:ind w:firstLine="480" w:firstLineChars="200"/>
        <w:rPr>
          <w:rFonts w:hint="eastAsia" w:hAnsi="宋体" w:eastAsia="宋体" w:cs="宋体"/>
          <w:color w:val="auto"/>
          <w:sz w:val="24"/>
          <w:szCs w:val="24"/>
        </w:rPr>
      </w:pPr>
    </w:p>
    <w:p w14:paraId="3DBCFF16">
      <w:pPr>
        <w:pStyle w:val="14"/>
        <w:spacing w:line="440" w:lineRule="exact"/>
        <w:ind w:firstLine="480" w:firstLineChars="200"/>
        <w:rPr>
          <w:rFonts w:hint="eastAsia" w:hAnsi="宋体" w:eastAsia="宋体" w:cs="宋体"/>
          <w:color w:val="auto"/>
          <w:sz w:val="24"/>
          <w:szCs w:val="24"/>
        </w:rPr>
      </w:pPr>
    </w:p>
    <w:p w14:paraId="3DBCFF17">
      <w:pPr>
        <w:pStyle w:val="14"/>
        <w:spacing w:line="440" w:lineRule="exact"/>
        <w:ind w:firstLine="480" w:firstLineChars="200"/>
        <w:rPr>
          <w:rFonts w:hint="eastAsia" w:hAnsi="宋体" w:eastAsia="宋体" w:cs="宋体"/>
          <w:color w:val="auto"/>
          <w:sz w:val="24"/>
          <w:szCs w:val="24"/>
        </w:rPr>
      </w:pPr>
    </w:p>
    <w:p w14:paraId="3DBCFF18">
      <w:pPr>
        <w:pStyle w:val="14"/>
        <w:spacing w:line="360" w:lineRule="auto"/>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甲方： 南京医科大学             乙方： </w:t>
      </w:r>
    </w:p>
    <w:p w14:paraId="3DBCFF19">
      <w:pPr>
        <w:pStyle w:val="14"/>
        <w:spacing w:line="360" w:lineRule="auto"/>
        <w:ind w:firstLine="480" w:firstLineChars="200"/>
        <w:rPr>
          <w:rFonts w:hint="eastAsia" w:hAnsi="宋体" w:eastAsia="宋体" w:cs="宋体"/>
          <w:color w:val="auto"/>
          <w:sz w:val="24"/>
          <w:szCs w:val="24"/>
        </w:rPr>
      </w:pPr>
      <w:r>
        <w:rPr>
          <w:rFonts w:hint="eastAsia" w:hAnsi="宋体" w:eastAsia="宋体" w:cs="宋体"/>
          <w:color w:val="auto"/>
          <w:sz w:val="24"/>
          <w:szCs w:val="24"/>
        </w:rPr>
        <w:t xml:space="preserve">地址：                          地址： </w:t>
      </w:r>
    </w:p>
    <w:p w14:paraId="3DBCFF1A">
      <w:pPr>
        <w:pStyle w:val="14"/>
        <w:spacing w:line="360" w:lineRule="auto"/>
        <w:ind w:firstLine="480" w:firstLineChars="200"/>
        <w:rPr>
          <w:rFonts w:hint="eastAsia" w:hAnsi="宋体" w:eastAsia="宋体" w:cs="宋体"/>
          <w:color w:val="auto"/>
          <w:sz w:val="24"/>
          <w:szCs w:val="24"/>
        </w:rPr>
      </w:pPr>
      <w:r>
        <w:rPr>
          <w:rFonts w:hint="eastAsia" w:hAnsi="宋体" w:eastAsia="宋体" w:cs="宋体"/>
          <w:color w:val="auto"/>
          <w:sz w:val="24"/>
          <w:szCs w:val="24"/>
        </w:rPr>
        <w:t>法定代表人或授权代表：          法定代表人或授权代表：</w:t>
      </w:r>
    </w:p>
    <w:p w14:paraId="3DBCFF1B">
      <w:pPr>
        <w:pStyle w:val="14"/>
        <w:spacing w:line="360" w:lineRule="auto"/>
        <w:ind w:firstLine="480" w:firstLineChars="200"/>
        <w:rPr>
          <w:rFonts w:hint="eastAsia" w:hAnsi="宋体" w:eastAsia="宋体" w:cs="宋体"/>
          <w:color w:val="auto"/>
          <w:sz w:val="24"/>
          <w:szCs w:val="24"/>
        </w:rPr>
      </w:pPr>
      <w:r>
        <w:rPr>
          <w:rFonts w:hint="eastAsia" w:hAnsi="宋体" w:eastAsia="宋体" w:cs="宋体"/>
          <w:color w:val="auto"/>
          <w:sz w:val="24"/>
          <w:szCs w:val="24"/>
        </w:rPr>
        <w:t>联系电话：                      联系电话：</w:t>
      </w:r>
    </w:p>
    <w:p w14:paraId="3DBCFF1C">
      <w:pPr>
        <w:pStyle w:val="14"/>
        <w:spacing w:line="360" w:lineRule="auto"/>
        <w:ind w:firstLine="480" w:firstLineChars="200"/>
        <w:rPr>
          <w:rFonts w:hint="eastAsia" w:hAnsi="宋体" w:eastAsia="宋体" w:cs="Times New Roman"/>
          <w:color w:val="auto"/>
          <w:kern w:val="0"/>
          <w:sz w:val="24"/>
          <w:szCs w:val="28"/>
        </w:rPr>
      </w:pPr>
      <w:r>
        <w:rPr>
          <w:rFonts w:hint="eastAsia" w:hAnsi="宋体" w:eastAsia="宋体" w:cs="Times New Roman"/>
          <w:color w:val="auto"/>
          <w:kern w:val="0"/>
          <w:sz w:val="24"/>
          <w:szCs w:val="28"/>
        </w:rPr>
        <w:t>签订日期：   年    月    日</w:t>
      </w:r>
      <w:r>
        <w:rPr>
          <w:rFonts w:hint="eastAsia" w:hAnsi="宋体" w:cs="Times New Roman"/>
          <w:color w:val="auto"/>
          <w:kern w:val="0"/>
          <w:sz w:val="24"/>
          <w:szCs w:val="28"/>
        </w:rPr>
        <w:t xml:space="preserve">     </w:t>
      </w:r>
      <w:r>
        <w:rPr>
          <w:rFonts w:hint="eastAsia" w:hAnsi="宋体" w:eastAsia="宋体" w:cs="Times New Roman"/>
          <w:color w:val="auto"/>
          <w:kern w:val="0"/>
          <w:sz w:val="24"/>
          <w:szCs w:val="28"/>
        </w:rPr>
        <w:t>签订日期：   年    月    日</w:t>
      </w:r>
    </w:p>
    <w:p w14:paraId="3DBCFF1D">
      <w:pPr>
        <w:pStyle w:val="34"/>
        <w:ind w:firstLine="0"/>
        <w:rPr>
          <w:rFonts w:hint="eastAsia" w:asciiTheme="minorEastAsia" w:hAnsiTheme="minorEastAsia" w:eastAsiaTheme="minorEastAsia"/>
          <w:color w:val="auto"/>
          <w:sz w:val="28"/>
          <w:szCs w:val="28"/>
        </w:rPr>
      </w:pPr>
    </w:p>
    <w:p w14:paraId="3DBCFF1E">
      <w:pPr>
        <w:pStyle w:val="2"/>
        <w:pageBreakBefore/>
        <w:spacing w:line="360" w:lineRule="auto"/>
        <w:rPr>
          <w:rFonts w:hint="eastAsia"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3DBCFF1F">
      <w:pPr>
        <w:spacing w:line="360" w:lineRule="auto"/>
        <w:jc w:val="center"/>
        <w:rPr>
          <w:rFonts w:hint="eastAsia" w:asciiTheme="majorEastAsia" w:hAnsiTheme="majorEastAsia" w:eastAsiaTheme="majorEastAsia"/>
          <w:b/>
          <w:color w:val="auto"/>
          <w:sz w:val="36"/>
          <w:szCs w:val="36"/>
        </w:rPr>
      </w:pPr>
      <w:bookmarkStart w:id="52" w:name="_Hlt26955039"/>
      <w:bookmarkEnd w:id="52"/>
      <w:bookmarkStart w:id="53" w:name="_Hlt26671244"/>
      <w:bookmarkEnd w:id="53"/>
      <w:bookmarkStart w:id="54" w:name="_Toc26554094"/>
      <w:bookmarkStart w:id="55" w:name="_Toc49090576"/>
      <w:bookmarkStart w:id="56" w:name="_Toc120614282"/>
    </w:p>
    <w:p w14:paraId="3DBCFF20">
      <w:pPr>
        <w:spacing w:line="360" w:lineRule="auto"/>
        <w:jc w:val="center"/>
        <w:rPr>
          <w:rFonts w:hint="eastAsia" w:ascii="微软雅黑" w:hAnsi="微软雅黑" w:cs="微软雅黑"/>
          <w:b/>
          <w:color w:val="auto"/>
          <w:sz w:val="44"/>
          <w:szCs w:val="44"/>
        </w:rPr>
      </w:pPr>
      <w:r>
        <w:rPr>
          <w:rFonts w:hint="eastAsia" w:ascii="微软雅黑" w:hAnsi="微软雅黑" w:cs="微软雅黑"/>
          <w:b/>
          <w:color w:val="auto"/>
          <w:sz w:val="44"/>
          <w:szCs w:val="44"/>
        </w:rPr>
        <w:t>投  标  文  件</w:t>
      </w:r>
    </w:p>
    <w:p w14:paraId="3DBCFF21">
      <w:pPr>
        <w:spacing w:line="360" w:lineRule="auto"/>
        <w:jc w:val="center"/>
        <w:rPr>
          <w:rFonts w:hint="eastAsia" w:ascii="宋体" w:hAnsi="宋体" w:eastAsia="宋体" w:cs="宋体"/>
          <w:b/>
          <w:color w:val="auto"/>
          <w:sz w:val="24"/>
          <w:szCs w:val="24"/>
        </w:rPr>
      </w:pPr>
    </w:p>
    <w:p w14:paraId="3DBCFF22">
      <w:pPr>
        <w:spacing w:line="360" w:lineRule="auto"/>
        <w:jc w:val="center"/>
        <w:rPr>
          <w:rFonts w:hint="eastAsia" w:ascii="宋体" w:hAnsi="宋体" w:eastAsia="宋体" w:cs="宋体"/>
          <w:b/>
          <w:color w:val="auto"/>
          <w:sz w:val="24"/>
          <w:szCs w:val="24"/>
        </w:rPr>
      </w:pPr>
    </w:p>
    <w:p w14:paraId="3DBCFF23">
      <w:pPr>
        <w:spacing w:line="360" w:lineRule="auto"/>
        <w:jc w:val="center"/>
        <w:rPr>
          <w:rFonts w:hint="eastAsia" w:ascii="宋体" w:hAnsi="宋体" w:eastAsia="宋体" w:cs="宋体"/>
          <w:b/>
          <w:color w:val="auto"/>
          <w:sz w:val="24"/>
          <w:szCs w:val="24"/>
        </w:rPr>
      </w:pPr>
    </w:p>
    <w:p w14:paraId="3DBCFF24">
      <w:pPr>
        <w:spacing w:line="360" w:lineRule="auto"/>
        <w:jc w:val="center"/>
        <w:rPr>
          <w:rFonts w:hint="eastAsia" w:ascii="宋体" w:hAnsi="宋体" w:eastAsia="宋体" w:cs="宋体"/>
          <w:b/>
          <w:color w:val="auto"/>
          <w:sz w:val="24"/>
          <w:szCs w:val="24"/>
        </w:rPr>
      </w:pPr>
    </w:p>
    <w:p w14:paraId="3DBCFF25">
      <w:pPr>
        <w:spacing w:line="360" w:lineRule="auto"/>
        <w:jc w:val="center"/>
        <w:rPr>
          <w:rFonts w:hint="eastAsia" w:ascii="宋体" w:hAnsi="宋体" w:eastAsia="宋体" w:cs="宋体"/>
          <w:b/>
          <w:color w:val="auto"/>
          <w:sz w:val="24"/>
          <w:szCs w:val="24"/>
        </w:rPr>
      </w:pPr>
    </w:p>
    <w:p w14:paraId="3DBCFF26">
      <w:pPr>
        <w:spacing w:line="360" w:lineRule="auto"/>
        <w:ind w:firstLine="840" w:firstLineChars="300"/>
        <w:rPr>
          <w:rFonts w:hint="eastAsia" w:ascii="微软雅黑" w:hAnsi="微软雅黑" w:cs="微软雅黑"/>
          <w:b/>
          <w:color w:val="auto"/>
          <w:sz w:val="28"/>
          <w:szCs w:val="28"/>
        </w:rPr>
      </w:pP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7"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1312;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GiRt7b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3DBCFF27">
      <w:pPr>
        <w:spacing w:line="360" w:lineRule="auto"/>
        <w:ind w:firstLine="840" w:firstLineChars="300"/>
        <w:rPr>
          <w:rFonts w:hint="eastAsia"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8"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2336;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wFZNne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E0dgeWBv787fvz&#10;j59slbXpA9aUcu92cdxh2MVM9NRGm/9EgZ2KnueLnuqUmCDnfH67Ws5JakGx5XyREauX0hAxfVDe&#10;smw03GiXyUINx4+YhtTfKdltHOsbvlrMFgQIdPNamjiZNlD36A6lFr3R8kEbkyswHvb3JrIj5OmX&#10;b2zhr7R8yBawG/JKKKdB3SmQ751k6RxIF0fPgecWrJKcGUWvJ1slM4E212QSe+NIhKzroGS29l6e&#10;i8DFT5MuMo23Ml+lP/el+uUlbn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WTZ3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3DBCFF28">
      <w:pPr>
        <w:spacing w:line="360" w:lineRule="auto"/>
        <w:rPr>
          <w:rFonts w:hint="eastAsia"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9"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3360;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boNgAAAAJAQAA&#10;DwAAAAAAAAABACAAAAAiAAAAZHJzL2Rvd25yZXYueG1sUEsBAhQAFAAAAAgAh07iQA2wQengAQAA&#10;0g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3DBCFF29">
      <w:pPr>
        <w:spacing w:line="360" w:lineRule="auto"/>
        <w:rPr>
          <w:rFonts w:hint="eastAsia"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3DBCFF2A">
      <w:pPr>
        <w:spacing w:line="360" w:lineRule="auto"/>
        <w:rPr>
          <w:rFonts w:hint="eastAsia" w:ascii="微软雅黑" w:hAnsi="微软雅黑" w:cs="微软雅黑"/>
          <w:b/>
          <w:color w:val="auto"/>
          <w:sz w:val="28"/>
          <w:szCs w:val="28"/>
        </w:rPr>
      </w:pPr>
    </w:p>
    <w:p w14:paraId="3DBCFF2B">
      <w:pPr>
        <w:spacing w:line="360" w:lineRule="auto"/>
        <w:rPr>
          <w:rFonts w:hint="eastAsia" w:ascii="微软雅黑" w:hAnsi="微软雅黑" w:cs="微软雅黑"/>
          <w:b/>
          <w:color w:val="auto"/>
          <w:sz w:val="28"/>
          <w:szCs w:val="28"/>
        </w:rPr>
      </w:pPr>
    </w:p>
    <w:p w14:paraId="3DBCFF2C">
      <w:pPr>
        <w:spacing w:line="360" w:lineRule="auto"/>
        <w:jc w:val="center"/>
        <w:rPr>
          <w:rFonts w:hint="eastAsia" w:ascii="微软雅黑" w:hAnsi="微软雅黑" w:cs="微软雅黑"/>
          <w:b/>
          <w:color w:val="auto"/>
          <w:sz w:val="28"/>
          <w:szCs w:val="28"/>
        </w:rPr>
      </w:pPr>
      <w:r>
        <w:rPr>
          <w:rFonts w:hint="eastAsia" w:ascii="微软雅黑" w:hAnsi="微软雅黑" w:cs="微软雅黑"/>
          <w:b/>
          <w:color w:val="auto"/>
          <w:sz w:val="28"/>
          <w:szCs w:val="28"/>
        </w:rPr>
        <w:t>年    月    日</w:t>
      </w:r>
    </w:p>
    <w:p w14:paraId="3DBCFF2D">
      <w:pPr>
        <w:spacing w:line="360" w:lineRule="auto"/>
        <w:jc w:val="center"/>
        <w:rPr>
          <w:rFonts w:hint="eastAsia" w:ascii="宋体" w:hAnsi="宋体" w:eastAsia="宋体" w:cs="宋体"/>
          <w:b/>
          <w:bCs/>
          <w:color w:val="auto"/>
          <w:sz w:val="24"/>
          <w:szCs w:val="24"/>
        </w:rPr>
      </w:pPr>
    </w:p>
    <w:p w14:paraId="3DBCFF2E">
      <w:pPr>
        <w:spacing w:line="360" w:lineRule="auto"/>
        <w:ind w:firstLine="480" w:firstLineChars="200"/>
        <w:rPr>
          <w:rFonts w:hint="eastAsia" w:ascii="宋体" w:hAnsi="宋体" w:eastAsia="宋体" w:cs="宋体"/>
          <w:color w:val="auto"/>
          <w:sz w:val="24"/>
          <w:szCs w:val="24"/>
        </w:rPr>
      </w:pPr>
    </w:p>
    <w:p w14:paraId="3DBCFF2F">
      <w:pPr>
        <w:pStyle w:val="34"/>
        <w:ind w:firstLine="0"/>
        <w:jc w:val="center"/>
        <w:rPr>
          <w:rFonts w:hint="eastAsia" w:ascii="宋体" w:hAnsi="宋体" w:cs="宋体"/>
          <w:b/>
          <w:bCs/>
          <w:color w:val="auto"/>
          <w:sz w:val="36"/>
          <w:szCs w:val="36"/>
        </w:rPr>
      </w:pPr>
      <w:r>
        <w:rPr>
          <w:rFonts w:hint="eastAsia" w:ascii="宋体" w:hAnsi="宋体" w:cs="宋体"/>
          <w:b/>
          <w:bCs/>
          <w:color w:val="auto"/>
          <w:sz w:val="36"/>
          <w:szCs w:val="36"/>
        </w:rPr>
        <w:t>目  录</w:t>
      </w:r>
    </w:p>
    <w:p w14:paraId="3DBCFF30">
      <w:pPr>
        <w:pStyle w:val="34"/>
        <w:ind w:firstLine="0"/>
        <w:jc w:val="center"/>
        <w:rPr>
          <w:rFonts w:hint="eastAsia" w:ascii="宋体" w:hAnsi="宋体" w:cs="宋体"/>
          <w:b/>
          <w:bCs/>
          <w:color w:val="auto"/>
          <w:sz w:val="36"/>
          <w:szCs w:val="36"/>
        </w:rPr>
      </w:pPr>
    </w:p>
    <w:p w14:paraId="3DBCFF31">
      <w:pPr>
        <w:pStyle w:val="34"/>
        <w:ind w:firstLine="0"/>
        <w:jc w:val="center"/>
        <w:rPr>
          <w:rFonts w:hint="eastAsia" w:ascii="宋体" w:hAnsi="宋体" w:cs="宋体"/>
          <w:b/>
          <w:bCs/>
          <w:color w:val="auto"/>
          <w:sz w:val="36"/>
          <w:szCs w:val="36"/>
        </w:rPr>
      </w:pPr>
    </w:p>
    <w:p w14:paraId="3DBCFF32">
      <w:pPr>
        <w:pStyle w:val="34"/>
        <w:ind w:firstLine="0"/>
        <w:jc w:val="center"/>
        <w:rPr>
          <w:rFonts w:hint="eastAsia" w:ascii="宋体" w:hAnsi="宋体" w:cs="宋体"/>
          <w:b/>
          <w:bCs/>
          <w:color w:val="auto"/>
          <w:sz w:val="36"/>
          <w:szCs w:val="36"/>
        </w:rPr>
      </w:pPr>
    </w:p>
    <w:p w14:paraId="3DBCFF33">
      <w:pPr>
        <w:pStyle w:val="34"/>
        <w:ind w:firstLine="0"/>
        <w:jc w:val="center"/>
        <w:rPr>
          <w:rFonts w:hint="eastAsia" w:ascii="宋体" w:hAnsi="宋体" w:cs="宋体"/>
          <w:b/>
          <w:bCs/>
          <w:color w:val="auto"/>
          <w:sz w:val="36"/>
          <w:szCs w:val="36"/>
        </w:rPr>
      </w:pPr>
    </w:p>
    <w:p w14:paraId="3DBCFF34">
      <w:pPr>
        <w:pStyle w:val="34"/>
        <w:ind w:firstLine="0"/>
        <w:jc w:val="center"/>
        <w:rPr>
          <w:rFonts w:hint="eastAsia" w:ascii="宋体" w:hAnsi="宋体" w:cs="宋体"/>
          <w:b/>
          <w:bCs/>
          <w:color w:val="auto"/>
          <w:sz w:val="36"/>
          <w:szCs w:val="36"/>
        </w:rPr>
      </w:pPr>
    </w:p>
    <w:p w14:paraId="3DBCFF35">
      <w:pPr>
        <w:pStyle w:val="34"/>
        <w:ind w:firstLine="0"/>
        <w:jc w:val="center"/>
        <w:rPr>
          <w:rFonts w:hint="eastAsia" w:ascii="宋体" w:hAnsi="宋体" w:cs="宋体"/>
          <w:b/>
          <w:bCs/>
          <w:color w:val="auto"/>
          <w:sz w:val="36"/>
          <w:szCs w:val="36"/>
        </w:rPr>
      </w:pPr>
    </w:p>
    <w:p w14:paraId="3DBCFF36">
      <w:pPr>
        <w:pStyle w:val="34"/>
        <w:ind w:firstLine="0"/>
        <w:jc w:val="center"/>
        <w:rPr>
          <w:rFonts w:hint="eastAsia" w:ascii="宋体" w:hAnsi="宋体" w:cs="宋体"/>
          <w:b/>
          <w:bCs/>
          <w:color w:val="auto"/>
          <w:sz w:val="36"/>
          <w:szCs w:val="36"/>
        </w:rPr>
      </w:pPr>
    </w:p>
    <w:p w14:paraId="3DBCFF37">
      <w:pPr>
        <w:pStyle w:val="34"/>
        <w:ind w:firstLine="0"/>
        <w:jc w:val="center"/>
        <w:rPr>
          <w:rFonts w:hint="eastAsia" w:ascii="宋体" w:hAnsi="宋体" w:cs="宋体"/>
          <w:b/>
          <w:bCs/>
          <w:color w:val="auto"/>
          <w:sz w:val="36"/>
          <w:szCs w:val="36"/>
        </w:rPr>
      </w:pPr>
    </w:p>
    <w:p w14:paraId="3DBCFF38">
      <w:pPr>
        <w:pStyle w:val="34"/>
        <w:ind w:firstLine="0"/>
        <w:jc w:val="center"/>
        <w:rPr>
          <w:rFonts w:hint="eastAsia" w:ascii="宋体" w:hAnsi="宋体" w:cs="宋体"/>
          <w:b/>
          <w:bCs/>
          <w:color w:val="auto"/>
          <w:sz w:val="36"/>
          <w:szCs w:val="36"/>
        </w:rPr>
      </w:pPr>
    </w:p>
    <w:p w14:paraId="3DBCFF39">
      <w:pPr>
        <w:pStyle w:val="34"/>
        <w:ind w:firstLine="0"/>
        <w:jc w:val="center"/>
        <w:rPr>
          <w:rFonts w:hint="eastAsia" w:ascii="宋体" w:hAnsi="宋体" w:cs="宋体"/>
          <w:b/>
          <w:bCs/>
          <w:color w:val="auto"/>
          <w:sz w:val="36"/>
          <w:szCs w:val="36"/>
        </w:rPr>
      </w:pPr>
    </w:p>
    <w:p w14:paraId="3DBCFF3A">
      <w:pPr>
        <w:pStyle w:val="34"/>
        <w:ind w:firstLine="0"/>
        <w:jc w:val="center"/>
        <w:rPr>
          <w:rFonts w:hint="eastAsia" w:ascii="宋体" w:hAnsi="宋体" w:cs="宋体"/>
          <w:b/>
          <w:bCs/>
          <w:color w:val="auto"/>
          <w:sz w:val="36"/>
          <w:szCs w:val="36"/>
        </w:rPr>
      </w:pPr>
    </w:p>
    <w:p w14:paraId="3DBCFF3B">
      <w:pPr>
        <w:pStyle w:val="34"/>
        <w:ind w:firstLine="0"/>
        <w:jc w:val="center"/>
        <w:rPr>
          <w:rFonts w:hint="eastAsia" w:ascii="宋体" w:hAnsi="宋体" w:cs="宋体"/>
          <w:b/>
          <w:bCs/>
          <w:color w:val="auto"/>
          <w:sz w:val="36"/>
          <w:szCs w:val="36"/>
        </w:rPr>
      </w:pPr>
    </w:p>
    <w:p w14:paraId="3DBCFF3C">
      <w:pPr>
        <w:pStyle w:val="34"/>
        <w:ind w:firstLine="0"/>
        <w:jc w:val="center"/>
        <w:rPr>
          <w:rFonts w:hint="eastAsia" w:ascii="宋体" w:hAnsi="宋体" w:cs="宋体"/>
          <w:b/>
          <w:bCs/>
          <w:color w:val="auto"/>
          <w:sz w:val="36"/>
          <w:szCs w:val="36"/>
        </w:rPr>
      </w:pPr>
    </w:p>
    <w:p w14:paraId="3DBCFF3D">
      <w:pPr>
        <w:pStyle w:val="34"/>
        <w:ind w:firstLine="0"/>
        <w:jc w:val="center"/>
        <w:rPr>
          <w:rFonts w:hint="eastAsia" w:ascii="宋体" w:hAnsi="宋体" w:cs="宋体"/>
          <w:b/>
          <w:bCs/>
          <w:color w:val="auto"/>
          <w:sz w:val="36"/>
          <w:szCs w:val="36"/>
        </w:rPr>
      </w:pPr>
    </w:p>
    <w:p w14:paraId="3DBCFF3E">
      <w:pPr>
        <w:pStyle w:val="34"/>
        <w:ind w:firstLine="0"/>
        <w:jc w:val="both"/>
        <w:rPr>
          <w:rFonts w:hint="eastAsia" w:ascii="宋体" w:hAnsi="宋体" w:cs="宋体"/>
          <w:b/>
          <w:bCs/>
          <w:color w:val="auto"/>
        </w:rPr>
      </w:pPr>
    </w:p>
    <w:p w14:paraId="3DBCFF3F">
      <w:pPr>
        <w:pStyle w:val="34"/>
        <w:ind w:firstLine="0"/>
        <w:jc w:val="both"/>
        <w:rPr>
          <w:rFonts w:hint="eastAsia" w:ascii="宋体" w:hAnsi="宋体" w:cs="宋体"/>
          <w:b/>
          <w:bCs/>
          <w:color w:val="auto"/>
        </w:rPr>
      </w:pPr>
    </w:p>
    <w:p w14:paraId="3DBCFF40">
      <w:pPr>
        <w:pStyle w:val="34"/>
        <w:ind w:firstLine="0"/>
        <w:jc w:val="both"/>
        <w:rPr>
          <w:rFonts w:hint="eastAsia" w:ascii="宋体" w:hAnsi="宋体" w:cs="宋体"/>
          <w:b/>
          <w:bCs/>
          <w:color w:val="auto"/>
        </w:rPr>
      </w:pPr>
    </w:p>
    <w:p w14:paraId="3DBCFF41">
      <w:pPr>
        <w:pStyle w:val="34"/>
        <w:ind w:firstLine="0"/>
        <w:jc w:val="both"/>
        <w:rPr>
          <w:rFonts w:hint="eastAsia" w:ascii="宋体" w:hAnsi="宋体" w:cs="宋体"/>
          <w:b/>
          <w:bCs/>
          <w:color w:val="auto"/>
        </w:rPr>
      </w:pPr>
      <w:r>
        <w:rPr>
          <w:rFonts w:hint="eastAsia" w:ascii="宋体" w:hAnsi="宋体" w:cs="宋体"/>
          <w:b/>
          <w:bCs/>
          <w:color w:val="auto"/>
        </w:rPr>
        <w:t>附件一</w:t>
      </w:r>
      <w:bookmarkStart w:id="57" w:name="_Toc517190894"/>
    </w:p>
    <w:p w14:paraId="3DBCFF42">
      <w:pPr>
        <w:pStyle w:val="34"/>
        <w:ind w:firstLine="0"/>
        <w:jc w:val="center"/>
        <w:rPr>
          <w:rFonts w:hint="eastAsia" w:ascii="宋体" w:hAnsi="宋体" w:cs="宋体"/>
          <w:b/>
          <w:color w:val="auto"/>
          <w:sz w:val="28"/>
          <w:szCs w:val="28"/>
        </w:rPr>
      </w:pPr>
      <w:r>
        <w:rPr>
          <w:rFonts w:hint="eastAsia" w:ascii="宋体" w:hAnsi="宋体" w:cs="宋体"/>
          <w:b/>
          <w:color w:val="auto"/>
          <w:sz w:val="28"/>
          <w:szCs w:val="28"/>
        </w:rPr>
        <w:t>投标函</w:t>
      </w:r>
      <w:bookmarkEnd w:id="57"/>
    </w:p>
    <w:p w14:paraId="3DBCFF43">
      <w:pPr>
        <w:pStyle w:val="34"/>
        <w:spacing w:before="0" w:after="0"/>
        <w:ind w:firstLine="0"/>
        <w:rPr>
          <w:rFonts w:hint="eastAsia" w:ascii="宋体" w:hAnsi="宋体" w:cs="宋体"/>
          <w:color w:val="auto"/>
          <w:kern w:val="2"/>
        </w:rPr>
      </w:pPr>
      <w:r>
        <w:rPr>
          <w:rFonts w:hint="eastAsia" w:ascii="宋体" w:hAnsi="宋体" w:cs="宋体"/>
          <w:color w:val="auto"/>
          <w:kern w:val="2"/>
        </w:rPr>
        <w:t>致：南京医科大学</w:t>
      </w:r>
    </w:p>
    <w:p w14:paraId="3DBCFF44">
      <w:pPr>
        <w:pStyle w:val="34"/>
        <w:spacing w:before="0" w:after="0"/>
        <w:ind w:firstLineChars="200"/>
        <w:rPr>
          <w:rFonts w:hint="eastAsia"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3DBCFF45">
      <w:pPr>
        <w:pStyle w:val="34"/>
        <w:spacing w:before="0" w:after="0"/>
        <w:ind w:firstLineChars="200"/>
        <w:rPr>
          <w:rFonts w:hint="eastAsia" w:ascii="宋体" w:hAnsi="宋体" w:cs="宋体"/>
          <w:color w:val="auto"/>
          <w:kern w:val="2"/>
        </w:rPr>
      </w:pPr>
      <w:r>
        <w:rPr>
          <w:rFonts w:hint="eastAsia" w:ascii="宋体" w:hAnsi="宋体" w:cs="宋体"/>
          <w:color w:val="auto"/>
          <w:kern w:val="2"/>
        </w:rPr>
        <w:t>据此函，我公司宣布同意如下：</w:t>
      </w:r>
    </w:p>
    <w:p w14:paraId="3DBCFF46">
      <w:pPr>
        <w:pStyle w:val="34"/>
        <w:spacing w:before="0" w:after="0"/>
        <w:ind w:firstLineChars="200"/>
        <w:rPr>
          <w:rFonts w:hint="eastAsia" w:ascii="宋体" w:hAnsi="宋体" w:cs="宋体"/>
          <w:color w:val="auto"/>
          <w:kern w:val="2"/>
        </w:rPr>
      </w:pPr>
      <w:r>
        <w:rPr>
          <w:rFonts w:hint="eastAsia" w:ascii="宋体" w:hAnsi="宋体" w:cs="宋体"/>
          <w:color w:val="auto"/>
          <w:kern w:val="2"/>
        </w:rPr>
        <w:t>1.按招标文件规定的各项要求，向买方提供所需货物与服务。</w:t>
      </w:r>
    </w:p>
    <w:p w14:paraId="3DBCFF47">
      <w:pPr>
        <w:pStyle w:val="34"/>
        <w:spacing w:before="0" w:after="0"/>
        <w:ind w:firstLineChars="200"/>
        <w:rPr>
          <w:rFonts w:hint="eastAsia" w:ascii="宋体" w:hAnsi="宋体" w:cs="宋体"/>
          <w:color w:val="auto"/>
          <w:kern w:val="2"/>
        </w:rPr>
      </w:pPr>
      <w:r>
        <w:rPr>
          <w:rFonts w:hint="eastAsia" w:ascii="宋体" w:hAnsi="宋体" w:cs="宋体"/>
          <w:color w:val="auto"/>
          <w:kern w:val="2"/>
        </w:rPr>
        <w:t>2.我们完全理解贵方不一定将合同授予最低报价的投标人。</w:t>
      </w:r>
    </w:p>
    <w:p w14:paraId="3DBCFF48">
      <w:pPr>
        <w:pStyle w:val="34"/>
        <w:spacing w:before="0" w:after="0"/>
        <w:ind w:firstLineChars="200"/>
        <w:rPr>
          <w:rFonts w:hint="eastAsia"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3DBCFF49">
      <w:pPr>
        <w:pStyle w:val="34"/>
        <w:spacing w:before="0" w:after="0"/>
        <w:ind w:firstLineChars="200"/>
        <w:rPr>
          <w:rFonts w:hint="eastAsia"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3DBCFF4A">
      <w:pPr>
        <w:pStyle w:val="34"/>
        <w:spacing w:before="0" w:after="0"/>
        <w:ind w:firstLineChars="200"/>
        <w:rPr>
          <w:rFonts w:hint="eastAsia"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3DBCFF4B">
      <w:pPr>
        <w:pStyle w:val="34"/>
        <w:spacing w:before="0" w:after="0"/>
        <w:ind w:firstLineChars="200"/>
        <w:rPr>
          <w:rFonts w:hint="eastAsia"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3DBCFF4C">
      <w:pPr>
        <w:pStyle w:val="34"/>
        <w:spacing w:before="0" w:after="0"/>
        <w:ind w:firstLineChars="200"/>
        <w:rPr>
          <w:rFonts w:hint="eastAsia"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3DBCFF4D">
      <w:pPr>
        <w:pStyle w:val="34"/>
        <w:spacing w:before="0" w:after="0"/>
        <w:ind w:left="425" w:firstLine="120" w:firstLineChars="50"/>
        <w:rPr>
          <w:rFonts w:hint="eastAsia" w:ascii="宋体" w:hAnsi="宋体" w:cs="宋体"/>
          <w:color w:val="auto"/>
          <w:kern w:val="2"/>
        </w:rPr>
      </w:pPr>
      <w:r>
        <w:rPr>
          <w:rFonts w:hint="eastAsia" w:ascii="宋体" w:hAnsi="宋体" w:cs="宋体"/>
          <w:color w:val="auto"/>
          <w:kern w:val="2"/>
        </w:rPr>
        <w:t>8.与本投标有关的正式通讯地址为：</w:t>
      </w:r>
    </w:p>
    <w:p w14:paraId="3DBCFF4E">
      <w:pPr>
        <w:pStyle w:val="34"/>
        <w:spacing w:before="0" w:after="0"/>
        <w:ind w:left="440" w:leftChars="200" w:firstLineChars="200"/>
        <w:rPr>
          <w:rFonts w:hint="eastAsia" w:ascii="宋体" w:hAnsi="宋体" w:cs="宋体"/>
          <w:color w:val="auto"/>
          <w:kern w:val="2"/>
        </w:rPr>
      </w:pPr>
      <w:r>
        <w:rPr>
          <w:rFonts w:hint="eastAsia" w:ascii="宋体" w:hAnsi="宋体" w:cs="宋体"/>
          <w:color w:val="auto"/>
          <w:kern w:val="2"/>
        </w:rPr>
        <w:t>地址：</w:t>
      </w:r>
    </w:p>
    <w:p w14:paraId="3DBCFF4F">
      <w:pPr>
        <w:pStyle w:val="34"/>
        <w:spacing w:before="0" w:after="0"/>
        <w:ind w:left="440" w:leftChars="200" w:firstLineChars="200"/>
        <w:rPr>
          <w:rFonts w:hint="eastAsia" w:ascii="宋体" w:hAnsi="宋体" w:cs="宋体"/>
          <w:color w:val="auto"/>
          <w:kern w:val="2"/>
        </w:rPr>
      </w:pPr>
      <w:r>
        <w:rPr>
          <w:rFonts w:hint="eastAsia" w:ascii="宋体" w:hAnsi="宋体" w:cs="宋体"/>
          <w:color w:val="auto"/>
          <w:kern w:val="2"/>
        </w:rPr>
        <w:t>邮编：                           电话：</w:t>
      </w:r>
    </w:p>
    <w:p w14:paraId="3DBCFF50">
      <w:pPr>
        <w:pStyle w:val="34"/>
        <w:spacing w:before="0" w:after="0"/>
        <w:ind w:left="440" w:leftChars="200" w:firstLine="482" w:firstLineChars="200"/>
        <w:rPr>
          <w:rFonts w:hint="eastAsia" w:ascii="宋体" w:hAnsi="宋体" w:cs="宋体"/>
          <w:b/>
          <w:color w:val="auto"/>
          <w:kern w:val="2"/>
          <w:u w:val="single"/>
        </w:rPr>
      </w:pPr>
    </w:p>
    <w:p w14:paraId="3DBCFF51">
      <w:pPr>
        <w:pStyle w:val="34"/>
        <w:spacing w:before="0" w:after="0"/>
        <w:ind w:left="440" w:leftChars="200" w:firstLine="482" w:firstLineChars="200"/>
        <w:rPr>
          <w:rFonts w:hint="eastAsia" w:ascii="宋体" w:hAnsi="宋体" w:cs="宋体"/>
          <w:b/>
          <w:color w:val="auto"/>
          <w:kern w:val="2"/>
          <w:u w:val="single"/>
        </w:rPr>
      </w:pPr>
    </w:p>
    <w:p w14:paraId="3DBCFF52">
      <w:pPr>
        <w:pStyle w:val="34"/>
        <w:spacing w:before="0" w:after="0"/>
        <w:rPr>
          <w:rFonts w:hint="eastAsia" w:ascii="宋体" w:hAnsi="宋体" w:cs="宋体"/>
          <w:color w:val="auto"/>
          <w:kern w:val="2"/>
        </w:rPr>
      </w:pPr>
      <w:r>
        <w:rPr>
          <w:rFonts w:hint="eastAsia" w:ascii="宋体" w:hAnsi="宋体" w:cs="宋体"/>
          <w:color w:val="auto"/>
          <w:kern w:val="2"/>
        </w:rPr>
        <w:t xml:space="preserve">投标人授权代表（签字）：  </w:t>
      </w:r>
    </w:p>
    <w:p w14:paraId="3DBCFF53">
      <w:pPr>
        <w:pStyle w:val="34"/>
        <w:spacing w:before="0" w:after="0"/>
        <w:rPr>
          <w:rFonts w:hint="eastAsia" w:ascii="宋体" w:hAnsi="宋体" w:cs="宋体"/>
          <w:color w:val="auto"/>
          <w:kern w:val="2"/>
        </w:rPr>
      </w:pPr>
      <w:r>
        <w:rPr>
          <w:rFonts w:hint="eastAsia" w:ascii="宋体" w:hAnsi="宋体" w:cs="宋体"/>
          <w:color w:val="auto"/>
          <w:kern w:val="2"/>
        </w:rPr>
        <w:t>法定代表人（签字）：</w:t>
      </w:r>
    </w:p>
    <w:p w14:paraId="3DBCFF54">
      <w:pPr>
        <w:pStyle w:val="34"/>
        <w:spacing w:before="0" w:after="0"/>
        <w:rPr>
          <w:rFonts w:hint="eastAsia" w:ascii="宋体" w:hAnsi="宋体" w:cs="宋体"/>
          <w:color w:val="auto"/>
          <w:kern w:val="2"/>
        </w:rPr>
      </w:pPr>
      <w:r>
        <w:rPr>
          <w:rFonts w:hint="eastAsia" w:ascii="宋体" w:hAnsi="宋体" w:cs="宋体"/>
          <w:color w:val="auto"/>
          <w:kern w:val="2"/>
        </w:rPr>
        <w:t>投标人名称（公章）：</w:t>
      </w:r>
    </w:p>
    <w:p w14:paraId="3DBCFF55">
      <w:pPr>
        <w:pStyle w:val="34"/>
        <w:spacing w:before="0" w:after="0"/>
        <w:ind w:left="440" w:leftChars="200" w:firstLine="3000" w:firstLineChars="1250"/>
        <w:rPr>
          <w:rFonts w:hint="eastAsia" w:ascii="宋体" w:hAnsi="宋体" w:cs="宋体"/>
          <w:color w:val="auto"/>
          <w:kern w:val="2"/>
        </w:rPr>
      </w:pPr>
    </w:p>
    <w:p w14:paraId="3DBCFF56">
      <w:pPr>
        <w:pStyle w:val="34"/>
        <w:spacing w:before="0" w:after="0"/>
        <w:jc w:val="right"/>
        <w:rPr>
          <w:rFonts w:hint="eastAsia" w:ascii="宋体" w:hAnsi="宋体" w:cs="宋体"/>
          <w:color w:val="auto"/>
          <w:kern w:val="2"/>
        </w:rPr>
      </w:pPr>
      <w:r>
        <w:rPr>
          <w:rFonts w:hint="eastAsia" w:ascii="宋体" w:hAnsi="宋体" w:cs="宋体"/>
          <w:color w:val="auto"/>
          <w:kern w:val="2"/>
        </w:rPr>
        <w:t>日期：    年  月  日</w:t>
      </w:r>
    </w:p>
    <w:p w14:paraId="3DBCFF57">
      <w:pPr>
        <w:pStyle w:val="34"/>
        <w:ind w:firstLine="0"/>
        <w:jc w:val="both"/>
        <w:rPr>
          <w:rFonts w:hint="eastAsia" w:ascii="宋体" w:hAnsi="宋体" w:cs="宋体"/>
          <w:color w:val="auto"/>
        </w:rPr>
      </w:pPr>
      <w:r>
        <w:rPr>
          <w:rFonts w:hint="eastAsia" w:ascii="宋体" w:hAnsi="宋体" w:cs="宋体"/>
          <w:b/>
          <w:bCs/>
          <w:color w:val="auto"/>
        </w:rPr>
        <w:t>附件二</w:t>
      </w:r>
    </w:p>
    <w:p w14:paraId="3DBCFF58">
      <w:pPr>
        <w:pStyle w:val="34"/>
        <w:ind w:firstLine="0"/>
        <w:jc w:val="center"/>
        <w:rPr>
          <w:rFonts w:hint="eastAsia"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3DBCFF59">
      <w:pPr>
        <w:pStyle w:val="50"/>
        <w:spacing w:line="360" w:lineRule="auto"/>
        <w:ind w:firstLine="480"/>
        <w:rPr>
          <w:rFonts w:hint="eastAsia"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3DBCFF5A">
      <w:pPr>
        <w:pStyle w:val="50"/>
        <w:spacing w:line="360" w:lineRule="auto"/>
        <w:ind w:firstLine="480"/>
        <w:rPr>
          <w:rFonts w:hint="eastAsia"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DBCFF5B">
      <w:pPr>
        <w:pStyle w:val="50"/>
        <w:spacing w:line="360" w:lineRule="auto"/>
        <w:ind w:firstLine="480"/>
        <w:rPr>
          <w:rFonts w:hint="eastAsia"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2"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6432;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EF2wC4w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lzzhxY6vjTt+9P&#10;P36y2dusTh+wpqA7t43jDsM2ZqrHNtr8JxLsWBQ9nRVVx8QEOWfLm3dXSxJb0Nn11SIjVs+pIWL6&#10;oLxl2Wi40S7ThRoOHzENob9Dsts41jf8ZjFfECDQ7LXUczJtoPrR7UsueqPlvTYmZ2Dc7+5MZAfI&#10;/S/fWMJfYfmSDWA3xJWjHAZ1p0C+d5KlUyBhHD0InkuwSnJmFL2fbJXIBNpcEknsjSMRsq6Dktna&#10;eXkqAhc/9brINM5lHqY/9yX7+S2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kJhM1wAAAAkB&#10;AAAPAAAAAAAAAAEAIAAAACIAAABkcnMvZG93bnJldi54bWxQSwECFAAUAAAACACHTuJABBdsAuMB&#10;AADT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3DBCFF5C">
      <w:pPr>
        <w:pStyle w:val="50"/>
        <w:spacing w:line="360" w:lineRule="auto"/>
        <w:ind w:firstLine="480"/>
        <w:rPr>
          <w:rFonts w:hint="eastAsia" w:ascii="宋体" w:hAnsi="宋体" w:cs="宋体"/>
          <w:color w:val="auto"/>
          <w:sz w:val="24"/>
          <w:szCs w:val="24"/>
          <w:u w:val="single"/>
        </w:rPr>
      </w:pP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10"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4384;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IbPF1gAAAAkBAAAP&#10;AAAAAAAAAAEAIAAAACIAAABkcnMvZG93bnJldi54bWxQSwECFAAUAAAACACHTuJAzeLJ7+EBAADT&#10;AwAADgAAAAAAAAABACAAAAAl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3DBCFF5D">
      <w:pPr>
        <w:pStyle w:val="50"/>
        <w:spacing w:line="360" w:lineRule="auto"/>
        <w:ind w:firstLine="480"/>
        <w:rPr>
          <w:rFonts w:hint="eastAsia" w:ascii="宋体" w:hAnsi="宋体" w:cs="宋体"/>
          <w:color w:val="auto"/>
          <w:sz w:val="24"/>
          <w:szCs w:val="24"/>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11"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5408;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P60ULXAAAACQEA&#10;AA8AAAAAAAAAAQAgAAAAIgAAAGRycy9kb3ducmV2LnhtbFBLAQIUABQAAAAIAIdO4kBTI8EY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3DBCFF5E">
      <w:pPr>
        <w:pStyle w:val="50"/>
        <w:spacing w:line="360" w:lineRule="auto"/>
        <w:ind w:firstLine="480"/>
        <w:rPr>
          <w:rFonts w:hint="eastAsia" w:ascii="宋体" w:hAnsi="宋体" w:cs="宋体"/>
          <w:color w:val="auto"/>
          <w:sz w:val="24"/>
          <w:szCs w:val="24"/>
        </w:rPr>
      </w:pPr>
      <w:r>
        <w:rPr>
          <w:rFonts w:hint="eastAsia" w:ascii="宋体" w:hAnsi="宋体" w:cs="宋体"/>
          <w:color w:val="auto"/>
          <w:sz w:val="24"/>
          <w:szCs w:val="24"/>
        </w:rPr>
        <w:t>单位名称：________________________________</w:t>
      </w:r>
    </w:p>
    <w:p w14:paraId="3DBCFF5F">
      <w:pPr>
        <w:pStyle w:val="50"/>
        <w:spacing w:line="360" w:lineRule="auto"/>
        <w:ind w:firstLine="480"/>
        <w:rPr>
          <w:rFonts w:hint="eastAsia" w:ascii="宋体" w:hAnsi="宋体" w:cs="宋体"/>
          <w:color w:val="auto"/>
          <w:sz w:val="24"/>
          <w:szCs w:val="24"/>
        </w:rPr>
      </w:pPr>
      <w:r>
        <w:rPr>
          <w:rFonts w:hint="eastAsia" w:ascii="宋体" w:hAnsi="宋体" w:cs="宋体"/>
          <w:color w:val="auto"/>
          <w:sz w:val="24"/>
          <w:szCs w:val="24"/>
        </w:rPr>
        <w:t>单位地址：________________________________</w:t>
      </w:r>
    </w:p>
    <w:p w14:paraId="3DBCFF60">
      <w:pPr>
        <w:pStyle w:val="50"/>
        <w:spacing w:line="360" w:lineRule="auto"/>
        <w:ind w:firstLine="480"/>
        <w:jc w:val="right"/>
        <w:rPr>
          <w:rFonts w:hint="eastAsia" w:ascii="宋体" w:hAnsi="宋体" w:cs="宋体"/>
          <w:color w:val="auto"/>
          <w:sz w:val="24"/>
          <w:szCs w:val="24"/>
        </w:rPr>
      </w:pPr>
    </w:p>
    <w:p w14:paraId="3DBCFF61">
      <w:pPr>
        <w:pStyle w:val="50"/>
        <w:spacing w:line="360" w:lineRule="auto"/>
        <w:ind w:firstLine="480"/>
        <w:rPr>
          <w:rFonts w:hint="eastAsia" w:ascii="宋体" w:hAnsi="宋体" w:cs="宋体"/>
          <w:color w:val="auto"/>
          <w:sz w:val="24"/>
          <w:szCs w:val="24"/>
        </w:rPr>
      </w:pPr>
    </w:p>
    <w:p w14:paraId="3DBCFF62">
      <w:pPr>
        <w:pStyle w:val="50"/>
        <w:spacing w:line="360" w:lineRule="auto"/>
        <w:ind w:firstLine="480"/>
        <w:rPr>
          <w:rFonts w:hint="eastAsia" w:ascii="宋体" w:hAnsi="宋体" w:cs="宋体"/>
          <w:color w:val="auto"/>
          <w:sz w:val="24"/>
          <w:szCs w:val="24"/>
        </w:rPr>
      </w:pPr>
    </w:p>
    <w:p w14:paraId="3DBCFF63">
      <w:pPr>
        <w:pStyle w:val="50"/>
        <w:spacing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w:t>
      </w:r>
    </w:p>
    <w:p w14:paraId="3DBCFF64">
      <w:pPr>
        <w:pStyle w:val="50"/>
        <w:spacing w:line="360" w:lineRule="auto"/>
        <w:ind w:firstLine="480"/>
        <w:rPr>
          <w:rFonts w:hint="eastAsia" w:ascii="宋体" w:hAnsi="宋体" w:cs="宋体"/>
          <w:color w:val="auto"/>
          <w:sz w:val="24"/>
          <w:szCs w:val="24"/>
        </w:rPr>
      </w:pPr>
    </w:p>
    <w:p w14:paraId="3DBCFF65">
      <w:pPr>
        <w:pStyle w:val="50"/>
        <w:spacing w:line="360" w:lineRule="auto"/>
        <w:ind w:firstLine="480"/>
        <w:rPr>
          <w:rFonts w:hint="eastAsia" w:ascii="宋体" w:hAnsi="宋体" w:cs="宋体"/>
          <w:color w:val="auto"/>
          <w:sz w:val="24"/>
          <w:szCs w:val="24"/>
        </w:rPr>
      </w:pPr>
      <w:r>
        <w:rPr>
          <w:rFonts w:hint="eastAsia" w:ascii="宋体" w:hAnsi="宋体" w:cs="宋体"/>
          <w:color w:val="auto"/>
          <w:sz w:val="24"/>
          <w:szCs w:val="24"/>
        </w:rPr>
        <w:t>投标人名称（加盖公章）：</w:t>
      </w:r>
    </w:p>
    <w:p w14:paraId="3DBCFF66">
      <w:pPr>
        <w:pStyle w:val="50"/>
        <w:spacing w:line="360" w:lineRule="auto"/>
        <w:ind w:firstLine="480"/>
        <w:jc w:val="right"/>
        <w:rPr>
          <w:rFonts w:hint="eastAsia" w:ascii="宋体" w:hAnsi="宋体" w:cs="宋体"/>
          <w:color w:val="auto"/>
          <w:sz w:val="24"/>
          <w:szCs w:val="24"/>
        </w:rPr>
      </w:pPr>
    </w:p>
    <w:p w14:paraId="3DBCFF67">
      <w:pPr>
        <w:pStyle w:val="50"/>
        <w:spacing w:line="360" w:lineRule="auto"/>
        <w:ind w:firstLine="0" w:firstLineChars="0"/>
        <w:rPr>
          <w:rFonts w:hint="eastAsia" w:ascii="宋体" w:hAnsi="宋体" w:cs="宋体"/>
          <w:color w:val="auto"/>
          <w:sz w:val="24"/>
          <w:szCs w:val="24"/>
        </w:rPr>
      </w:pPr>
    </w:p>
    <w:p w14:paraId="3DBCFF68">
      <w:pPr>
        <w:pStyle w:val="50"/>
        <w:spacing w:line="360" w:lineRule="auto"/>
        <w:ind w:firstLine="480"/>
        <w:jc w:val="right"/>
        <w:rPr>
          <w:rFonts w:hint="eastAsia" w:ascii="宋体" w:hAnsi="宋体" w:cs="宋体"/>
          <w:color w:val="auto"/>
          <w:sz w:val="24"/>
          <w:szCs w:val="24"/>
        </w:rPr>
      </w:pPr>
    </w:p>
    <w:p w14:paraId="3DBCFF69">
      <w:pPr>
        <w:pStyle w:val="50"/>
        <w:spacing w:line="360" w:lineRule="auto"/>
        <w:ind w:firstLine="480"/>
        <w:jc w:val="right"/>
        <w:rPr>
          <w:rFonts w:hint="eastAsia" w:ascii="宋体" w:hAnsi="宋体" w:cs="宋体"/>
          <w:color w:val="auto"/>
          <w:sz w:val="24"/>
          <w:szCs w:val="24"/>
        </w:rPr>
      </w:pPr>
    </w:p>
    <w:p w14:paraId="3DBCFF6A">
      <w:pPr>
        <w:pStyle w:val="50"/>
        <w:spacing w:line="360" w:lineRule="auto"/>
        <w:ind w:firstLine="480"/>
        <w:jc w:val="right"/>
        <w:rPr>
          <w:rFonts w:hint="eastAsia" w:ascii="宋体" w:hAnsi="宋体" w:cs="宋体"/>
          <w:color w:val="auto"/>
          <w:sz w:val="24"/>
          <w:szCs w:val="24"/>
        </w:rPr>
      </w:pPr>
      <w:r>
        <w:rPr>
          <w:rFonts w:hint="eastAsia" w:ascii="宋体" w:hAnsi="宋体" w:cs="宋体"/>
          <w:color w:val="auto"/>
          <w:sz w:val="24"/>
          <w:szCs w:val="24"/>
        </w:rPr>
        <w:t>日期：     年   月    日</w:t>
      </w:r>
    </w:p>
    <w:p w14:paraId="3DBCFF6B">
      <w:pPr>
        <w:pStyle w:val="5"/>
        <w:spacing w:line="360" w:lineRule="auto"/>
        <w:rPr>
          <w:rFonts w:hint="eastAsia" w:ascii="宋体" w:hAnsi="宋体" w:eastAsia="宋体" w:cs="宋体"/>
          <w:color w:val="auto"/>
          <w:sz w:val="24"/>
          <w:szCs w:val="24"/>
        </w:rPr>
      </w:pPr>
      <w:bookmarkStart w:id="59" w:name="_格式3__银行出具的资信证明"/>
      <w:bookmarkEnd w:id="59"/>
      <w:bookmarkStart w:id="60" w:name="_Hlt26955070"/>
      <w:bookmarkEnd w:id="60"/>
      <w:bookmarkStart w:id="61" w:name="_Hlt26671380"/>
      <w:bookmarkEnd w:id="61"/>
    </w:p>
    <w:p w14:paraId="3DBCFF6C">
      <w:pPr>
        <w:pStyle w:val="3"/>
        <w:spacing w:line="360" w:lineRule="auto"/>
        <w:rPr>
          <w:rFonts w:hint="eastAsia" w:ascii="宋体" w:hAnsi="宋体" w:eastAsia="宋体" w:cs="宋体"/>
          <w:color w:val="auto"/>
          <w:sz w:val="24"/>
          <w:szCs w:val="24"/>
        </w:rPr>
      </w:pPr>
    </w:p>
    <w:p w14:paraId="3DBCFF6D">
      <w:pPr>
        <w:rPr>
          <w:rFonts w:hint="eastAsia" w:ascii="宋体" w:hAnsi="宋体" w:eastAsia="宋体" w:cs="宋体"/>
          <w:color w:val="auto"/>
          <w:sz w:val="24"/>
          <w:szCs w:val="24"/>
        </w:rPr>
      </w:pPr>
    </w:p>
    <w:p w14:paraId="3DBCFF6E">
      <w:pPr>
        <w:pStyle w:val="11"/>
        <w:ind w:left="1540" w:right="1540"/>
        <w:rPr>
          <w:rFonts w:hint="eastAsia" w:ascii="宋体" w:hAnsi="宋体" w:eastAsia="宋体" w:cs="宋体"/>
          <w:color w:val="auto"/>
          <w:sz w:val="24"/>
          <w:szCs w:val="24"/>
        </w:rPr>
      </w:pPr>
    </w:p>
    <w:p w14:paraId="3DBCFF6F">
      <w:pPr>
        <w:pStyle w:val="11"/>
        <w:ind w:left="1540" w:right="1540"/>
        <w:rPr>
          <w:rFonts w:hint="eastAsia" w:ascii="宋体" w:hAnsi="宋体" w:eastAsia="宋体" w:cs="宋体"/>
          <w:color w:val="auto"/>
          <w:sz w:val="24"/>
          <w:szCs w:val="24"/>
        </w:rPr>
      </w:pPr>
    </w:p>
    <w:p w14:paraId="3DBCFF70">
      <w:pPr>
        <w:pStyle w:val="11"/>
        <w:ind w:left="1540" w:right="1540"/>
        <w:rPr>
          <w:rFonts w:hint="eastAsia" w:ascii="宋体" w:hAnsi="宋体" w:eastAsia="宋体" w:cs="宋体"/>
          <w:color w:val="auto"/>
          <w:sz w:val="24"/>
          <w:szCs w:val="24"/>
        </w:rPr>
      </w:pPr>
    </w:p>
    <w:p w14:paraId="3DBCFF71">
      <w:pPr>
        <w:pStyle w:val="11"/>
        <w:spacing w:after="0"/>
        <w:ind w:left="0" w:leftChars="0" w:right="0" w:right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3DBCFF72">
      <w:pPr>
        <w:pStyle w:val="11"/>
        <w:spacing w:after="0"/>
        <w:ind w:left="0" w:leftChars="0" w:right="0" w:right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3DBCFF73">
      <w:pPr>
        <w:spacing w:line="360" w:lineRule="auto"/>
        <w:ind w:firstLine="480"/>
        <w:rPr>
          <w:rFonts w:hint="eastAsia" w:ascii="宋体" w:hAnsi="宋体" w:eastAsia="宋体" w:cs="宋体"/>
          <w:color w:val="auto"/>
          <w:sz w:val="24"/>
          <w:szCs w:val="24"/>
        </w:rPr>
      </w:pPr>
    </w:p>
    <w:p w14:paraId="3DBCFF74">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DBC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3DBCFF75">
            <w:pPr>
              <w:pStyle w:val="8"/>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3DBCFF76">
            <w:pPr>
              <w:pStyle w:val="8"/>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大写：人民币</w:t>
            </w:r>
          </w:p>
          <w:p w14:paraId="3DBCFF77">
            <w:pPr>
              <w:pStyle w:val="8"/>
              <w:adjustRightInd w:val="0"/>
              <w:snapToGrid w:val="0"/>
              <w:spacing w:line="360" w:lineRule="auto"/>
              <w:rPr>
                <w:rFonts w:hint="eastAsia" w:ascii="宋体" w:hAnsi="宋体" w:eastAsia="宋体" w:cs="宋体"/>
                <w:color w:val="auto"/>
                <w:sz w:val="24"/>
                <w:szCs w:val="24"/>
              </w:rPr>
            </w:pPr>
          </w:p>
          <w:p w14:paraId="3DBCFF78">
            <w:pPr>
              <w:pStyle w:val="34"/>
              <w:spacing w:before="0" w:after="0"/>
              <w:ind w:firstLine="0"/>
              <w:rPr>
                <w:rFonts w:hint="eastAsia" w:ascii="宋体" w:hAnsi="宋体" w:cs="宋体"/>
                <w:color w:val="auto"/>
                <w:kern w:val="2"/>
              </w:rPr>
            </w:pPr>
            <w:r>
              <w:rPr>
                <w:rFonts w:hint="eastAsia" w:ascii="宋体" w:hAnsi="宋体" w:cs="宋体"/>
                <w:color w:val="auto"/>
              </w:rPr>
              <w:t xml:space="preserve">小写：¥                             </w:t>
            </w:r>
          </w:p>
        </w:tc>
      </w:tr>
      <w:tr w14:paraId="3DB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3DBCFF7A">
            <w:pPr>
              <w:pStyle w:val="8"/>
              <w:adjustRightInd w:val="0"/>
              <w:snapToGrid w:val="0"/>
              <w:spacing w:line="360" w:lineRule="auto"/>
              <w:ind w:firstLine="241" w:firstLine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3DBCFF7B">
            <w:pPr>
              <w:pStyle w:val="8"/>
              <w:adjustRightInd w:val="0"/>
              <w:snapToGrid w:val="0"/>
              <w:spacing w:line="360" w:lineRule="auto"/>
              <w:ind w:firstLine="1560" w:firstLineChars="650"/>
              <w:rPr>
                <w:rFonts w:hint="eastAsia" w:ascii="宋体" w:hAnsi="宋体" w:eastAsia="宋体" w:cs="宋体"/>
                <w:color w:val="auto"/>
                <w:sz w:val="24"/>
                <w:szCs w:val="24"/>
              </w:rPr>
            </w:pPr>
          </w:p>
        </w:tc>
      </w:tr>
      <w:tr w14:paraId="3DBC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3DBCFF7D">
            <w:pPr>
              <w:pStyle w:val="8"/>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3DBCFF7E">
            <w:pPr>
              <w:pStyle w:val="8"/>
              <w:adjustRightInd w:val="0"/>
              <w:snapToGrid w:val="0"/>
              <w:spacing w:line="360" w:lineRule="auto"/>
              <w:ind w:firstLine="1560" w:firstLineChars="650"/>
              <w:rPr>
                <w:rFonts w:hint="eastAsia" w:ascii="宋体" w:hAnsi="宋体" w:eastAsia="宋体" w:cs="宋体"/>
                <w:color w:val="auto"/>
                <w:sz w:val="24"/>
                <w:szCs w:val="24"/>
              </w:rPr>
            </w:pPr>
          </w:p>
        </w:tc>
      </w:tr>
      <w:tr w14:paraId="3DBC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3DBCFF80">
            <w:pPr>
              <w:pStyle w:val="8"/>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3DBCFF81">
            <w:pPr>
              <w:pStyle w:val="8"/>
              <w:adjustRightInd w:val="0"/>
              <w:snapToGrid w:val="0"/>
              <w:spacing w:line="360" w:lineRule="auto"/>
              <w:ind w:firstLine="1560" w:firstLineChars="650"/>
              <w:rPr>
                <w:rFonts w:hint="eastAsia" w:ascii="宋体" w:hAnsi="宋体" w:eastAsia="宋体" w:cs="宋体"/>
                <w:color w:val="auto"/>
                <w:sz w:val="24"/>
                <w:szCs w:val="24"/>
              </w:rPr>
            </w:pPr>
          </w:p>
        </w:tc>
      </w:tr>
      <w:tr w14:paraId="3DBC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3DBCFF83">
            <w:pPr>
              <w:pStyle w:val="8"/>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3DBCFF84">
            <w:pPr>
              <w:pStyle w:val="8"/>
              <w:adjustRightInd w:val="0"/>
              <w:snapToGrid w:val="0"/>
              <w:spacing w:line="360" w:lineRule="auto"/>
              <w:ind w:firstLine="1560" w:firstLineChars="650"/>
              <w:rPr>
                <w:rFonts w:hint="eastAsia" w:ascii="宋体" w:hAnsi="宋体" w:eastAsia="宋体" w:cs="宋体"/>
                <w:color w:val="auto"/>
                <w:sz w:val="24"/>
                <w:szCs w:val="24"/>
              </w:rPr>
            </w:pPr>
          </w:p>
        </w:tc>
      </w:tr>
    </w:tbl>
    <w:p w14:paraId="3DBCFF86">
      <w:pPr>
        <w:spacing w:line="360" w:lineRule="auto"/>
        <w:rPr>
          <w:rFonts w:hint="eastAsia" w:ascii="宋体" w:hAnsi="宋体" w:eastAsia="宋体" w:cs="宋体"/>
          <w:color w:val="auto"/>
          <w:sz w:val="24"/>
          <w:szCs w:val="24"/>
        </w:rPr>
      </w:pPr>
    </w:p>
    <w:p w14:paraId="3DBCFF87">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DBCFF88">
      <w:pPr>
        <w:pStyle w:val="11"/>
        <w:ind w:left="1540" w:right="1540"/>
        <w:rPr>
          <w:color w:val="auto"/>
        </w:rPr>
      </w:pPr>
    </w:p>
    <w:p w14:paraId="3DBCFF89">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BCFF8A">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DBCFF8B">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填写说明：</w:t>
      </w:r>
    </w:p>
    <w:p w14:paraId="3DBCFF8C">
      <w:pPr>
        <w:spacing w:line="360" w:lineRule="auto"/>
        <w:ind w:firstLine="480"/>
        <w:rPr>
          <w:rFonts w:hint="eastAsia"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3DBCFF8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3DBCFF8E">
      <w:pPr>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3DBCFF8F">
      <w:pPr>
        <w:spacing w:line="360" w:lineRule="auto"/>
        <w:rPr>
          <w:rFonts w:hint="eastAsia" w:ascii="宋体" w:hAnsi="宋体" w:eastAsia="宋体" w:cs="宋体"/>
          <w:b/>
          <w:bCs/>
          <w:color w:val="auto"/>
          <w:sz w:val="24"/>
          <w:szCs w:val="24"/>
        </w:rPr>
      </w:pPr>
    </w:p>
    <w:p w14:paraId="3DBCFF90">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附件四</w:t>
      </w:r>
    </w:p>
    <w:p w14:paraId="3DBCFF91">
      <w:pPr>
        <w:pStyle w:val="34"/>
        <w:ind w:firstLine="0"/>
        <w:jc w:val="center"/>
        <w:rPr>
          <w:rFonts w:hint="eastAsia" w:ascii="宋体" w:hAnsi="宋体" w:cs="宋体"/>
          <w:b/>
          <w:color w:val="auto"/>
          <w:sz w:val="28"/>
          <w:szCs w:val="28"/>
        </w:rPr>
      </w:pPr>
      <w:r>
        <w:rPr>
          <w:rFonts w:hint="eastAsia" w:ascii="宋体" w:hAnsi="宋体" w:cs="宋体"/>
          <w:b/>
          <w:color w:val="auto"/>
          <w:sz w:val="28"/>
          <w:szCs w:val="28"/>
        </w:rPr>
        <w:t>投标产品配置及分项报价表</w:t>
      </w:r>
    </w:p>
    <w:p w14:paraId="3DBCFF92">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3DBC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3DBCFF9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3DBCFF9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3DBCFF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3DBCFF9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3DBC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DBCFF98">
            <w:pPr>
              <w:spacing w:line="360" w:lineRule="auto"/>
              <w:rPr>
                <w:rFonts w:hint="eastAsia" w:ascii="宋体" w:hAnsi="宋体" w:eastAsia="宋体" w:cs="宋体"/>
                <w:color w:val="auto"/>
                <w:sz w:val="24"/>
                <w:szCs w:val="24"/>
              </w:rPr>
            </w:pPr>
          </w:p>
        </w:tc>
        <w:tc>
          <w:tcPr>
            <w:tcW w:w="1567" w:type="dxa"/>
            <w:vAlign w:val="center"/>
          </w:tcPr>
          <w:p w14:paraId="3DBCFF99">
            <w:pPr>
              <w:spacing w:line="360" w:lineRule="auto"/>
              <w:rPr>
                <w:rFonts w:hint="eastAsia" w:ascii="宋体" w:hAnsi="宋体" w:eastAsia="宋体" w:cs="宋体"/>
                <w:color w:val="auto"/>
                <w:sz w:val="24"/>
                <w:szCs w:val="24"/>
              </w:rPr>
            </w:pPr>
          </w:p>
        </w:tc>
        <w:tc>
          <w:tcPr>
            <w:tcW w:w="1442" w:type="dxa"/>
            <w:vAlign w:val="center"/>
          </w:tcPr>
          <w:p w14:paraId="3DBCFF9A">
            <w:pPr>
              <w:spacing w:line="360" w:lineRule="auto"/>
              <w:rPr>
                <w:rFonts w:hint="eastAsia" w:ascii="宋体" w:hAnsi="宋体" w:eastAsia="宋体" w:cs="宋体"/>
                <w:color w:val="auto"/>
                <w:sz w:val="24"/>
                <w:szCs w:val="24"/>
              </w:rPr>
            </w:pPr>
          </w:p>
        </w:tc>
        <w:tc>
          <w:tcPr>
            <w:tcW w:w="2781" w:type="dxa"/>
            <w:vAlign w:val="center"/>
          </w:tcPr>
          <w:p w14:paraId="3DBCFF9B">
            <w:pPr>
              <w:spacing w:line="360" w:lineRule="auto"/>
              <w:rPr>
                <w:rFonts w:hint="eastAsia" w:ascii="宋体" w:hAnsi="宋体" w:eastAsia="宋体" w:cs="宋体"/>
                <w:color w:val="auto"/>
                <w:sz w:val="24"/>
                <w:szCs w:val="24"/>
              </w:rPr>
            </w:pPr>
          </w:p>
        </w:tc>
      </w:tr>
      <w:tr w14:paraId="3DB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DBCFF9D">
            <w:pPr>
              <w:spacing w:line="360" w:lineRule="auto"/>
              <w:rPr>
                <w:rFonts w:hint="eastAsia" w:ascii="宋体" w:hAnsi="宋体" w:eastAsia="宋体" w:cs="宋体"/>
                <w:color w:val="auto"/>
                <w:sz w:val="24"/>
                <w:szCs w:val="24"/>
              </w:rPr>
            </w:pPr>
          </w:p>
        </w:tc>
        <w:tc>
          <w:tcPr>
            <w:tcW w:w="1567" w:type="dxa"/>
            <w:vAlign w:val="center"/>
          </w:tcPr>
          <w:p w14:paraId="3DBCFF9E">
            <w:pPr>
              <w:spacing w:line="360" w:lineRule="auto"/>
              <w:rPr>
                <w:rFonts w:hint="eastAsia" w:ascii="宋体" w:hAnsi="宋体" w:eastAsia="宋体" w:cs="宋体"/>
                <w:color w:val="auto"/>
                <w:sz w:val="24"/>
                <w:szCs w:val="24"/>
              </w:rPr>
            </w:pPr>
          </w:p>
        </w:tc>
        <w:tc>
          <w:tcPr>
            <w:tcW w:w="1442" w:type="dxa"/>
            <w:vAlign w:val="center"/>
          </w:tcPr>
          <w:p w14:paraId="3DBCFF9F">
            <w:pPr>
              <w:spacing w:line="360" w:lineRule="auto"/>
              <w:rPr>
                <w:rFonts w:hint="eastAsia" w:ascii="宋体" w:hAnsi="宋体" w:eastAsia="宋体" w:cs="宋体"/>
                <w:color w:val="auto"/>
                <w:sz w:val="24"/>
                <w:szCs w:val="24"/>
              </w:rPr>
            </w:pPr>
          </w:p>
        </w:tc>
        <w:tc>
          <w:tcPr>
            <w:tcW w:w="2781" w:type="dxa"/>
            <w:vAlign w:val="center"/>
          </w:tcPr>
          <w:p w14:paraId="3DBCFFA0">
            <w:pPr>
              <w:spacing w:line="360" w:lineRule="auto"/>
              <w:rPr>
                <w:rFonts w:hint="eastAsia" w:ascii="宋体" w:hAnsi="宋体" w:eastAsia="宋体" w:cs="宋体"/>
                <w:color w:val="auto"/>
                <w:sz w:val="24"/>
                <w:szCs w:val="24"/>
              </w:rPr>
            </w:pPr>
          </w:p>
        </w:tc>
      </w:tr>
      <w:tr w14:paraId="3DBC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DBCFFA2">
            <w:pPr>
              <w:spacing w:line="360" w:lineRule="auto"/>
              <w:rPr>
                <w:rFonts w:hint="eastAsia" w:ascii="宋体" w:hAnsi="宋体" w:eastAsia="宋体" w:cs="宋体"/>
                <w:color w:val="auto"/>
                <w:sz w:val="24"/>
                <w:szCs w:val="24"/>
              </w:rPr>
            </w:pPr>
          </w:p>
        </w:tc>
        <w:tc>
          <w:tcPr>
            <w:tcW w:w="1567" w:type="dxa"/>
            <w:vAlign w:val="center"/>
          </w:tcPr>
          <w:p w14:paraId="3DBCFFA3">
            <w:pPr>
              <w:spacing w:line="360" w:lineRule="auto"/>
              <w:rPr>
                <w:rFonts w:hint="eastAsia" w:ascii="宋体" w:hAnsi="宋体" w:eastAsia="宋体" w:cs="宋体"/>
                <w:color w:val="auto"/>
                <w:sz w:val="24"/>
                <w:szCs w:val="24"/>
              </w:rPr>
            </w:pPr>
          </w:p>
        </w:tc>
        <w:tc>
          <w:tcPr>
            <w:tcW w:w="1442" w:type="dxa"/>
            <w:vAlign w:val="center"/>
          </w:tcPr>
          <w:p w14:paraId="3DBCFFA4">
            <w:pPr>
              <w:spacing w:line="360" w:lineRule="auto"/>
              <w:rPr>
                <w:rFonts w:hint="eastAsia" w:ascii="宋体" w:hAnsi="宋体" w:eastAsia="宋体" w:cs="宋体"/>
                <w:color w:val="auto"/>
                <w:sz w:val="24"/>
                <w:szCs w:val="24"/>
              </w:rPr>
            </w:pPr>
          </w:p>
        </w:tc>
        <w:tc>
          <w:tcPr>
            <w:tcW w:w="2781" w:type="dxa"/>
            <w:vAlign w:val="center"/>
          </w:tcPr>
          <w:p w14:paraId="3DBCFFA5">
            <w:pPr>
              <w:spacing w:line="360" w:lineRule="auto"/>
              <w:rPr>
                <w:rFonts w:hint="eastAsia" w:ascii="宋体" w:hAnsi="宋体" w:eastAsia="宋体" w:cs="宋体"/>
                <w:color w:val="auto"/>
                <w:sz w:val="24"/>
                <w:szCs w:val="24"/>
              </w:rPr>
            </w:pPr>
          </w:p>
        </w:tc>
      </w:tr>
      <w:tr w14:paraId="3DBC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3DBCFFA7">
            <w:pPr>
              <w:spacing w:line="360" w:lineRule="auto"/>
              <w:rPr>
                <w:rFonts w:hint="eastAsia" w:ascii="宋体" w:hAnsi="宋体" w:eastAsia="宋体" w:cs="宋体"/>
                <w:color w:val="auto"/>
                <w:sz w:val="24"/>
                <w:szCs w:val="24"/>
              </w:rPr>
            </w:pPr>
          </w:p>
        </w:tc>
        <w:tc>
          <w:tcPr>
            <w:tcW w:w="1567" w:type="dxa"/>
            <w:vAlign w:val="center"/>
          </w:tcPr>
          <w:p w14:paraId="3DBCFFA8">
            <w:pPr>
              <w:spacing w:line="360" w:lineRule="auto"/>
              <w:rPr>
                <w:rFonts w:hint="eastAsia" w:ascii="宋体" w:hAnsi="宋体" w:eastAsia="宋体" w:cs="宋体"/>
                <w:color w:val="auto"/>
                <w:sz w:val="24"/>
                <w:szCs w:val="24"/>
              </w:rPr>
            </w:pPr>
          </w:p>
        </w:tc>
        <w:tc>
          <w:tcPr>
            <w:tcW w:w="1442" w:type="dxa"/>
            <w:vAlign w:val="center"/>
          </w:tcPr>
          <w:p w14:paraId="3DBCFFA9">
            <w:pPr>
              <w:spacing w:line="360" w:lineRule="auto"/>
              <w:rPr>
                <w:rFonts w:hint="eastAsia" w:ascii="宋体" w:hAnsi="宋体" w:eastAsia="宋体" w:cs="宋体"/>
                <w:color w:val="auto"/>
                <w:sz w:val="24"/>
                <w:szCs w:val="24"/>
              </w:rPr>
            </w:pPr>
          </w:p>
        </w:tc>
        <w:tc>
          <w:tcPr>
            <w:tcW w:w="2781" w:type="dxa"/>
            <w:vAlign w:val="center"/>
          </w:tcPr>
          <w:p w14:paraId="3DBCFFAA">
            <w:pPr>
              <w:spacing w:line="360" w:lineRule="auto"/>
              <w:rPr>
                <w:rFonts w:hint="eastAsia" w:ascii="宋体" w:hAnsi="宋体" w:eastAsia="宋体" w:cs="宋体"/>
                <w:color w:val="auto"/>
                <w:sz w:val="24"/>
                <w:szCs w:val="24"/>
              </w:rPr>
            </w:pPr>
          </w:p>
        </w:tc>
      </w:tr>
      <w:tr w14:paraId="3DBC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DBCFFA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3DBCFFAD">
            <w:pPr>
              <w:spacing w:line="360" w:lineRule="auto"/>
              <w:rPr>
                <w:rFonts w:hint="eastAsia" w:ascii="宋体" w:hAnsi="宋体" w:eastAsia="宋体" w:cs="宋体"/>
                <w:color w:val="auto"/>
                <w:sz w:val="24"/>
                <w:szCs w:val="24"/>
              </w:rPr>
            </w:pPr>
          </w:p>
        </w:tc>
      </w:tr>
    </w:tbl>
    <w:p w14:paraId="3DBCFFAF">
      <w:pPr>
        <w:spacing w:line="360" w:lineRule="auto"/>
        <w:rPr>
          <w:rFonts w:hint="eastAsia" w:ascii="宋体" w:hAnsi="宋体" w:eastAsia="宋体" w:cs="宋体"/>
          <w:color w:val="auto"/>
          <w:sz w:val="24"/>
          <w:szCs w:val="24"/>
        </w:rPr>
      </w:pPr>
    </w:p>
    <w:p w14:paraId="3DBCFFB0">
      <w:pPr>
        <w:spacing w:line="360" w:lineRule="auto"/>
        <w:rPr>
          <w:rFonts w:hint="eastAsia" w:ascii="宋体" w:hAnsi="宋体" w:eastAsia="宋体" w:cs="宋体"/>
          <w:color w:val="auto"/>
          <w:sz w:val="24"/>
          <w:szCs w:val="24"/>
        </w:rPr>
      </w:pPr>
    </w:p>
    <w:p w14:paraId="3DBCFFB1">
      <w:pPr>
        <w:spacing w:line="360" w:lineRule="auto"/>
        <w:rPr>
          <w:rFonts w:hint="eastAsia" w:ascii="宋体" w:hAnsi="宋体" w:eastAsia="宋体" w:cs="宋体"/>
          <w:color w:val="auto"/>
          <w:sz w:val="24"/>
          <w:szCs w:val="24"/>
        </w:rPr>
      </w:pPr>
    </w:p>
    <w:p w14:paraId="3DBCFFB2">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DBCFFB3">
      <w:pPr>
        <w:pStyle w:val="11"/>
        <w:ind w:left="1540" w:right="1540"/>
        <w:rPr>
          <w:color w:val="auto"/>
        </w:rPr>
      </w:pPr>
    </w:p>
    <w:p w14:paraId="3DBCFFB4">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BCFFB5">
      <w:pPr>
        <w:spacing w:line="360" w:lineRule="auto"/>
        <w:jc w:val="center"/>
        <w:rPr>
          <w:rFonts w:hint="eastAsia" w:ascii="宋体" w:hAnsi="宋体" w:eastAsia="宋体" w:cs="宋体"/>
          <w:color w:val="auto"/>
          <w:sz w:val="24"/>
          <w:szCs w:val="24"/>
        </w:rPr>
      </w:pPr>
    </w:p>
    <w:p w14:paraId="3DBCFFB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DBCFFB7">
      <w:pPr>
        <w:spacing w:line="360" w:lineRule="auto"/>
        <w:rPr>
          <w:rFonts w:hint="eastAsia" w:ascii="宋体" w:hAnsi="宋体" w:eastAsia="宋体" w:cs="宋体"/>
          <w:color w:val="auto"/>
          <w:sz w:val="24"/>
          <w:szCs w:val="24"/>
        </w:rPr>
      </w:pPr>
    </w:p>
    <w:p w14:paraId="3DBCFFB8">
      <w:pPr>
        <w:spacing w:line="360" w:lineRule="auto"/>
        <w:rPr>
          <w:rFonts w:hint="eastAsia" w:ascii="宋体" w:hAnsi="宋体" w:eastAsia="宋体" w:cs="宋体"/>
          <w:b/>
          <w:bCs/>
          <w:color w:val="auto"/>
          <w:sz w:val="24"/>
          <w:szCs w:val="24"/>
        </w:rPr>
      </w:pPr>
    </w:p>
    <w:p w14:paraId="3DBCFFB9">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附件五</w:t>
      </w:r>
    </w:p>
    <w:p w14:paraId="3DBCFFBA">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3DBCFFBB">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DBC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3DBCFFBC">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3DBCFFBD">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3DBCFFBE">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3DBCFFBF">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DBCFFC0">
            <w:pPr>
              <w:spacing w:line="320" w:lineRule="exact"/>
              <w:jc w:val="center"/>
              <w:rPr>
                <w:rFonts w:hint="eastAsia"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DBC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BCFFC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DBCFFC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DBCFFC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DBCFFC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DBC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BCFFC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DBCFFC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DBCFFC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DBCFFC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DBC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BCFFC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DBCFFC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DBCFFC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DBCFFC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DBC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BCFFD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DBCFFD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DBCFFD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DBCFFD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DBC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BCFFD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DBCFFD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DBCFFD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DBCFFD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DBC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BCFFDB">
            <w:pPr>
              <w:spacing w:line="360" w:lineRule="auto"/>
              <w:rPr>
                <w:rFonts w:hint="eastAsia" w:ascii="宋体" w:hAnsi="宋体" w:eastAsia="宋体" w:cs="宋体"/>
                <w:color w:val="auto"/>
                <w:sz w:val="24"/>
                <w:szCs w:val="24"/>
              </w:rPr>
            </w:pPr>
          </w:p>
        </w:tc>
        <w:tc>
          <w:tcPr>
            <w:tcW w:w="1679" w:type="dxa"/>
            <w:tcMar>
              <w:top w:w="0" w:type="dxa"/>
              <w:left w:w="10" w:type="dxa"/>
              <w:bottom w:w="0" w:type="dxa"/>
              <w:right w:w="10" w:type="dxa"/>
            </w:tcMar>
            <w:vAlign w:val="center"/>
          </w:tcPr>
          <w:p w14:paraId="3DBCFFDC">
            <w:pPr>
              <w:spacing w:line="360" w:lineRule="auto"/>
              <w:rPr>
                <w:rFonts w:hint="eastAsia" w:ascii="宋体" w:hAnsi="宋体" w:eastAsia="宋体" w:cs="宋体"/>
                <w:color w:val="auto"/>
                <w:sz w:val="24"/>
                <w:szCs w:val="24"/>
              </w:rPr>
            </w:pPr>
          </w:p>
        </w:tc>
        <w:tc>
          <w:tcPr>
            <w:tcW w:w="2488" w:type="dxa"/>
            <w:tcMar>
              <w:top w:w="0" w:type="dxa"/>
              <w:left w:w="10" w:type="dxa"/>
              <w:bottom w:w="0" w:type="dxa"/>
              <w:right w:w="10" w:type="dxa"/>
            </w:tcMar>
            <w:vAlign w:val="center"/>
          </w:tcPr>
          <w:p w14:paraId="3DBCFFDD">
            <w:pPr>
              <w:spacing w:line="360" w:lineRule="auto"/>
              <w:rPr>
                <w:rFonts w:hint="eastAsia" w:ascii="宋体" w:hAnsi="宋体" w:eastAsia="宋体" w:cs="宋体"/>
                <w:color w:val="auto"/>
                <w:sz w:val="24"/>
                <w:szCs w:val="24"/>
              </w:rPr>
            </w:pPr>
          </w:p>
        </w:tc>
        <w:tc>
          <w:tcPr>
            <w:tcW w:w="3004" w:type="dxa"/>
            <w:tcMar>
              <w:top w:w="0" w:type="dxa"/>
              <w:left w:w="10" w:type="dxa"/>
              <w:bottom w:w="0" w:type="dxa"/>
              <w:right w:w="10" w:type="dxa"/>
            </w:tcMar>
            <w:vAlign w:val="center"/>
          </w:tcPr>
          <w:p w14:paraId="3DBCFFDE">
            <w:pPr>
              <w:spacing w:line="360" w:lineRule="auto"/>
              <w:rPr>
                <w:rFonts w:hint="eastAsia" w:ascii="宋体" w:hAnsi="宋体" w:eastAsia="宋体" w:cs="宋体"/>
                <w:color w:val="auto"/>
                <w:sz w:val="24"/>
                <w:szCs w:val="24"/>
              </w:rPr>
            </w:pPr>
          </w:p>
        </w:tc>
      </w:tr>
      <w:tr w14:paraId="3DBC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BCFFE0">
            <w:pPr>
              <w:spacing w:line="360" w:lineRule="auto"/>
              <w:rPr>
                <w:rFonts w:hint="eastAsia" w:ascii="宋体" w:hAnsi="宋体" w:eastAsia="宋体" w:cs="宋体"/>
                <w:color w:val="auto"/>
                <w:sz w:val="24"/>
                <w:szCs w:val="24"/>
              </w:rPr>
            </w:pPr>
          </w:p>
        </w:tc>
        <w:tc>
          <w:tcPr>
            <w:tcW w:w="1679" w:type="dxa"/>
            <w:tcMar>
              <w:top w:w="0" w:type="dxa"/>
              <w:left w:w="10" w:type="dxa"/>
              <w:bottom w:w="0" w:type="dxa"/>
              <w:right w:w="10" w:type="dxa"/>
            </w:tcMar>
            <w:vAlign w:val="center"/>
          </w:tcPr>
          <w:p w14:paraId="3DBCFFE1">
            <w:pPr>
              <w:spacing w:line="360" w:lineRule="auto"/>
              <w:rPr>
                <w:rFonts w:hint="eastAsia" w:ascii="宋体" w:hAnsi="宋体" w:eastAsia="宋体" w:cs="宋体"/>
                <w:color w:val="auto"/>
                <w:sz w:val="24"/>
                <w:szCs w:val="24"/>
              </w:rPr>
            </w:pPr>
          </w:p>
        </w:tc>
        <w:tc>
          <w:tcPr>
            <w:tcW w:w="2488" w:type="dxa"/>
            <w:tcMar>
              <w:top w:w="0" w:type="dxa"/>
              <w:left w:w="10" w:type="dxa"/>
              <w:bottom w:w="0" w:type="dxa"/>
              <w:right w:w="10" w:type="dxa"/>
            </w:tcMar>
            <w:vAlign w:val="center"/>
          </w:tcPr>
          <w:p w14:paraId="3DBCFFE2">
            <w:pPr>
              <w:spacing w:line="360" w:lineRule="auto"/>
              <w:rPr>
                <w:rFonts w:hint="eastAsia" w:ascii="宋体" w:hAnsi="宋体" w:eastAsia="宋体" w:cs="宋体"/>
                <w:color w:val="auto"/>
                <w:sz w:val="24"/>
                <w:szCs w:val="24"/>
              </w:rPr>
            </w:pPr>
          </w:p>
        </w:tc>
        <w:tc>
          <w:tcPr>
            <w:tcW w:w="3004" w:type="dxa"/>
            <w:tcMar>
              <w:top w:w="0" w:type="dxa"/>
              <w:left w:w="10" w:type="dxa"/>
              <w:bottom w:w="0" w:type="dxa"/>
              <w:right w:w="10" w:type="dxa"/>
            </w:tcMar>
            <w:vAlign w:val="center"/>
          </w:tcPr>
          <w:p w14:paraId="3DBCFFE3">
            <w:pPr>
              <w:spacing w:line="360" w:lineRule="auto"/>
              <w:rPr>
                <w:rFonts w:hint="eastAsia" w:ascii="宋体" w:hAnsi="宋体" w:eastAsia="宋体" w:cs="宋体"/>
                <w:color w:val="auto"/>
                <w:sz w:val="24"/>
                <w:szCs w:val="24"/>
              </w:rPr>
            </w:pPr>
          </w:p>
        </w:tc>
      </w:tr>
    </w:tbl>
    <w:p w14:paraId="3DBCFFE5">
      <w:pPr>
        <w:spacing w:line="360" w:lineRule="auto"/>
        <w:rPr>
          <w:rFonts w:hint="eastAsia" w:ascii="宋体" w:hAnsi="宋体" w:eastAsia="宋体" w:cs="宋体"/>
          <w:color w:val="auto"/>
          <w:sz w:val="24"/>
          <w:szCs w:val="24"/>
        </w:rPr>
      </w:pPr>
    </w:p>
    <w:p w14:paraId="3DBCFFE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3DBCFFE7">
      <w:pPr>
        <w:spacing w:line="360" w:lineRule="auto"/>
        <w:rPr>
          <w:rFonts w:hint="eastAsia" w:ascii="宋体" w:hAnsi="宋体" w:eastAsia="宋体" w:cs="宋体"/>
          <w:color w:val="auto"/>
          <w:sz w:val="24"/>
          <w:szCs w:val="24"/>
        </w:rPr>
      </w:pPr>
    </w:p>
    <w:p w14:paraId="3DBCFFE8">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DBCFFE9">
      <w:pPr>
        <w:pStyle w:val="11"/>
        <w:ind w:left="1540" w:right="1540"/>
        <w:rPr>
          <w:color w:val="auto"/>
        </w:rPr>
      </w:pPr>
    </w:p>
    <w:p w14:paraId="3DBCFFEA">
      <w:pPr>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BCFFEB">
      <w:pPr>
        <w:spacing w:line="360" w:lineRule="auto"/>
        <w:jc w:val="center"/>
        <w:rPr>
          <w:rFonts w:hint="eastAsia" w:ascii="宋体" w:hAnsi="宋体" w:eastAsia="宋体" w:cs="宋体"/>
          <w:color w:val="auto"/>
          <w:sz w:val="24"/>
          <w:szCs w:val="24"/>
        </w:rPr>
      </w:pPr>
    </w:p>
    <w:p w14:paraId="3DBCFFE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DBCFFED">
      <w:pPr>
        <w:pStyle w:val="11"/>
        <w:ind w:left="1540" w:right="1540"/>
        <w:rPr>
          <w:color w:val="auto"/>
        </w:rPr>
      </w:pPr>
    </w:p>
    <w:p w14:paraId="3DBCFFEE">
      <w:pPr>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3DBCFFEF">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3DBCFFF0">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DBC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2" w:hRule="atLeast"/>
          <w:jc w:val="center"/>
        </w:trPr>
        <w:tc>
          <w:tcPr>
            <w:tcW w:w="984" w:type="dxa"/>
            <w:vAlign w:val="center"/>
          </w:tcPr>
          <w:p w14:paraId="3DBCFFF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3DBCFFF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3DBCFFF3">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3DBCFFF4">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DBCFFF5">
            <w:pPr>
              <w:spacing w:line="32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3DBC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BCFFF7">
            <w:pPr>
              <w:spacing w:line="360" w:lineRule="auto"/>
              <w:jc w:val="center"/>
              <w:rPr>
                <w:rFonts w:hint="eastAsia" w:ascii="宋体" w:hAnsi="宋体" w:eastAsia="宋体" w:cs="宋体"/>
                <w:color w:val="auto"/>
                <w:sz w:val="24"/>
                <w:szCs w:val="24"/>
              </w:rPr>
            </w:pPr>
          </w:p>
        </w:tc>
        <w:tc>
          <w:tcPr>
            <w:tcW w:w="2335" w:type="dxa"/>
          </w:tcPr>
          <w:p w14:paraId="3DBCFFF8">
            <w:pPr>
              <w:spacing w:line="360" w:lineRule="auto"/>
              <w:jc w:val="center"/>
              <w:rPr>
                <w:rFonts w:hint="eastAsia" w:ascii="宋体" w:hAnsi="宋体" w:eastAsia="宋体" w:cs="宋体"/>
                <w:color w:val="auto"/>
                <w:sz w:val="24"/>
                <w:szCs w:val="24"/>
              </w:rPr>
            </w:pPr>
          </w:p>
        </w:tc>
        <w:tc>
          <w:tcPr>
            <w:tcW w:w="2836" w:type="dxa"/>
          </w:tcPr>
          <w:p w14:paraId="3DBCFFF9">
            <w:pPr>
              <w:spacing w:line="360" w:lineRule="auto"/>
              <w:jc w:val="center"/>
              <w:rPr>
                <w:rFonts w:hint="eastAsia" w:ascii="宋体" w:hAnsi="宋体" w:eastAsia="宋体" w:cs="宋体"/>
                <w:color w:val="auto"/>
                <w:sz w:val="24"/>
                <w:szCs w:val="24"/>
              </w:rPr>
            </w:pPr>
          </w:p>
        </w:tc>
        <w:tc>
          <w:tcPr>
            <w:tcW w:w="2176" w:type="dxa"/>
          </w:tcPr>
          <w:p w14:paraId="3DBCFFFA">
            <w:pPr>
              <w:spacing w:line="360" w:lineRule="auto"/>
              <w:jc w:val="center"/>
              <w:rPr>
                <w:rFonts w:hint="eastAsia" w:ascii="宋体" w:hAnsi="宋体" w:eastAsia="宋体" w:cs="宋体"/>
                <w:color w:val="auto"/>
                <w:sz w:val="24"/>
                <w:szCs w:val="24"/>
              </w:rPr>
            </w:pPr>
          </w:p>
        </w:tc>
      </w:tr>
      <w:tr w14:paraId="3DBD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BCFFFC">
            <w:pPr>
              <w:spacing w:line="360" w:lineRule="auto"/>
              <w:jc w:val="center"/>
              <w:rPr>
                <w:rFonts w:hint="eastAsia" w:ascii="宋体" w:hAnsi="宋体" w:eastAsia="宋体" w:cs="宋体"/>
                <w:color w:val="auto"/>
                <w:sz w:val="24"/>
                <w:szCs w:val="24"/>
              </w:rPr>
            </w:pPr>
          </w:p>
        </w:tc>
        <w:tc>
          <w:tcPr>
            <w:tcW w:w="2335" w:type="dxa"/>
          </w:tcPr>
          <w:p w14:paraId="3DBCFFFD">
            <w:pPr>
              <w:spacing w:line="360" w:lineRule="auto"/>
              <w:jc w:val="center"/>
              <w:rPr>
                <w:rFonts w:hint="eastAsia" w:ascii="宋体" w:hAnsi="宋体" w:eastAsia="宋体" w:cs="宋体"/>
                <w:color w:val="auto"/>
                <w:sz w:val="24"/>
                <w:szCs w:val="24"/>
              </w:rPr>
            </w:pPr>
          </w:p>
        </w:tc>
        <w:tc>
          <w:tcPr>
            <w:tcW w:w="2836" w:type="dxa"/>
          </w:tcPr>
          <w:p w14:paraId="3DBCFFFE">
            <w:pPr>
              <w:spacing w:line="360" w:lineRule="auto"/>
              <w:jc w:val="center"/>
              <w:rPr>
                <w:rFonts w:hint="eastAsia" w:ascii="宋体" w:hAnsi="宋体" w:eastAsia="宋体" w:cs="宋体"/>
                <w:color w:val="auto"/>
                <w:sz w:val="24"/>
                <w:szCs w:val="24"/>
              </w:rPr>
            </w:pPr>
          </w:p>
        </w:tc>
        <w:tc>
          <w:tcPr>
            <w:tcW w:w="2176" w:type="dxa"/>
          </w:tcPr>
          <w:p w14:paraId="3DBCFFFF">
            <w:pPr>
              <w:spacing w:line="360" w:lineRule="auto"/>
              <w:jc w:val="center"/>
              <w:rPr>
                <w:rFonts w:hint="eastAsia" w:ascii="宋体" w:hAnsi="宋体" w:eastAsia="宋体" w:cs="宋体"/>
                <w:color w:val="auto"/>
                <w:sz w:val="24"/>
                <w:szCs w:val="24"/>
              </w:rPr>
            </w:pPr>
          </w:p>
        </w:tc>
      </w:tr>
      <w:tr w14:paraId="3DBD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BD0001">
            <w:pPr>
              <w:spacing w:line="360" w:lineRule="auto"/>
              <w:jc w:val="center"/>
              <w:rPr>
                <w:rFonts w:hint="eastAsia" w:ascii="宋体" w:hAnsi="宋体" w:eastAsia="宋体" w:cs="宋体"/>
                <w:color w:val="auto"/>
                <w:sz w:val="24"/>
                <w:szCs w:val="24"/>
              </w:rPr>
            </w:pPr>
          </w:p>
        </w:tc>
        <w:tc>
          <w:tcPr>
            <w:tcW w:w="2335" w:type="dxa"/>
          </w:tcPr>
          <w:p w14:paraId="3DBD0002">
            <w:pPr>
              <w:spacing w:line="360" w:lineRule="auto"/>
              <w:jc w:val="center"/>
              <w:rPr>
                <w:rFonts w:hint="eastAsia" w:ascii="宋体" w:hAnsi="宋体" w:eastAsia="宋体" w:cs="宋体"/>
                <w:color w:val="auto"/>
                <w:sz w:val="24"/>
                <w:szCs w:val="24"/>
              </w:rPr>
            </w:pPr>
          </w:p>
        </w:tc>
        <w:tc>
          <w:tcPr>
            <w:tcW w:w="2836" w:type="dxa"/>
          </w:tcPr>
          <w:p w14:paraId="3DBD0003">
            <w:pPr>
              <w:spacing w:line="360" w:lineRule="auto"/>
              <w:jc w:val="center"/>
              <w:rPr>
                <w:rFonts w:hint="eastAsia" w:ascii="宋体" w:hAnsi="宋体" w:eastAsia="宋体" w:cs="宋体"/>
                <w:color w:val="auto"/>
                <w:sz w:val="24"/>
                <w:szCs w:val="24"/>
              </w:rPr>
            </w:pPr>
          </w:p>
        </w:tc>
        <w:tc>
          <w:tcPr>
            <w:tcW w:w="2176" w:type="dxa"/>
          </w:tcPr>
          <w:p w14:paraId="3DBD0004">
            <w:pPr>
              <w:spacing w:line="360" w:lineRule="auto"/>
              <w:jc w:val="center"/>
              <w:rPr>
                <w:rFonts w:hint="eastAsia" w:ascii="宋体" w:hAnsi="宋体" w:eastAsia="宋体" w:cs="宋体"/>
                <w:color w:val="auto"/>
                <w:sz w:val="24"/>
                <w:szCs w:val="24"/>
              </w:rPr>
            </w:pPr>
          </w:p>
        </w:tc>
      </w:tr>
      <w:tr w14:paraId="3DBD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BD0006">
            <w:pPr>
              <w:spacing w:line="360" w:lineRule="auto"/>
              <w:jc w:val="center"/>
              <w:rPr>
                <w:rFonts w:hint="eastAsia" w:ascii="宋体" w:hAnsi="宋体" w:eastAsia="宋体" w:cs="宋体"/>
                <w:color w:val="auto"/>
                <w:sz w:val="24"/>
                <w:szCs w:val="24"/>
              </w:rPr>
            </w:pPr>
          </w:p>
        </w:tc>
        <w:tc>
          <w:tcPr>
            <w:tcW w:w="2335" w:type="dxa"/>
          </w:tcPr>
          <w:p w14:paraId="3DBD0007">
            <w:pPr>
              <w:spacing w:line="360" w:lineRule="auto"/>
              <w:jc w:val="center"/>
              <w:rPr>
                <w:rFonts w:hint="eastAsia" w:ascii="宋体" w:hAnsi="宋体" w:eastAsia="宋体" w:cs="宋体"/>
                <w:color w:val="auto"/>
                <w:sz w:val="24"/>
                <w:szCs w:val="24"/>
              </w:rPr>
            </w:pPr>
          </w:p>
        </w:tc>
        <w:tc>
          <w:tcPr>
            <w:tcW w:w="2836" w:type="dxa"/>
          </w:tcPr>
          <w:p w14:paraId="3DBD0008">
            <w:pPr>
              <w:spacing w:line="360" w:lineRule="auto"/>
              <w:jc w:val="center"/>
              <w:rPr>
                <w:rFonts w:hint="eastAsia" w:ascii="宋体" w:hAnsi="宋体" w:eastAsia="宋体" w:cs="宋体"/>
                <w:color w:val="auto"/>
                <w:sz w:val="24"/>
                <w:szCs w:val="24"/>
              </w:rPr>
            </w:pPr>
          </w:p>
        </w:tc>
        <w:tc>
          <w:tcPr>
            <w:tcW w:w="2176" w:type="dxa"/>
          </w:tcPr>
          <w:p w14:paraId="3DBD0009">
            <w:pPr>
              <w:spacing w:line="360" w:lineRule="auto"/>
              <w:jc w:val="center"/>
              <w:rPr>
                <w:rFonts w:hint="eastAsia" w:ascii="宋体" w:hAnsi="宋体" w:eastAsia="宋体" w:cs="宋体"/>
                <w:color w:val="auto"/>
                <w:sz w:val="24"/>
                <w:szCs w:val="24"/>
              </w:rPr>
            </w:pPr>
          </w:p>
        </w:tc>
      </w:tr>
      <w:tr w14:paraId="3DBD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BD000B">
            <w:pPr>
              <w:spacing w:line="360" w:lineRule="auto"/>
              <w:jc w:val="center"/>
              <w:rPr>
                <w:rFonts w:hint="eastAsia" w:ascii="宋体" w:hAnsi="宋体" w:eastAsia="宋体" w:cs="宋体"/>
                <w:color w:val="auto"/>
                <w:sz w:val="24"/>
                <w:szCs w:val="24"/>
              </w:rPr>
            </w:pPr>
          </w:p>
        </w:tc>
        <w:tc>
          <w:tcPr>
            <w:tcW w:w="2335" w:type="dxa"/>
          </w:tcPr>
          <w:p w14:paraId="3DBD000C">
            <w:pPr>
              <w:spacing w:line="360" w:lineRule="auto"/>
              <w:jc w:val="center"/>
              <w:rPr>
                <w:rFonts w:hint="eastAsia" w:ascii="宋体" w:hAnsi="宋体" w:eastAsia="宋体" w:cs="宋体"/>
                <w:color w:val="auto"/>
                <w:sz w:val="24"/>
                <w:szCs w:val="24"/>
              </w:rPr>
            </w:pPr>
          </w:p>
        </w:tc>
        <w:tc>
          <w:tcPr>
            <w:tcW w:w="2836" w:type="dxa"/>
          </w:tcPr>
          <w:p w14:paraId="3DBD000D">
            <w:pPr>
              <w:spacing w:line="360" w:lineRule="auto"/>
              <w:jc w:val="center"/>
              <w:rPr>
                <w:rFonts w:hint="eastAsia" w:ascii="宋体" w:hAnsi="宋体" w:eastAsia="宋体" w:cs="宋体"/>
                <w:color w:val="auto"/>
                <w:sz w:val="24"/>
                <w:szCs w:val="24"/>
              </w:rPr>
            </w:pPr>
          </w:p>
        </w:tc>
        <w:tc>
          <w:tcPr>
            <w:tcW w:w="2176" w:type="dxa"/>
          </w:tcPr>
          <w:p w14:paraId="3DBD000E">
            <w:pPr>
              <w:spacing w:line="360" w:lineRule="auto"/>
              <w:jc w:val="center"/>
              <w:rPr>
                <w:rFonts w:hint="eastAsia" w:ascii="宋体" w:hAnsi="宋体" w:eastAsia="宋体" w:cs="宋体"/>
                <w:color w:val="auto"/>
                <w:sz w:val="24"/>
                <w:szCs w:val="24"/>
              </w:rPr>
            </w:pPr>
          </w:p>
        </w:tc>
      </w:tr>
      <w:tr w14:paraId="3DB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BD0010">
            <w:pPr>
              <w:spacing w:line="360" w:lineRule="auto"/>
              <w:jc w:val="center"/>
              <w:rPr>
                <w:rFonts w:hint="eastAsia" w:ascii="宋体" w:hAnsi="宋体" w:eastAsia="宋体" w:cs="宋体"/>
                <w:color w:val="auto"/>
                <w:sz w:val="24"/>
                <w:szCs w:val="24"/>
              </w:rPr>
            </w:pPr>
          </w:p>
          <w:p w14:paraId="3DBD0011">
            <w:pPr>
              <w:spacing w:line="360" w:lineRule="auto"/>
              <w:jc w:val="center"/>
              <w:rPr>
                <w:rFonts w:hint="eastAsia" w:ascii="宋体" w:hAnsi="宋体" w:eastAsia="宋体" w:cs="宋体"/>
                <w:color w:val="auto"/>
                <w:sz w:val="24"/>
                <w:szCs w:val="24"/>
              </w:rPr>
            </w:pPr>
          </w:p>
        </w:tc>
        <w:tc>
          <w:tcPr>
            <w:tcW w:w="2335" w:type="dxa"/>
          </w:tcPr>
          <w:p w14:paraId="3DBD0012">
            <w:pPr>
              <w:spacing w:line="360" w:lineRule="auto"/>
              <w:jc w:val="center"/>
              <w:rPr>
                <w:rFonts w:hint="eastAsia" w:ascii="宋体" w:hAnsi="宋体" w:eastAsia="宋体" w:cs="宋体"/>
                <w:color w:val="auto"/>
                <w:sz w:val="24"/>
                <w:szCs w:val="24"/>
              </w:rPr>
            </w:pPr>
          </w:p>
        </w:tc>
        <w:tc>
          <w:tcPr>
            <w:tcW w:w="2836" w:type="dxa"/>
          </w:tcPr>
          <w:p w14:paraId="3DBD0013">
            <w:pPr>
              <w:spacing w:line="360" w:lineRule="auto"/>
              <w:jc w:val="center"/>
              <w:rPr>
                <w:rFonts w:hint="eastAsia" w:ascii="宋体" w:hAnsi="宋体" w:eastAsia="宋体" w:cs="宋体"/>
                <w:color w:val="auto"/>
                <w:sz w:val="24"/>
                <w:szCs w:val="24"/>
              </w:rPr>
            </w:pPr>
          </w:p>
        </w:tc>
        <w:tc>
          <w:tcPr>
            <w:tcW w:w="2176" w:type="dxa"/>
          </w:tcPr>
          <w:p w14:paraId="3DBD0014">
            <w:pPr>
              <w:spacing w:line="360" w:lineRule="auto"/>
              <w:jc w:val="center"/>
              <w:rPr>
                <w:rFonts w:hint="eastAsia" w:ascii="宋体" w:hAnsi="宋体" w:eastAsia="宋体" w:cs="宋体"/>
                <w:color w:val="auto"/>
                <w:sz w:val="24"/>
                <w:szCs w:val="24"/>
              </w:rPr>
            </w:pPr>
          </w:p>
        </w:tc>
      </w:tr>
      <w:tr w14:paraId="3DBD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BD0016">
            <w:pPr>
              <w:spacing w:line="360" w:lineRule="auto"/>
              <w:jc w:val="center"/>
              <w:rPr>
                <w:rFonts w:hint="eastAsia" w:ascii="宋体" w:hAnsi="宋体" w:eastAsia="宋体" w:cs="宋体"/>
                <w:color w:val="auto"/>
                <w:sz w:val="24"/>
                <w:szCs w:val="24"/>
              </w:rPr>
            </w:pPr>
          </w:p>
        </w:tc>
        <w:tc>
          <w:tcPr>
            <w:tcW w:w="2335" w:type="dxa"/>
          </w:tcPr>
          <w:p w14:paraId="3DBD0017">
            <w:pPr>
              <w:spacing w:line="360" w:lineRule="auto"/>
              <w:jc w:val="center"/>
              <w:rPr>
                <w:rFonts w:hint="eastAsia" w:ascii="宋体" w:hAnsi="宋体" w:eastAsia="宋体" w:cs="宋体"/>
                <w:color w:val="auto"/>
                <w:sz w:val="24"/>
                <w:szCs w:val="24"/>
              </w:rPr>
            </w:pPr>
          </w:p>
        </w:tc>
        <w:tc>
          <w:tcPr>
            <w:tcW w:w="2836" w:type="dxa"/>
          </w:tcPr>
          <w:p w14:paraId="3DBD0018">
            <w:pPr>
              <w:spacing w:line="360" w:lineRule="auto"/>
              <w:jc w:val="center"/>
              <w:rPr>
                <w:rFonts w:hint="eastAsia" w:ascii="宋体" w:hAnsi="宋体" w:eastAsia="宋体" w:cs="宋体"/>
                <w:color w:val="auto"/>
                <w:sz w:val="24"/>
                <w:szCs w:val="24"/>
              </w:rPr>
            </w:pPr>
          </w:p>
        </w:tc>
        <w:tc>
          <w:tcPr>
            <w:tcW w:w="2176" w:type="dxa"/>
          </w:tcPr>
          <w:p w14:paraId="3DBD0019">
            <w:pPr>
              <w:spacing w:line="360" w:lineRule="auto"/>
              <w:jc w:val="center"/>
              <w:rPr>
                <w:rFonts w:hint="eastAsia" w:ascii="宋体" w:hAnsi="宋体" w:eastAsia="宋体" w:cs="宋体"/>
                <w:color w:val="auto"/>
                <w:sz w:val="24"/>
                <w:szCs w:val="24"/>
              </w:rPr>
            </w:pPr>
          </w:p>
        </w:tc>
      </w:tr>
      <w:tr w14:paraId="3DBD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DBD001B">
            <w:pPr>
              <w:spacing w:line="360" w:lineRule="auto"/>
              <w:jc w:val="center"/>
              <w:rPr>
                <w:rFonts w:hint="eastAsia" w:ascii="宋体" w:hAnsi="宋体" w:eastAsia="宋体" w:cs="宋体"/>
                <w:color w:val="auto"/>
                <w:sz w:val="24"/>
                <w:szCs w:val="24"/>
              </w:rPr>
            </w:pPr>
          </w:p>
        </w:tc>
        <w:tc>
          <w:tcPr>
            <w:tcW w:w="2335" w:type="dxa"/>
          </w:tcPr>
          <w:p w14:paraId="3DBD001C">
            <w:pPr>
              <w:spacing w:line="360" w:lineRule="auto"/>
              <w:jc w:val="center"/>
              <w:rPr>
                <w:rFonts w:hint="eastAsia" w:ascii="宋体" w:hAnsi="宋体" w:eastAsia="宋体" w:cs="宋体"/>
                <w:color w:val="auto"/>
                <w:sz w:val="24"/>
                <w:szCs w:val="24"/>
              </w:rPr>
            </w:pPr>
          </w:p>
        </w:tc>
        <w:tc>
          <w:tcPr>
            <w:tcW w:w="2836" w:type="dxa"/>
          </w:tcPr>
          <w:p w14:paraId="3DBD001D">
            <w:pPr>
              <w:spacing w:line="360" w:lineRule="auto"/>
              <w:jc w:val="center"/>
              <w:rPr>
                <w:rFonts w:hint="eastAsia" w:ascii="宋体" w:hAnsi="宋体" w:eastAsia="宋体" w:cs="宋体"/>
                <w:color w:val="auto"/>
                <w:sz w:val="24"/>
                <w:szCs w:val="24"/>
              </w:rPr>
            </w:pPr>
          </w:p>
        </w:tc>
        <w:tc>
          <w:tcPr>
            <w:tcW w:w="2176" w:type="dxa"/>
          </w:tcPr>
          <w:p w14:paraId="3DBD001E">
            <w:pPr>
              <w:spacing w:line="360" w:lineRule="auto"/>
              <w:jc w:val="center"/>
              <w:rPr>
                <w:rFonts w:hint="eastAsia" w:ascii="宋体" w:hAnsi="宋体" w:eastAsia="宋体" w:cs="宋体"/>
                <w:color w:val="auto"/>
                <w:sz w:val="24"/>
                <w:szCs w:val="24"/>
              </w:rPr>
            </w:pPr>
          </w:p>
        </w:tc>
      </w:tr>
    </w:tbl>
    <w:p w14:paraId="3DBD0020">
      <w:pPr>
        <w:spacing w:line="360" w:lineRule="auto"/>
        <w:rPr>
          <w:rFonts w:hint="eastAsia" w:ascii="宋体" w:hAnsi="宋体" w:eastAsia="宋体" w:cs="宋体"/>
          <w:color w:val="auto"/>
          <w:sz w:val="24"/>
          <w:szCs w:val="24"/>
        </w:rPr>
      </w:pPr>
    </w:p>
    <w:p w14:paraId="3DBD0021">
      <w:pPr>
        <w:spacing w:line="360" w:lineRule="auto"/>
        <w:rPr>
          <w:rFonts w:hint="eastAsia" w:ascii="宋体" w:hAnsi="宋体" w:eastAsia="宋体" w:cs="宋体"/>
          <w:color w:val="auto"/>
          <w:sz w:val="24"/>
          <w:szCs w:val="24"/>
        </w:rPr>
      </w:pPr>
    </w:p>
    <w:p w14:paraId="3DBD0022">
      <w:pPr>
        <w:spacing w:line="360" w:lineRule="auto"/>
        <w:rPr>
          <w:rFonts w:hint="eastAsia" w:ascii="宋体" w:hAnsi="宋体" w:eastAsia="宋体" w:cs="宋体"/>
          <w:color w:val="auto"/>
          <w:sz w:val="24"/>
          <w:szCs w:val="24"/>
        </w:rPr>
      </w:pPr>
    </w:p>
    <w:p w14:paraId="3DBD00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DBD0024">
      <w:pPr>
        <w:pStyle w:val="11"/>
        <w:ind w:left="1540" w:right="1540"/>
        <w:rPr>
          <w:color w:val="auto"/>
        </w:rPr>
      </w:pPr>
    </w:p>
    <w:p w14:paraId="3DBD002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BD0026">
      <w:pPr>
        <w:spacing w:line="360" w:lineRule="auto"/>
        <w:rPr>
          <w:rFonts w:hint="eastAsia" w:ascii="宋体" w:hAnsi="宋体" w:eastAsia="宋体" w:cs="宋体"/>
          <w:color w:val="auto"/>
          <w:sz w:val="24"/>
          <w:szCs w:val="24"/>
        </w:rPr>
      </w:pPr>
    </w:p>
    <w:p w14:paraId="3DBD0027">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3DBD0028">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3DBD0029">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3DBD002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南京医科大学：</w:t>
      </w:r>
    </w:p>
    <w:p w14:paraId="3DBD002B">
      <w:pPr>
        <w:spacing w:line="360" w:lineRule="auto"/>
        <w:ind w:firstLine="384" w:firstLineChars="160"/>
        <w:rPr>
          <w:rFonts w:hint="eastAsia" w:ascii="宋体" w:hAnsi="宋体" w:eastAsia="宋体" w:cs="宋体"/>
          <w:color w:val="auto"/>
          <w:sz w:val="24"/>
          <w:szCs w:val="24"/>
        </w:rPr>
      </w:pPr>
      <w:r>
        <w:rPr>
          <w:rFonts w:hint="eastAsia" w:ascii="宋体" w:hAnsi="宋体" w:eastAsia="宋体" w:cs="宋体"/>
          <w:color w:val="auto"/>
          <w:sz w:val="24"/>
          <w:szCs w:val="24"/>
        </w:rPr>
        <w:t>我单位郑重声明：</w:t>
      </w:r>
    </w:p>
    <w:p w14:paraId="3DBD002C">
      <w:pPr>
        <w:shd w:val="clear" w:color="auto" w:fill="FFFFFF"/>
        <w:spacing w:line="360" w:lineRule="auto"/>
        <w:ind w:firstLine="352" w:firstLineChars="147"/>
        <w:rPr>
          <w:rFonts w:hint="eastAsia"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3DBD002D">
      <w:pPr>
        <w:spacing w:line="360" w:lineRule="auto"/>
        <w:ind w:firstLine="480" w:firstLineChars="200"/>
        <w:rPr>
          <w:rFonts w:hint="eastAsia" w:ascii="宋体" w:hAnsi="宋体" w:eastAsia="宋体" w:cs="宋体"/>
          <w:color w:val="auto"/>
          <w:sz w:val="24"/>
          <w:szCs w:val="24"/>
        </w:rPr>
      </w:pPr>
    </w:p>
    <w:p w14:paraId="3DBD002E">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3DBD002F">
      <w:pPr>
        <w:pStyle w:val="11"/>
        <w:ind w:left="1540" w:right="1540"/>
        <w:rPr>
          <w:rFonts w:hint="eastAsia" w:ascii="宋体" w:hAnsi="宋体" w:eastAsia="宋体" w:cs="宋体"/>
          <w:color w:val="auto"/>
          <w:sz w:val="24"/>
          <w:szCs w:val="24"/>
        </w:rPr>
      </w:pPr>
    </w:p>
    <w:p w14:paraId="3DBD0030">
      <w:pPr>
        <w:pStyle w:val="11"/>
        <w:ind w:left="1540" w:right="1540"/>
        <w:rPr>
          <w:rFonts w:hint="eastAsia" w:ascii="宋体" w:hAnsi="宋体" w:eastAsia="宋体" w:cs="宋体"/>
          <w:color w:val="auto"/>
          <w:sz w:val="24"/>
          <w:szCs w:val="24"/>
        </w:rPr>
      </w:pPr>
    </w:p>
    <w:p w14:paraId="3DBD0031">
      <w:pPr>
        <w:pStyle w:val="11"/>
        <w:ind w:left="1540" w:right="1540"/>
        <w:rPr>
          <w:rFonts w:hint="eastAsia" w:ascii="宋体" w:hAnsi="宋体" w:eastAsia="宋体" w:cs="宋体"/>
          <w:color w:val="auto"/>
          <w:sz w:val="24"/>
          <w:szCs w:val="24"/>
        </w:rPr>
      </w:pPr>
    </w:p>
    <w:p w14:paraId="3DBD0032">
      <w:pPr>
        <w:spacing w:line="360" w:lineRule="auto"/>
        <w:rPr>
          <w:rFonts w:hint="eastAsia" w:ascii="宋体" w:hAnsi="宋体" w:eastAsia="宋体" w:cs="宋体"/>
          <w:color w:val="auto"/>
          <w:sz w:val="24"/>
          <w:szCs w:val="24"/>
        </w:rPr>
      </w:pPr>
    </w:p>
    <w:p w14:paraId="3DBD003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DBD0034">
      <w:pPr>
        <w:pStyle w:val="11"/>
        <w:ind w:left="1540" w:right="1540"/>
        <w:rPr>
          <w:color w:val="auto"/>
        </w:rPr>
      </w:pPr>
    </w:p>
    <w:p w14:paraId="3DBD003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BD0036">
      <w:pPr>
        <w:spacing w:line="360" w:lineRule="auto"/>
        <w:rPr>
          <w:rFonts w:hint="eastAsia" w:ascii="宋体" w:hAnsi="宋体" w:eastAsia="宋体" w:cs="宋体"/>
          <w:color w:val="auto"/>
          <w:sz w:val="24"/>
          <w:szCs w:val="24"/>
        </w:rPr>
      </w:pPr>
    </w:p>
    <w:p w14:paraId="3DBD0037">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3DBD0038">
      <w:pPr>
        <w:pStyle w:val="5"/>
        <w:spacing w:line="360" w:lineRule="auto"/>
        <w:rPr>
          <w:rFonts w:hint="eastAsia" w:ascii="宋体" w:hAnsi="宋体" w:eastAsia="宋体" w:cs="宋体"/>
          <w:color w:val="auto"/>
          <w:sz w:val="24"/>
          <w:szCs w:val="24"/>
        </w:rPr>
      </w:pPr>
    </w:p>
    <w:bookmarkEnd w:id="63"/>
    <w:p w14:paraId="3DBD0039">
      <w:pPr>
        <w:pStyle w:val="34"/>
        <w:ind w:firstLine="0"/>
        <w:rPr>
          <w:rFonts w:hint="eastAsia" w:ascii="宋体" w:hAnsi="宋体" w:cs="宋体"/>
          <w:color w:val="auto"/>
        </w:rPr>
      </w:pPr>
    </w:p>
    <w:p w14:paraId="3DBD003A">
      <w:pPr>
        <w:pStyle w:val="34"/>
        <w:ind w:firstLine="0"/>
        <w:rPr>
          <w:rFonts w:hint="eastAsia" w:ascii="宋体" w:hAnsi="宋体" w:cs="宋体"/>
          <w:color w:val="auto"/>
        </w:rPr>
      </w:pPr>
    </w:p>
    <w:p w14:paraId="3DBD003B">
      <w:pPr>
        <w:pStyle w:val="34"/>
        <w:ind w:firstLine="0"/>
        <w:rPr>
          <w:rFonts w:hint="eastAsia" w:ascii="宋体" w:hAnsi="宋体" w:cs="宋体"/>
          <w:color w:val="auto"/>
        </w:rPr>
      </w:pPr>
    </w:p>
    <w:p w14:paraId="3DBD003C">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3DBD003D">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3DBD003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南京医科大学：</w:t>
      </w:r>
    </w:p>
    <w:p w14:paraId="3DBD003F">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3DBD0040">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3DBD0041">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3DBD0042">
      <w:pPr>
        <w:spacing w:line="460" w:lineRule="exact"/>
        <w:ind w:firstLine="492"/>
        <w:rPr>
          <w:rFonts w:hint="eastAsia"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3DBD0043">
      <w:pPr>
        <w:spacing w:line="360" w:lineRule="auto"/>
        <w:rPr>
          <w:rFonts w:hint="eastAsia" w:ascii="宋体" w:hAnsi="宋体" w:eastAsia="宋体" w:cs="宋体"/>
          <w:color w:val="auto"/>
          <w:sz w:val="24"/>
          <w:szCs w:val="24"/>
        </w:rPr>
      </w:pPr>
    </w:p>
    <w:p w14:paraId="3DBD0044">
      <w:pPr>
        <w:spacing w:line="360" w:lineRule="auto"/>
        <w:rPr>
          <w:rFonts w:hint="eastAsia" w:ascii="宋体" w:hAnsi="宋体" w:eastAsia="宋体" w:cs="宋体"/>
          <w:color w:val="auto"/>
          <w:sz w:val="24"/>
          <w:szCs w:val="24"/>
        </w:rPr>
      </w:pPr>
    </w:p>
    <w:p w14:paraId="3DBD0045">
      <w:pPr>
        <w:spacing w:line="360" w:lineRule="auto"/>
        <w:rPr>
          <w:rFonts w:hint="eastAsia" w:ascii="宋体" w:hAnsi="宋体" w:eastAsia="宋体" w:cs="宋体"/>
          <w:color w:val="auto"/>
          <w:sz w:val="24"/>
          <w:szCs w:val="24"/>
        </w:rPr>
      </w:pPr>
    </w:p>
    <w:p w14:paraId="3DBD0046">
      <w:pPr>
        <w:spacing w:line="360" w:lineRule="auto"/>
        <w:rPr>
          <w:rFonts w:hint="eastAsia" w:ascii="宋体" w:hAnsi="宋体" w:eastAsia="宋体" w:cs="宋体"/>
          <w:color w:val="auto"/>
          <w:sz w:val="24"/>
          <w:szCs w:val="24"/>
        </w:rPr>
      </w:pPr>
    </w:p>
    <w:p w14:paraId="3DBD0047">
      <w:pPr>
        <w:spacing w:line="360" w:lineRule="auto"/>
        <w:rPr>
          <w:rFonts w:hint="eastAsia" w:ascii="宋体" w:hAnsi="宋体" w:eastAsia="宋体" w:cs="宋体"/>
          <w:color w:val="auto"/>
          <w:sz w:val="24"/>
          <w:szCs w:val="24"/>
        </w:rPr>
      </w:pPr>
    </w:p>
    <w:p w14:paraId="3DBD004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DBD0049">
      <w:pPr>
        <w:pStyle w:val="11"/>
        <w:ind w:left="1540" w:right="1540"/>
        <w:rPr>
          <w:color w:val="auto"/>
        </w:rPr>
      </w:pPr>
    </w:p>
    <w:p w14:paraId="3DBD00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BD004B">
      <w:pPr>
        <w:spacing w:line="360" w:lineRule="auto"/>
        <w:rPr>
          <w:rFonts w:hint="eastAsia" w:ascii="宋体" w:hAnsi="宋体" w:eastAsia="宋体" w:cs="宋体"/>
          <w:color w:val="auto"/>
          <w:sz w:val="24"/>
          <w:szCs w:val="24"/>
        </w:rPr>
      </w:pPr>
    </w:p>
    <w:p w14:paraId="3DBD004C">
      <w:pPr>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3DBD004D">
      <w:pPr>
        <w:spacing w:line="360" w:lineRule="auto"/>
        <w:rPr>
          <w:rFonts w:hint="eastAsia" w:ascii="宋体" w:hAnsi="宋体" w:eastAsia="宋体" w:cs="宋体"/>
          <w:color w:val="auto"/>
          <w:sz w:val="24"/>
          <w:szCs w:val="24"/>
        </w:rPr>
      </w:pPr>
    </w:p>
    <w:p w14:paraId="3DBD004E">
      <w:pPr>
        <w:spacing w:line="460" w:lineRule="exact"/>
        <w:ind w:firstLine="492"/>
        <w:rPr>
          <w:rFonts w:hint="eastAsia" w:ascii="宋体" w:hAnsi="宋体" w:eastAsia="宋体" w:cs="宋体"/>
          <w:color w:val="auto"/>
          <w:sz w:val="24"/>
          <w:szCs w:val="24"/>
        </w:rPr>
      </w:pPr>
    </w:p>
    <w:p w14:paraId="3DBD004F">
      <w:pPr>
        <w:spacing w:line="460" w:lineRule="exact"/>
        <w:ind w:firstLine="492"/>
        <w:rPr>
          <w:rFonts w:hint="eastAsia" w:ascii="宋体" w:hAnsi="宋体" w:eastAsia="宋体" w:cs="宋体"/>
          <w:color w:val="auto"/>
          <w:sz w:val="24"/>
          <w:szCs w:val="24"/>
        </w:rPr>
      </w:pPr>
    </w:p>
    <w:p w14:paraId="3DBD0050">
      <w:pPr>
        <w:autoSpaceDE w:val="0"/>
        <w:autoSpaceDN w:val="0"/>
        <w:spacing w:after="0" w:line="360" w:lineRule="auto"/>
        <w:rPr>
          <w:rFonts w:ascii="Arial" w:hAnsi="Arial" w:eastAsia="宋体" w:cs="Arial"/>
          <w:b/>
          <w:color w:val="auto"/>
          <w:sz w:val="24"/>
          <w:szCs w:val="24"/>
        </w:rPr>
      </w:pPr>
    </w:p>
    <w:p w14:paraId="3DBD0051">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3DBD0052">
      <w:pPr>
        <w:spacing w:line="360" w:lineRule="auto"/>
        <w:jc w:val="center"/>
        <w:rPr>
          <w:rFonts w:hint="eastAsia" w:ascii="宋体" w:hAnsi="宋体" w:eastAsia="宋体" w:cs="宋体"/>
          <w:b/>
          <w:color w:val="auto"/>
          <w:sz w:val="28"/>
          <w:szCs w:val="28"/>
        </w:rPr>
      </w:pPr>
      <w:bookmarkStart w:id="65" w:name="_Toc896"/>
      <w:bookmarkStart w:id="66" w:name="_Toc7690"/>
      <w:r>
        <w:rPr>
          <w:rFonts w:hint="eastAsia" w:ascii="宋体" w:hAnsi="宋体" w:eastAsia="宋体" w:cs="宋体"/>
          <w:b/>
          <w:color w:val="auto"/>
          <w:sz w:val="28"/>
          <w:szCs w:val="28"/>
        </w:rPr>
        <w:t>中小企业声明函（货物）</w:t>
      </w:r>
      <w:bookmarkEnd w:id="65"/>
      <w:bookmarkEnd w:id="66"/>
    </w:p>
    <w:p w14:paraId="3DBD0053">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南京医科大学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护理学专业知识图谱和智慧课程建设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DBD0054">
      <w:pPr>
        <w:pStyle w:val="40"/>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3DBD0055">
      <w:pPr>
        <w:pStyle w:val="40"/>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3DBD0056">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3DBD0057">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3DBD0058">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3DBD0059">
      <w:pPr>
        <w:pStyle w:val="8"/>
        <w:adjustRightInd w:val="0"/>
        <w:snapToGrid w:val="0"/>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3DBD005A">
      <w:pPr>
        <w:pStyle w:val="8"/>
        <w:adjustRightInd w:val="0"/>
        <w:snapToGrid w:val="0"/>
        <w:spacing w:line="360" w:lineRule="auto"/>
        <w:ind w:firstLine="480" w:firstLineChars="200"/>
        <w:rPr>
          <w:rFonts w:hint="eastAsia" w:ascii="宋体" w:hAnsi="宋体" w:eastAsia="宋体" w:cs="宋体"/>
          <w:snapToGrid w:val="0"/>
          <w:color w:val="auto"/>
          <w:sz w:val="24"/>
          <w:szCs w:val="24"/>
        </w:rPr>
      </w:pPr>
    </w:p>
    <w:p w14:paraId="3DBD005B">
      <w:pPr>
        <w:pStyle w:val="8"/>
        <w:adjustRightInd w:val="0"/>
        <w:snapToGrid w:val="0"/>
        <w:spacing w:line="300" w:lineRule="auto"/>
        <w:rPr>
          <w:rFonts w:hint="eastAsia" w:ascii="宋体" w:hAnsi="宋体" w:eastAsia="宋体" w:cs="宋体"/>
          <w:snapToGrid w:val="0"/>
          <w:color w:val="auto"/>
          <w:sz w:val="24"/>
          <w:szCs w:val="24"/>
        </w:rPr>
      </w:pPr>
    </w:p>
    <w:p w14:paraId="3DBD005C">
      <w:pPr>
        <w:spacing w:line="360" w:lineRule="auto"/>
        <w:ind w:left="5500" w:leftChars="2500"/>
        <w:rPr>
          <w:rFonts w:hint="eastAsia" w:ascii="宋体" w:hAnsi="宋体" w:eastAsia="宋体" w:cs="宋体"/>
          <w:color w:val="auto"/>
          <w:sz w:val="24"/>
          <w:szCs w:val="24"/>
        </w:rPr>
      </w:pPr>
    </w:p>
    <w:p w14:paraId="3DBD005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DBD005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投标人名称（盖章）：</w:t>
      </w:r>
    </w:p>
    <w:p w14:paraId="3DBD005F">
      <w:pPr>
        <w:spacing w:line="360" w:lineRule="auto"/>
        <w:ind w:firstLine="5040" w:firstLineChars="2100"/>
        <w:rPr>
          <w:rFonts w:hint="eastAsia"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3DBD0060">
      <w:pPr>
        <w:pStyle w:val="34"/>
        <w:ind w:firstLine="0"/>
        <w:rPr>
          <w:rFonts w:hint="eastAsia" w:ascii="宋体" w:hAnsi="宋体" w:cs="宋体"/>
          <w:color w:val="auto"/>
        </w:rPr>
      </w:pPr>
      <w:r>
        <w:rPr>
          <w:rFonts w:hint="eastAsia" w:ascii="宋体" w:hAnsi="宋体" w:cs="宋体"/>
          <w:color w:val="auto"/>
        </w:rPr>
        <w:br w:type="page"/>
      </w:r>
    </w:p>
    <w:p w14:paraId="3DBD0061">
      <w:pPr>
        <w:pStyle w:val="34"/>
        <w:ind w:firstLine="0"/>
        <w:rPr>
          <w:rFonts w:hint="eastAsia" w:ascii="宋体" w:hAnsi="宋体" w:cs="宋体"/>
          <w:color w:val="auto"/>
        </w:rPr>
      </w:pPr>
      <w:r>
        <w:rPr>
          <w:rFonts w:cs="Arial"/>
          <w:b/>
          <w:color w:val="auto"/>
        </w:rPr>
        <w:t>附件</w:t>
      </w:r>
      <w:r>
        <w:rPr>
          <w:rFonts w:hint="eastAsia" w:cs="Arial"/>
          <w:b/>
          <w:color w:val="auto"/>
        </w:rPr>
        <w:t>十</w:t>
      </w:r>
    </w:p>
    <w:p w14:paraId="3DBD0062">
      <w:pPr>
        <w:spacing w:line="360" w:lineRule="auto"/>
        <w:jc w:val="center"/>
        <w:rPr>
          <w:rFonts w:hint="eastAsia" w:ascii="宋体" w:hAnsi="宋体" w:eastAsia="宋体" w:cs="宋体"/>
          <w:b/>
          <w:color w:val="auto"/>
          <w:sz w:val="28"/>
          <w:szCs w:val="28"/>
        </w:rPr>
      </w:pPr>
      <w:bookmarkStart w:id="67" w:name="_Toc1046"/>
      <w:bookmarkStart w:id="68" w:name="_Toc4019"/>
      <w:r>
        <w:rPr>
          <w:rFonts w:hint="eastAsia" w:ascii="宋体" w:hAnsi="宋体" w:eastAsia="宋体" w:cs="宋体"/>
          <w:b/>
          <w:color w:val="auto"/>
          <w:sz w:val="28"/>
          <w:szCs w:val="28"/>
        </w:rPr>
        <w:t>残疾人福利性单位声明函</w:t>
      </w:r>
      <w:bookmarkEnd w:id="67"/>
      <w:bookmarkEnd w:id="68"/>
    </w:p>
    <w:p w14:paraId="3DBD0063">
      <w:pPr>
        <w:spacing w:before="48" w:beforeLines="2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南京医科大学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r>
        <w:rPr>
          <w:rFonts w:hint="eastAsia" w:ascii="宋体" w:hAnsi="宋体" w:eastAsia="宋体" w:cs="宋体"/>
          <w:snapToGrid w:val="0"/>
          <w:color w:val="auto"/>
          <w:sz w:val="24"/>
          <w:szCs w:val="24"/>
          <w:u w:val="single"/>
        </w:rPr>
        <w:t>护理学专业知识图谱和智慧课程建设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1" w:name="_Hlk60666108"/>
      <w:r>
        <w:rPr>
          <w:rFonts w:hint="eastAsia" w:ascii="宋体" w:hAnsi="宋体" w:eastAsia="宋体" w:cs="宋体"/>
          <w:color w:val="auto"/>
          <w:sz w:val="24"/>
          <w:szCs w:val="24"/>
          <w:u w:val="single"/>
        </w:rPr>
        <w:t xml:space="preserve">  [残疾人福利性单位名称]  </w:t>
      </w:r>
      <w:bookmarkEnd w:id="71"/>
      <w:r>
        <w:rPr>
          <w:rFonts w:hint="eastAsia" w:ascii="宋体" w:hAnsi="宋体" w:eastAsia="宋体" w:cs="宋体"/>
          <w:color w:val="auto"/>
          <w:sz w:val="24"/>
          <w:szCs w:val="24"/>
        </w:rPr>
        <w:t>制造的货物（不包括使用非残疾人福利性单位注册商标的货物）。</w:t>
      </w:r>
    </w:p>
    <w:p w14:paraId="3DBD0064">
      <w:pPr>
        <w:spacing w:before="48" w:beforeLines="20"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3DBD0065">
      <w:pPr>
        <w:spacing w:before="48" w:beforeLines="20" w:line="360" w:lineRule="auto"/>
        <w:ind w:firstLine="480" w:firstLineChars="200"/>
        <w:rPr>
          <w:rFonts w:hint="eastAsia" w:ascii="宋体" w:hAnsi="宋体" w:eastAsia="宋体" w:cs="宋体"/>
          <w:color w:val="auto"/>
          <w:sz w:val="24"/>
          <w:szCs w:val="24"/>
        </w:rPr>
      </w:pPr>
    </w:p>
    <w:p w14:paraId="3DBD0066">
      <w:pPr>
        <w:spacing w:line="588" w:lineRule="exact"/>
        <w:ind w:firstLine="480" w:firstLineChars="200"/>
        <w:rPr>
          <w:rFonts w:hint="eastAsia" w:ascii="宋体" w:hAnsi="宋体" w:eastAsia="宋体" w:cs="宋体"/>
          <w:b/>
          <w:bCs/>
          <w:color w:val="auto"/>
          <w:sz w:val="24"/>
          <w:szCs w:val="24"/>
        </w:rPr>
      </w:pPr>
      <w:bookmarkStart w:id="72" w:name="_Hlk60666116"/>
      <w:r>
        <w:rPr>
          <w:rFonts w:hint="eastAsia" w:ascii="宋体" w:hAnsi="宋体" w:eastAsia="宋体" w:cs="宋体"/>
          <w:snapToGrid w:val="0"/>
          <w:color w:val="auto"/>
          <w:sz w:val="24"/>
          <w:szCs w:val="24"/>
        </w:rPr>
        <w:t xml:space="preserve"> </w:t>
      </w:r>
    </w:p>
    <w:bookmarkEnd w:id="72"/>
    <w:p w14:paraId="3DBD0067">
      <w:pPr>
        <w:spacing w:line="588" w:lineRule="exact"/>
        <w:ind w:firstLine="504" w:firstLineChars="200"/>
        <w:rPr>
          <w:rFonts w:hint="eastAsia" w:ascii="宋体" w:hAnsi="宋体" w:eastAsia="宋体" w:cs="宋体"/>
          <w:color w:val="auto"/>
          <w:spacing w:val="6"/>
          <w:sz w:val="24"/>
          <w:szCs w:val="24"/>
        </w:rPr>
      </w:pPr>
    </w:p>
    <w:p w14:paraId="3DBD00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DBD0069">
      <w:pPr>
        <w:spacing w:line="588" w:lineRule="exact"/>
        <w:rPr>
          <w:rFonts w:hint="eastAsia"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3DBD006A">
      <w:pPr>
        <w:spacing w:line="360" w:lineRule="auto"/>
        <w:ind w:left="5500" w:leftChars="2500"/>
        <w:rPr>
          <w:rFonts w:hint="eastAsia" w:ascii="宋体" w:hAnsi="宋体" w:eastAsia="宋体" w:cs="宋体"/>
          <w:color w:val="auto"/>
          <w:sz w:val="24"/>
          <w:szCs w:val="24"/>
        </w:rPr>
      </w:pPr>
    </w:p>
    <w:p w14:paraId="3DBD006B">
      <w:pPr>
        <w:spacing w:line="360" w:lineRule="auto"/>
        <w:ind w:left="5500" w:leftChars="2500"/>
        <w:rPr>
          <w:rFonts w:hint="eastAsia" w:ascii="宋体" w:hAnsi="宋体" w:eastAsia="宋体" w:cs="宋体"/>
          <w:color w:val="auto"/>
          <w:sz w:val="24"/>
          <w:szCs w:val="24"/>
        </w:rPr>
      </w:pPr>
    </w:p>
    <w:p w14:paraId="3DBD006C">
      <w:pPr>
        <w:spacing w:line="360" w:lineRule="auto"/>
        <w:ind w:left="5500" w:leftChars="2500"/>
        <w:rPr>
          <w:rFonts w:hint="eastAsia" w:ascii="宋体" w:hAnsi="宋体" w:eastAsia="宋体" w:cs="宋体"/>
          <w:color w:val="auto"/>
          <w:sz w:val="24"/>
          <w:szCs w:val="24"/>
        </w:rPr>
      </w:pPr>
    </w:p>
    <w:p w14:paraId="3DBD006D">
      <w:pPr>
        <w:spacing w:line="360" w:lineRule="auto"/>
        <w:ind w:left="5500" w:leftChars="25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3DBD006E">
      <w:pPr>
        <w:spacing w:line="320" w:lineRule="exact"/>
        <w:rPr>
          <w:rFonts w:hint="eastAsia" w:ascii="宋体" w:hAnsi="宋体" w:eastAsia="宋体" w:cs="宋体"/>
          <w:color w:val="auto"/>
          <w:sz w:val="24"/>
          <w:szCs w:val="24"/>
        </w:rPr>
      </w:pPr>
    </w:p>
    <w:p w14:paraId="3DBD0070">
      <w:pPr>
        <w:pStyle w:val="34"/>
        <w:ind w:firstLine="0"/>
        <w:rPr>
          <w:rFonts w:hint="eastAsia"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D008A">
    <w:pPr>
      <w:pStyle w:val="16"/>
      <w:framePr w:wrap="around" w:vAnchor="text" w:hAnchor="margin" w:xAlign="center" w:y="1"/>
      <w:rPr>
        <w:rStyle w:val="27"/>
        <w:rFonts w:hint="eastAsia"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17</w:t>
    </w:r>
    <w:r>
      <w:rPr>
        <w:rFonts w:ascii="宋体" w:hAnsi="宋体"/>
      </w:rPr>
      <w:fldChar w:fldCharType="end"/>
    </w:r>
  </w:p>
  <w:p w14:paraId="3DBD008B">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D0088">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3DBD008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D008C">
    <w:pPr>
      <w:pStyle w:val="16"/>
    </w:pPr>
  </w:p>
  <w:p w14:paraId="3DBD008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D008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MwtDC3NDK0NLUwMDJU0lEKTi0uzszPAykwrAUANaKT5ywAAAA="/>
    <w:docVar w:name="commondata" w:val="eyJoZGlkIjoiNDA2ZTNhZmZhOGM3N2I4M2NlMTM1ODI4MGYxNjNiOWQifQ=="/>
  </w:docVars>
  <w:rsids>
    <w:rsidRoot w:val="00D31D50"/>
    <w:rsid w:val="00026CA5"/>
    <w:rsid w:val="000458DB"/>
    <w:rsid w:val="000508AB"/>
    <w:rsid w:val="00050D10"/>
    <w:rsid w:val="00053D8C"/>
    <w:rsid w:val="00062CA3"/>
    <w:rsid w:val="0008466D"/>
    <w:rsid w:val="0009546A"/>
    <w:rsid w:val="000B08EC"/>
    <w:rsid w:val="000B0E83"/>
    <w:rsid w:val="000B538B"/>
    <w:rsid w:val="000D0163"/>
    <w:rsid w:val="00101A8A"/>
    <w:rsid w:val="00101AE9"/>
    <w:rsid w:val="001225B3"/>
    <w:rsid w:val="00124A3C"/>
    <w:rsid w:val="00141840"/>
    <w:rsid w:val="0016026B"/>
    <w:rsid w:val="00167738"/>
    <w:rsid w:val="0017553E"/>
    <w:rsid w:val="0018443B"/>
    <w:rsid w:val="001A049C"/>
    <w:rsid w:val="001B6A78"/>
    <w:rsid w:val="001C20DD"/>
    <w:rsid w:val="001C4B26"/>
    <w:rsid w:val="001D0768"/>
    <w:rsid w:val="001E4020"/>
    <w:rsid w:val="001F4F63"/>
    <w:rsid w:val="0020432E"/>
    <w:rsid w:val="002070F5"/>
    <w:rsid w:val="00226BF6"/>
    <w:rsid w:val="00232127"/>
    <w:rsid w:val="002327D4"/>
    <w:rsid w:val="00272CB4"/>
    <w:rsid w:val="002D2055"/>
    <w:rsid w:val="002E26AA"/>
    <w:rsid w:val="00300F88"/>
    <w:rsid w:val="00307A95"/>
    <w:rsid w:val="00323B43"/>
    <w:rsid w:val="00327947"/>
    <w:rsid w:val="00336E5A"/>
    <w:rsid w:val="0036460C"/>
    <w:rsid w:val="00380B99"/>
    <w:rsid w:val="00382064"/>
    <w:rsid w:val="0038270D"/>
    <w:rsid w:val="003B2DF7"/>
    <w:rsid w:val="003D2715"/>
    <w:rsid w:val="003D37D8"/>
    <w:rsid w:val="003E45F3"/>
    <w:rsid w:val="003F3546"/>
    <w:rsid w:val="003F7CC8"/>
    <w:rsid w:val="00411C53"/>
    <w:rsid w:val="00414074"/>
    <w:rsid w:val="00421D40"/>
    <w:rsid w:val="00426133"/>
    <w:rsid w:val="00431337"/>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477AD"/>
    <w:rsid w:val="00792482"/>
    <w:rsid w:val="0079316D"/>
    <w:rsid w:val="007947E9"/>
    <w:rsid w:val="007A58F8"/>
    <w:rsid w:val="007C539F"/>
    <w:rsid w:val="007F18E6"/>
    <w:rsid w:val="007F226B"/>
    <w:rsid w:val="007F5CB2"/>
    <w:rsid w:val="00841379"/>
    <w:rsid w:val="0085068C"/>
    <w:rsid w:val="008545FA"/>
    <w:rsid w:val="008940B1"/>
    <w:rsid w:val="008B154E"/>
    <w:rsid w:val="008B7726"/>
    <w:rsid w:val="008F5952"/>
    <w:rsid w:val="008F6FC4"/>
    <w:rsid w:val="008F7663"/>
    <w:rsid w:val="00901E4A"/>
    <w:rsid w:val="00912F6B"/>
    <w:rsid w:val="00914B43"/>
    <w:rsid w:val="00917C9A"/>
    <w:rsid w:val="009330FF"/>
    <w:rsid w:val="00937A6C"/>
    <w:rsid w:val="00946BEB"/>
    <w:rsid w:val="00954E6B"/>
    <w:rsid w:val="009569A2"/>
    <w:rsid w:val="00973324"/>
    <w:rsid w:val="00985BBC"/>
    <w:rsid w:val="0099642C"/>
    <w:rsid w:val="009B4395"/>
    <w:rsid w:val="009B4528"/>
    <w:rsid w:val="009D140B"/>
    <w:rsid w:val="009E1102"/>
    <w:rsid w:val="009E4FC4"/>
    <w:rsid w:val="009E5541"/>
    <w:rsid w:val="00A02CA7"/>
    <w:rsid w:val="00A34B57"/>
    <w:rsid w:val="00A478D2"/>
    <w:rsid w:val="00A67624"/>
    <w:rsid w:val="00A719C8"/>
    <w:rsid w:val="00A754E0"/>
    <w:rsid w:val="00A76EAC"/>
    <w:rsid w:val="00AA278C"/>
    <w:rsid w:val="00AB3CFF"/>
    <w:rsid w:val="00AC067B"/>
    <w:rsid w:val="00AC2325"/>
    <w:rsid w:val="00AC3CE4"/>
    <w:rsid w:val="00AD713B"/>
    <w:rsid w:val="00AE6332"/>
    <w:rsid w:val="00AF0E8F"/>
    <w:rsid w:val="00B06748"/>
    <w:rsid w:val="00B07E73"/>
    <w:rsid w:val="00B10D4E"/>
    <w:rsid w:val="00B300AE"/>
    <w:rsid w:val="00B32830"/>
    <w:rsid w:val="00B33A83"/>
    <w:rsid w:val="00B47081"/>
    <w:rsid w:val="00B4709A"/>
    <w:rsid w:val="00B47424"/>
    <w:rsid w:val="00B531AF"/>
    <w:rsid w:val="00B54479"/>
    <w:rsid w:val="00B7298F"/>
    <w:rsid w:val="00B86CD7"/>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66526"/>
    <w:rsid w:val="00D9005C"/>
    <w:rsid w:val="00DA1746"/>
    <w:rsid w:val="00DA4334"/>
    <w:rsid w:val="00DB5FD8"/>
    <w:rsid w:val="00DE05FA"/>
    <w:rsid w:val="00DE421A"/>
    <w:rsid w:val="00DF12D7"/>
    <w:rsid w:val="00E011DE"/>
    <w:rsid w:val="00E14FB9"/>
    <w:rsid w:val="00E31BD3"/>
    <w:rsid w:val="00E34600"/>
    <w:rsid w:val="00E4251A"/>
    <w:rsid w:val="00E44CA1"/>
    <w:rsid w:val="00E52BFB"/>
    <w:rsid w:val="00E81B75"/>
    <w:rsid w:val="00EB187E"/>
    <w:rsid w:val="00EF7DDB"/>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6C312F"/>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BC5F08"/>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BB7694"/>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1B094E"/>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67A32"/>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73EA8"/>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7C22A9"/>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A00A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003FA8"/>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4818A4"/>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9178FB"/>
    <w:rsid w:val="3FEA0D08"/>
    <w:rsid w:val="3FF37BBC"/>
    <w:rsid w:val="3FF60A02"/>
    <w:rsid w:val="40185875"/>
    <w:rsid w:val="404228F2"/>
    <w:rsid w:val="405C39B3"/>
    <w:rsid w:val="40644F5E"/>
    <w:rsid w:val="40752CC7"/>
    <w:rsid w:val="40774DD8"/>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652C23"/>
    <w:rsid w:val="47700ADD"/>
    <w:rsid w:val="477E4B57"/>
    <w:rsid w:val="479C2541"/>
    <w:rsid w:val="480037BE"/>
    <w:rsid w:val="48362D3C"/>
    <w:rsid w:val="48716663"/>
    <w:rsid w:val="48A0369C"/>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834233"/>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4E0A6A"/>
    <w:rsid w:val="52586507"/>
    <w:rsid w:val="52635075"/>
    <w:rsid w:val="5288688A"/>
    <w:rsid w:val="52B9600D"/>
    <w:rsid w:val="52C33D66"/>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9304DB"/>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75D5D"/>
    <w:rsid w:val="5B5C08B4"/>
    <w:rsid w:val="5B647768"/>
    <w:rsid w:val="5B6854AA"/>
    <w:rsid w:val="5B765E19"/>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1335FB"/>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DD3507"/>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760AF5"/>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320E9"/>
    <w:rsid w:val="7CC85951"/>
    <w:rsid w:val="7CE02C9B"/>
    <w:rsid w:val="7D2F59D0"/>
    <w:rsid w:val="7D676E06"/>
    <w:rsid w:val="7D7004C3"/>
    <w:rsid w:val="7D871368"/>
    <w:rsid w:val="7D87580C"/>
    <w:rsid w:val="7D8E3EDB"/>
    <w:rsid w:val="7DAE4B47"/>
    <w:rsid w:val="7DCC1471"/>
    <w:rsid w:val="7DE44A0D"/>
    <w:rsid w:val="7DF32EA2"/>
    <w:rsid w:val="7DFB65C5"/>
    <w:rsid w:val="7E636A3A"/>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autoRedefine/>
    <w:unhideWhenUsed/>
    <w:qFormat/>
    <w:uiPriority w:val="0"/>
  </w:style>
  <w:style w:type="paragraph" w:styleId="8">
    <w:name w:val="Body Text"/>
    <w:basedOn w:val="1"/>
    <w:link w:val="51"/>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autoRedefine/>
    <w:semiHidden/>
    <w:unhideWhenUsed/>
    <w:qFormat/>
    <w:uiPriority w:val="99"/>
    <w:pPr>
      <w:spacing w:after="0"/>
    </w:pPr>
    <w:rPr>
      <w:sz w:val="18"/>
      <w:szCs w:val="18"/>
    </w:rPr>
  </w:style>
  <w:style w:type="paragraph" w:styleId="16">
    <w:name w:val="footer"/>
    <w:basedOn w:val="1"/>
    <w:link w:val="31"/>
    <w:autoRedefine/>
    <w:unhideWhenUsed/>
    <w:qFormat/>
    <w:uiPriority w:val="99"/>
    <w:pPr>
      <w:tabs>
        <w:tab w:val="center" w:pos="4153"/>
        <w:tab w:val="right" w:pos="8306"/>
      </w:tabs>
    </w:pPr>
    <w:rPr>
      <w:sz w:val="18"/>
      <w:szCs w:val="18"/>
    </w:rPr>
  </w:style>
  <w:style w:type="paragraph" w:styleId="17">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6"/>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basedOn w:val="25"/>
    <w:autoRedefine/>
    <w:qFormat/>
    <w:uiPriority w:val="0"/>
  </w:style>
  <w:style w:type="character" w:styleId="28">
    <w:name w:val="Hyperlink"/>
    <w:autoRedefine/>
    <w:qFormat/>
    <w:uiPriority w:val="99"/>
    <w:rPr>
      <w:color w:val="0000FF"/>
      <w:u w:val="single"/>
    </w:rPr>
  </w:style>
  <w:style w:type="character" w:styleId="29">
    <w:name w:val="annotation reference"/>
    <w:basedOn w:val="25"/>
    <w:autoRedefine/>
    <w:semiHidden/>
    <w:unhideWhenUsed/>
    <w:qFormat/>
    <w:uiPriority w:val="99"/>
    <w:rPr>
      <w:sz w:val="21"/>
      <w:szCs w:val="21"/>
    </w:rPr>
  </w:style>
  <w:style w:type="character" w:customStyle="1" w:styleId="30">
    <w:name w:val="页眉 字符"/>
    <w:basedOn w:val="25"/>
    <w:link w:val="17"/>
    <w:autoRedefine/>
    <w:qFormat/>
    <w:uiPriority w:val="99"/>
    <w:rPr>
      <w:rFonts w:ascii="Tahoma" w:hAnsi="Tahoma"/>
      <w:sz w:val="18"/>
      <w:szCs w:val="18"/>
    </w:rPr>
  </w:style>
  <w:style w:type="character" w:customStyle="1" w:styleId="31">
    <w:name w:val="页脚 字符"/>
    <w:basedOn w:val="25"/>
    <w:link w:val="16"/>
    <w:autoRedefine/>
    <w:qFormat/>
    <w:uiPriority w:val="99"/>
    <w:rPr>
      <w:rFonts w:ascii="Tahoma" w:hAnsi="Tahoma"/>
      <w:sz w:val="18"/>
      <w:szCs w:val="18"/>
    </w:rPr>
  </w:style>
  <w:style w:type="character" w:customStyle="1" w:styleId="32">
    <w:name w:val="标题 1 字符"/>
    <w:basedOn w:val="25"/>
    <w:link w:val="2"/>
    <w:autoRedefine/>
    <w:qFormat/>
    <w:uiPriority w:val="9"/>
    <w:rPr>
      <w:rFonts w:ascii="楷体_GB2312" w:hAnsi="Times New Roman" w:eastAsia="楷体_GB2312" w:cs="Times New Roman"/>
      <w:kern w:val="2"/>
      <w:sz w:val="28"/>
      <w:szCs w:val="2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6">
    <w:name w:val="标题 4 字符"/>
    <w:basedOn w:val="25"/>
    <w:link w:val="6"/>
    <w:autoRedefine/>
    <w:qFormat/>
    <w:uiPriority w:val="9"/>
    <w:rPr>
      <w:rFonts w:ascii="Arial" w:hAnsi="Arial" w:eastAsia="黑体" w:cs="Arial"/>
      <w:b/>
      <w:bCs/>
      <w:kern w:val="2"/>
      <w:sz w:val="28"/>
      <w:szCs w:val="28"/>
    </w:rPr>
  </w:style>
  <w:style w:type="character" w:customStyle="1" w:styleId="37">
    <w:name w:val="标题 Char1"/>
    <w:basedOn w:val="25"/>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字符"/>
    <w:link w:val="5"/>
    <w:autoRedefine/>
    <w:qFormat/>
    <w:uiPriority w:val="0"/>
    <w:rPr>
      <w:kern w:val="2"/>
      <w:sz w:val="21"/>
      <w:szCs w:val="21"/>
    </w:rPr>
  </w:style>
  <w:style w:type="character" w:customStyle="1" w:styleId="42">
    <w:name w:val="标题 字符"/>
    <w:basedOn w:val="25"/>
    <w:link w:val="20"/>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字符"/>
    <w:basedOn w:val="25"/>
    <w:link w:val="14"/>
    <w:autoRedefine/>
    <w:semiHidden/>
    <w:qFormat/>
    <w:uiPriority w:val="99"/>
    <w:rPr>
      <w:rFonts w:ascii="宋体" w:hAnsi="Courier New" w:eastAsia="宋体" w:cs="Courier New"/>
      <w:sz w:val="21"/>
      <w:szCs w:val="21"/>
    </w:rPr>
  </w:style>
  <w:style w:type="character" w:customStyle="1" w:styleId="46">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47">
    <w:name w:val="正文文本 Char"/>
    <w:autoRedefine/>
    <w:qFormat/>
    <w:uiPriority w:val="0"/>
    <w:rPr>
      <w:rFonts w:ascii="楷体_GB2312" w:hAnsi="Arial" w:eastAsia="楷体_GB2312"/>
      <w:kern w:val="2"/>
      <w:sz w:val="28"/>
      <w:szCs w:val="28"/>
    </w:rPr>
  </w:style>
  <w:style w:type="character" w:customStyle="1" w:styleId="48">
    <w:name w:val="列出段落 Char"/>
    <w:link w:val="49"/>
    <w:autoRedefine/>
    <w:qFormat/>
    <w:locked/>
    <w:uiPriority w:val="34"/>
    <w:rPr>
      <w:rFonts w:ascii="Calibri" w:hAnsi="Calibri"/>
      <w:sz w:val="24"/>
      <w:szCs w:val="24"/>
      <w:lang w:eastAsia="en-US" w:bidi="en-US"/>
    </w:rPr>
  </w:style>
  <w:style w:type="paragraph" w:customStyle="1" w:styleId="49">
    <w:name w:val="列出段落11"/>
    <w:basedOn w:val="1"/>
    <w:link w:val="48"/>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字符"/>
    <w:basedOn w:val="25"/>
    <w:link w:val="8"/>
    <w:autoRedefine/>
    <w:semiHidden/>
    <w:qFormat/>
    <w:uiPriority w:val="99"/>
    <w:rPr>
      <w:rFonts w:ascii="Tahoma" w:hAnsi="Tahoma"/>
    </w:rPr>
  </w:style>
  <w:style w:type="character" w:customStyle="1" w:styleId="52">
    <w:name w:val="批注框文本 字符"/>
    <w:basedOn w:val="25"/>
    <w:link w:val="15"/>
    <w:autoRedefine/>
    <w:semiHidden/>
    <w:qFormat/>
    <w:uiPriority w:val="99"/>
    <w:rPr>
      <w:rFonts w:ascii="Tahoma" w:hAnsi="Tahoma"/>
      <w:sz w:val="18"/>
      <w:szCs w:val="18"/>
    </w:rPr>
  </w:style>
  <w:style w:type="character" w:customStyle="1" w:styleId="53">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字符"/>
    <w:basedOn w:val="25"/>
    <w:link w:val="7"/>
    <w:autoRedefine/>
    <w:qFormat/>
    <w:uiPriority w:val="0"/>
    <w:rPr>
      <w:rFonts w:ascii="Tahoma" w:hAnsi="Tahoma" w:eastAsia="微软雅黑" w:cstheme="minorBidi"/>
      <w:sz w:val="22"/>
      <w:szCs w:val="22"/>
    </w:rPr>
  </w:style>
  <w:style w:type="character" w:customStyle="1" w:styleId="56">
    <w:name w:val="批注主题 字符"/>
    <w:basedOn w:val="55"/>
    <w:link w:val="21"/>
    <w:autoRedefine/>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17303</Words>
  <Characters>18054</Characters>
  <Lines>268</Lines>
  <Paragraphs>75</Paragraphs>
  <TotalTime>21</TotalTime>
  <ScaleCrop>false</ScaleCrop>
  <LinksUpToDate>false</LinksUpToDate>
  <CharactersWithSpaces>18249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2025-11-21T01:06:27Z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3DE1B881C48440C19534BDA1C529EF16_13</vt:lpwstr>
  </property>
  <property fmtid="{D5CDD505-2E9C-101B-9397-08002B2CF9AE}" pid="4" name="KSOTemplateDocerSaveRecord">
    <vt:lpwstr>eyJoZGlkIjoiNDA2ZTNhZmZhOGM3N2I4M2NlMTM1ODI4MGYxNjNiOWQiLCJ1c2VySWQiOiI2NDMzMDE5MTYifQ==</vt:lpwstr>
  </property>
</Properties>
</file>