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F3BF">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1B96697">
      <w:pPr>
        <w:pStyle w:val="34"/>
        <w:ind w:firstLine="0"/>
        <w:jc w:val="center"/>
        <w:rPr>
          <w:rFonts w:eastAsia="黑体"/>
          <w:b/>
          <w:bCs/>
          <w:color w:val="auto"/>
          <w:sz w:val="84"/>
        </w:rPr>
      </w:pPr>
    </w:p>
    <w:p w14:paraId="52D726ED">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7E76011">
      <w:pPr>
        <w:pStyle w:val="34"/>
        <w:ind w:firstLine="2401" w:firstLineChars="750"/>
        <w:rPr>
          <w:rFonts w:ascii="微软雅黑" w:hAnsi="微软雅黑" w:eastAsia="微软雅黑" w:cs="微软雅黑"/>
          <w:b/>
          <w:bCs/>
          <w:color w:val="auto"/>
          <w:sz w:val="32"/>
        </w:rPr>
      </w:pPr>
    </w:p>
    <w:p w14:paraId="31C1620B">
      <w:pPr>
        <w:pStyle w:val="34"/>
        <w:rPr>
          <w:rFonts w:ascii="微软雅黑" w:hAnsi="微软雅黑" w:eastAsia="微软雅黑" w:cs="微软雅黑"/>
          <w:b/>
          <w:bCs/>
          <w:color w:val="auto"/>
          <w:sz w:val="32"/>
        </w:rPr>
      </w:pPr>
    </w:p>
    <w:p w14:paraId="26745130">
      <w:pPr>
        <w:pStyle w:val="34"/>
        <w:snapToGrid w:val="0"/>
        <w:spacing w:before="0" w:after="0" w:line="480" w:lineRule="auto"/>
        <w:ind w:left="2900" w:leftChars="300" w:hanging="2240" w:hangingChars="700"/>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1482725</wp:posOffset>
                </wp:positionH>
                <wp:positionV relativeFrom="paragraph">
                  <wp:posOffset>1012825</wp:posOffset>
                </wp:positionV>
                <wp:extent cx="3460750" cy="635"/>
                <wp:effectExtent l="0" t="0" r="0" b="0"/>
                <wp:wrapNone/>
                <wp:docPr id="11" name="直线 1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116.75pt;margin-top:79.75pt;height:0.05pt;width:272.5pt;z-index:251668480;mso-width-relative:page;mso-height-relative:page;" filled="f" stroked="t" coordsize="21600,21600" o:gfxdata="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wZV2QAAAAsBAAAPAAAAAAAAAAEAIAAAACIAAABkcnMvZG93bnJldi54bWxQSwECFAAUAAAACACH&#10;TuJAxYh3YOoBAADgAwAADgAAAAAAAAABACAAAAAoAQAAZHJzL2Uyb0RvYy54bWxQSwUGAAAAAAYA&#10;BgBZAQAAhAUAAAAA&#10;">
                <v:fill on="f" focussize="0,0"/>
                <v:stroke weight="1pt"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339090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6.7pt;height:0.05pt;width:272.5pt;z-index:251660288;mso-width-relative:page;mso-height-relative:page;" filled="f" stroked="t" coordsize="21600,21600" o:gfxdata="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Lv&#10;ZgLZAAAACQEAAA8AAAAAAAAAAQAgAAAAIgAAAGRycy9kb3ducmV2LnhtbFBLAQIUABQAAAAIAIdO&#10;4kCyoOIB6QEAAN4DAAAOAAAAAAAAAAEAIAAAACgBAABkcnMvZTJvRG9jLnhtbFBLBQYAAAAABgAG&#10;AFkBAACD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华文中宋" w:hAnsi="华文中宋" w:eastAsia="华文中宋"/>
          <w:b/>
          <w:bCs/>
          <w:color w:val="auto"/>
          <w:sz w:val="36"/>
        </w:rPr>
        <w:t>南京医科大学常州校区多功能一体机</w:t>
      </w:r>
      <w:r>
        <w:rPr>
          <w:rFonts w:hint="eastAsia" w:ascii="华文中宋" w:hAnsi="华文中宋" w:eastAsia="华文中宋"/>
          <w:b/>
          <w:bCs/>
          <w:color w:val="auto"/>
          <w:sz w:val="36"/>
          <w:u w:val="none"/>
        </w:rPr>
        <w:t>框架协议入围供应商遴选</w:t>
      </w:r>
      <w:r>
        <w:rPr>
          <w:rFonts w:hint="eastAsia" w:ascii="华文中宋" w:hAnsi="华文中宋" w:eastAsia="华文中宋"/>
          <w:b/>
          <w:bCs/>
          <w:color w:val="auto"/>
          <w:sz w:val="36"/>
          <w:u w:val="none"/>
          <w:lang w:val="en-US" w:eastAsia="zh-CN"/>
        </w:rPr>
        <w:t>采购项目</w:t>
      </w:r>
      <w:r>
        <w:rPr>
          <w:rFonts w:hint="eastAsia" w:ascii="微软雅黑" w:hAnsi="微软雅黑" w:eastAsia="微软雅黑" w:cs="微软雅黑"/>
          <w:b/>
          <w:bCs/>
          <w:color w:val="auto"/>
          <w:sz w:val="32"/>
          <w:u w:val="thick"/>
        </w:rPr>
        <w:t xml:space="preserve">                                          </w:t>
      </w:r>
    </w:p>
    <w:p w14:paraId="27782609">
      <w:pPr>
        <w:pStyle w:val="34"/>
        <w:rPr>
          <w:rFonts w:ascii="微软雅黑" w:hAnsi="微软雅黑" w:eastAsia="微软雅黑" w:cs="微软雅黑"/>
          <w:b/>
          <w:bCs/>
          <w:color w:val="auto"/>
          <w:sz w:val="13"/>
          <w:szCs w:val="10"/>
          <w:u w:val="thick"/>
        </w:rPr>
      </w:pPr>
    </w:p>
    <w:p w14:paraId="28493CF2">
      <w:pPr>
        <w:pStyle w:val="34"/>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326390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5.7pt;height:0.05pt;width:272.5pt;z-index:251661312;mso-width-relative:page;mso-height-relative:page;" filled="f" stroked="t" coordsize="21600,21600" o:gfxdata="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kV&#10;eNgAAAAJAQAADwAAAAAAAAABACAAAAAiAAAAZHJzL2Rvd25yZXYueG1sUEsBAhQAFAAAAAgAh07i&#10;QH10Jfv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NJMUZB30120250325</w:t>
      </w:r>
    </w:p>
    <w:p w14:paraId="2EE13D86">
      <w:pPr>
        <w:pStyle w:val="34"/>
        <w:spacing w:before="0" w:after="0"/>
        <w:ind w:firstLine="0"/>
        <w:rPr>
          <w:rFonts w:ascii="宋体" w:hAnsi="宋体"/>
          <w:color w:val="auto"/>
        </w:rPr>
      </w:pPr>
    </w:p>
    <w:p w14:paraId="0C8A804B">
      <w:pPr>
        <w:pStyle w:val="34"/>
        <w:spacing w:before="0" w:after="0"/>
        <w:ind w:firstLine="0"/>
        <w:rPr>
          <w:rFonts w:ascii="宋体" w:hAnsi="宋体"/>
          <w:color w:val="auto"/>
        </w:rPr>
      </w:pPr>
    </w:p>
    <w:p w14:paraId="1D9554E4">
      <w:pPr>
        <w:pStyle w:val="34"/>
        <w:spacing w:before="0" w:after="0"/>
        <w:ind w:firstLine="0"/>
        <w:rPr>
          <w:rFonts w:ascii="宋体" w:hAnsi="宋体"/>
          <w:color w:val="auto"/>
        </w:rPr>
      </w:pPr>
    </w:p>
    <w:p w14:paraId="608277F8">
      <w:pPr>
        <w:pStyle w:val="34"/>
        <w:spacing w:before="0" w:after="0"/>
        <w:ind w:firstLine="0"/>
        <w:rPr>
          <w:rFonts w:ascii="宋体" w:hAnsi="宋体"/>
          <w:color w:val="auto"/>
        </w:rPr>
      </w:pPr>
    </w:p>
    <w:p w14:paraId="175AF865">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五</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十</w:t>
      </w:r>
      <w:r>
        <w:rPr>
          <w:rFonts w:hint="eastAsia" w:ascii="微软雅黑" w:hAnsi="微软雅黑" w:eastAsia="微软雅黑" w:cs="微软雅黑"/>
          <w:b/>
          <w:bCs/>
          <w:color w:val="auto"/>
          <w:sz w:val="32"/>
        </w:rPr>
        <w:t>月</w:t>
      </w:r>
    </w:p>
    <w:p w14:paraId="01DFB947">
      <w:pPr>
        <w:pStyle w:val="34"/>
        <w:ind w:firstLine="0"/>
        <w:jc w:val="center"/>
        <w:rPr>
          <w:rFonts w:ascii="微软雅黑" w:hAnsi="微软雅黑" w:eastAsia="微软雅黑" w:cs="微软雅黑"/>
          <w:b/>
          <w:bCs/>
          <w:color w:val="auto"/>
          <w:sz w:val="32"/>
        </w:rPr>
      </w:pPr>
    </w:p>
    <w:p w14:paraId="4A05FE73">
      <w:pPr>
        <w:pStyle w:val="34"/>
        <w:ind w:firstLine="0"/>
        <w:jc w:val="center"/>
        <w:rPr>
          <w:rFonts w:eastAsia="黑体"/>
          <w:b/>
          <w:bCs/>
          <w:color w:val="auto"/>
          <w:sz w:val="32"/>
        </w:rPr>
      </w:pPr>
      <w:bookmarkStart w:id="0" w:name="_Toc517190880"/>
      <w:bookmarkStart w:id="1" w:name="_Toc120614210"/>
      <w:bookmarkStart w:id="2" w:name="_Toc16938516"/>
      <w:bookmarkStart w:id="3" w:name="_Toc20823272"/>
      <w:bookmarkStart w:id="4" w:name="_Toc513029200"/>
      <w:bookmarkStart w:id="5" w:name="_Toc523127445"/>
      <w:bookmarkStart w:id="6" w:name="_Toc479757206"/>
      <w:r>
        <w:rPr>
          <w:rFonts w:hint="eastAsia" w:ascii="黑体" w:hAnsi="黑体" w:eastAsia="黑体"/>
          <w:b/>
          <w:color w:val="auto"/>
          <w:sz w:val="44"/>
          <w:szCs w:val="28"/>
        </w:rPr>
        <w:t>目  录</w:t>
      </w:r>
      <w:bookmarkEnd w:id="0"/>
      <w:bookmarkStart w:id="83" w:name="_GoBack"/>
      <w:bookmarkEnd w:id="83"/>
    </w:p>
    <w:p w14:paraId="65B6B6F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EFAF36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5856F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E57137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99799F5">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0E5F7A5">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1DC5F6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2F68CCD8">
      <w:pPr>
        <w:spacing w:line="480" w:lineRule="auto"/>
        <w:rPr>
          <w:rFonts w:ascii="仿宋_GB2312" w:hAnsi="Arial" w:eastAsia="仿宋_GB2312"/>
          <w:b/>
          <w:color w:val="auto"/>
          <w:sz w:val="28"/>
        </w:rPr>
      </w:pPr>
    </w:p>
    <w:p w14:paraId="38BFCC52">
      <w:pPr>
        <w:rPr>
          <w:color w:val="auto"/>
        </w:rPr>
      </w:pPr>
    </w:p>
    <w:p w14:paraId="20E11419">
      <w:pPr>
        <w:rPr>
          <w:color w:val="auto"/>
        </w:rPr>
      </w:pPr>
    </w:p>
    <w:p w14:paraId="1C8C7F7A">
      <w:pPr>
        <w:rPr>
          <w:color w:val="auto"/>
        </w:rPr>
      </w:pPr>
    </w:p>
    <w:p w14:paraId="7C084C97">
      <w:pPr>
        <w:rPr>
          <w:color w:val="auto"/>
        </w:rPr>
      </w:pPr>
    </w:p>
    <w:p w14:paraId="3C4B84E9">
      <w:pPr>
        <w:rPr>
          <w:color w:val="auto"/>
        </w:rPr>
      </w:pPr>
    </w:p>
    <w:p w14:paraId="35A32B18">
      <w:pPr>
        <w:rPr>
          <w:color w:val="auto"/>
        </w:rPr>
      </w:pPr>
    </w:p>
    <w:p w14:paraId="1D7F4AD8">
      <w:pPr>
        <w:rPr>
          <w:color w:val="auto"/>
        </w:rPr>
      </w:pPr>
    </w:p>
    <w:p w14:paraId="675A0C03">
      <w:pPr>
        <w:rPr>
          <w:color w:val="auto"/>
        </w:rPr>
      </w:pPr>
    </w:p>
    <w:p w14:paraId="7C1AA13C">
      <w:pPr>
        <w:rPr>
          <w:color w:val="auto"/>
        </w:rPr>
      </w:pPr>
    </w:p>
    <w:p w14:paraId="195E5A08">
      <w:pPr>
        <w:rPr>
          <w:color w:val="auto"/>
        </w:rPr>
      </w:pPr>
    </w:p>
    <w:p w14:paraId="1DFF57AB">
      <w:pPr>
        <w:rPr>
          <w:color w:val="auto"/>
        </w:rPr>
      </w:pPr>
    </w:p>
    <w:p w14:paraId="6CB7B18D">
      <w:pPr>
        <w:rPr>
          <w:color w:val="auto"/>
        </w:rPr>
      </w:pPr>
    </w:p>
    <w:p w14:paraId="188F15F0">
      <w:pPr>
        <w:rPr>
          <w:color w:val="auto"/>
        </w:rPr>
      </w:pPr>
    </w:p>
    <w:p w14:paraId="43514916">
      <w:pPr>
        <w:rPr>
          <w:color w:val="auto"/>
        </w:rPr>
      </w:pPr>
    </w:p>
    <w:p w14:paraId="0988A939">
      <w:pPr>
        <w:rPr>
          <w:color w:val="auto"/>
        </w:rPr>
      </w:pPr>
    </w:p>
    <w:p w14:paraId="1DE113B7">
      <w:pPr>
        <w:rPr>
          <w:color w:val="auto"/>
        </w:rPr>
      </w:pPr>
    </w:p>
    <w:bookmarkEnd w:id="1"/>
    <w:p w14:paraId="73446513">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0EA7DB95">
      <w:pPr>
        <w:rPr>
          <w:color w:val="auto"/>
        </w:rPr>
      </w:pPr>
    </w:p>
    <w:bookmarkEnd w:id="2"/>
    <w:bookmarkEnd w:id="3"/>
    <w:bookmarkEnd w:id="4"/>
    <w:bookmarkEnd w:id="5"/>
    <w:bookmarkEnd w:id="6"/>
    <w:p w14:paraId="5EF2C3F9">
      <w:pPr>
        <w:spacing w:before="120" w:beforeLines="50" w:after="120" w:afterLines="50" w:line="360" w:lineRule="auto"/>
        <w:ind w:firstLine="480" w:firstLineChars="200"/>
        <w:rPr>
          <w:rFonts w:ascii="宋体" w:hAnsi="宋体" w:eastAsia="宋体" w:cs="宋体"/>
          <w:color w:val="auto"/>
          <w:sz w:val="24"/>
          <w:szCs w:val="24"/>
        </w:rPr>
      </w:pPr>
      <w:bookmarkStart w:id="8" w:name="_Toc120614221"/>
      <w:bookmarkStart w:id="9" w:name="OLE_LINK2"/>
      <w:bookmarkStart w:id="10" w:name="_Toc16938558"/>
      <w:bookmarkStart w:id="11" w:name="_Toc513029242"/>
      <w:bookmarkStart w:id="12" w:name="_Toc20823314"/>
      <w:bookmarkStart w:id="13" w:name="_Toc120614211"/>
      <w:bookmarkStart w:id="14" w:name="OLE_LINK1"/>
      <w:bookmarkStart w:id="15" w:name="_Toc479757207"/>
      <w:bookmarkStart w:id="16"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bidi="ar-SA"/>
        </w:rPr>
        <w:t>多功能一体机框架协议入围供应商遴选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5D9E55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58B10F9F">
      <w:pPr>
        <w:spacing w:before="120" w:beforeLines="50" w:after="120" w:afterLines="5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1.1项目名称：南京医科大学常州校区多功能一体机框架协议入围供应商遴选</w:t>
      </w:r>
      <w:r>
        <w:rPr>
          <w:rFonts w:hint="eastAsia" w:ascii="宋体" w:hAnsi="宋体" w:eastAsia="宋体" w:cs="宋体"/>
          <w:color w:val="auto"/>
          <w:sz w:val="24"/>
          <w:szCs w:val="24"/>
          <w:lang w:val="en-US" w:eastAsia="zh-CN"/>
        </w:rPr>
        <w:t>采购项目</w:t>
      </w:r>
    </w:p>
    <w:p w14:paraId="3859A15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1.2项目编号：NJMUZB30120250325</w:t>
      </w:r>
    </w:p>
    <w:p w14:paraId="109E80A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 </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150000</w:t>
      </w:r>
      <w:r>
        <w:rPr>
          <w:rFonts w:hint="eastAsia" w:ascii="宋体" w:hAnsi="宋体" w:eastAsia="宋体" w:cs="宋体"/>
          <w:color w:val="auto"/>
          <w:sz w:val="24"/>
          <w:szCs w:val="24"/>
        </w:rPr>
        <w:t xml:space="preserve">）  </w:t>
      </w:r>
    </w:p>
    <w:p w14:paraId="6A0BA851">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 xml:space="preserve">万元，投标报价超过最高限价的为无效投标。                                             </w:t>
      </w:r>
    </w:p>
    <w:p w14:paraId="7FA6146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28E0F373">
      <w:pPr>
        <w:spacing w:before="120" w:beforeLines="50" w:after="120" w:afterLines="50" w:line="360" w:lineRule="auto"/>
        <w:ind w:firstLine="480" w:firstLineChars="200"/>
        <w:rPr>
          <w:rFonts w:hint="eastAsia" w:ascii="宋体" w:hAnsi="宋体" w:eastAsia="宋体" w:cs="宋体"/>
          <w:b w:val="0"/>
          <w:color w:val="auto"/>
          <w:sz w:val="24"/>
          <w:szCs w:val="24"/>
          <w:lang w:eastAsia="zh-CN"/>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采购需求：南京医科大学常州校区为满足综合行政办公、同步兼顾二级学院“双肩挑”人员教学、科研等日常办公需求，对采购的多功能一体机框架协议入围供应商进行遴选。详见采购文件“第</w:t>
      </w:r>
      <w:r>
        <w:rPr>
          <w:rFonts w:hint="eastAsia" w:ascii="宋体" w:hAnsi="宋体" w:eastAsia="宋体" w:cs="宋体"/>
          <w:b w:val="0"/>
          <w:color w:val="auto"/>
          <w:sz w:val="24"/>
          <w:szCs w:val="24"/>
          <w:lang w:val="en-US" w:eastAsia="zh-CN"/>
        </w:rPr>
        <w:t>三</w:t>
      </w:r>
      <w:r>
        <w:rPr>
          <w:rFonts w:hint="eastAsia" w:ascii="宋体" w:hAnsi="宋体" w:eastAsia="宋体" w:cs="宋体"/>
          <w:b w:val="0"/>
          <w:color w:val="auto"/>
          <w:sz w:val="24"/>
          <w:szCs w:val="24"/>
        </w:rPr>
        <w:t xml:space="preserve">章 </w:t>
      </w:r>
      <w:r>
        <w:rPr>
          <w:rFonts w:hint="eastAsia" w:ascii="宋体" w:hAnsi="宋体" w:eastAsia="宋体" w:cs="宋体"/>
          <w:b w:val="0"/>
          <w:color w:val="auto"/>
          <w:sz w:val="24"/>
          <w:szCs w:val="24"/>
          <w:lang w:val="en-US" w:eastAsia="zh-CN"/>
        </w:rPr>
        <w:t>采购</w:t>
      </w:r>
      <w:r>
        <w:rPr>
          <w:rFonts w:hint="eastAsia" w:ascii="宋体" w:hAnsi="宋体" w:eastAsia="宋体" w:cs="宋体"/>
          <w:b w:val="0"/>
          <w:color w:val="auto"/>
          <w:sz w:val="24"/>
          <w:szCs w:val="24"/>
        </w:rPr>
        <w:t>需求”</w:t>
      </w:r>
      <w:r>
        <w:rPr>
          <w:rFonts w:hint="eastAsia" w:ascii="宋体" w:hAnsi="宋体" w:eastAsia="宋体" w:cs="宋体"/>
          <w:b w:val="0"/>
          <w:color w:val="auto"/>
          <w:sz w:val="24"/>
          <w:szCs w:val="24"/>
          <w:lang w:eastAsia="zh-CN"/>
        </w:rPr>
        <w:t>。</w:t>
      </w:r>
    </w:p>
    <w:p w14:paraId="73F7FF6E">
      <w:pPr>
        <w:spacing w:before="120" w:beforeLines="50" w:after="120" w:afterLines="50" w:line="360" w:lineRule="auto"/>
        <w:ind w:firstLine="480" w:firstLineChars="200"/>
        <w:rPr>
          <w:rFonts w:hint="eastAsia" w:ascii="宋体" w:hAnsi="宋体" w:eastAsia="宋体" w:cs="宋体"/>
          <w:b w:val="0"/>
          <w:color w:val="auto"/>
          <w:sz w:val="24"/>
          <w:szCs w:val="24"/>
          <w:lang w:eastAsia="zh-CN"/>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合同履行期限：中标通知书发出之日起，半个月内完成备货，按照采购人要求的时间运抵现场，并安装、调试结束，验收合格，交付采购人使用，详见采购文件“第</w:t>
      </w:r>
      <w:r>
        <w:rPr>
          <w:rFonts w:hint="eastAsia" w:ascii="宋体" w:hAnsi="宋体" w:eastAsia="宋体" w:cs="宋体"/>
          <w:b w:val="0"/>
          <w:color w:val="auto"/>
          <w:sz w:val="24"/>
          <w:szCs w:val="24"/>
          <w:lang w:val="en-US" w:eastAsia="zh-CN"/>
        </w:rPr>
        <w:t>三</w:t>
      </w:r>
      <w:r>
        <w:rPr>
          <w:rFonts w:hint="eastAsia" w:ascii="宋体" w:hAnsi="宋体" w:eastAsia="宋体" w:cs="宋体"/>
          <w:b w:val="0"/>
          <w:color w:val="auto"/>
          <w:sz w:val="24"/>
          <w:szCs w:val="24"/>
        </w:rPr>
        <w:t xml:space="preserve">章 </w:t>
      </w:r>
      <w:r>
        <w:rPr>
          <w:rFonts w:hint="eastAsia" w:ascii="宋体" w:hAnsi="宋体" w:eastAsia="宋体" w:cs="宋体"/>
          <w:b w:val="0"/>
          <w:color w:val="auto"/>
          <w:sz w:val="24"/>
          <w:szCs w:val="24"/>
          <w:lang w:val="en-US" w:eastAsia="zh-CN"/>
        </w:rPr>
        <w:t>采购</w:t>
      </w:r>
      <w:r>
        <w:rPr>
          <w:rFonts w:hint="eastAsia" w:ascii="宋体" w:hAnsi="宋体" w:eastAsia="宋体" w:cs="宋体"/>
          <w:b w:val="0"/>
          <w:color w:val="auto"/>
          <w:sz w:val="24"/>
          <w:szCs w:val="24"/>
        </w:rPr>
        <w:t>需求”</w:t>
      </w:r>
      <w:r>
        <w:rPr>
          <w:rFonts w:hint="eastAsia" w:ascii="宋体" w:hAnsi="宋体" w:eastAsia="宋体" w:cs="宋体"/>
          <w:b w:val="0"/>
          <w:color w:val="auto"/>
          <w:sz w:val="24"/>
          <w:szCs w:val="24"/>
          <w:lang w:eastAsia="zh-CN"/>
        </w:rPr>
        <w:t>。</w:t>
      </w:r>
    </w:p>
    <w:p w14:paraId="2B8FBAC5">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本项目不接受进口产品投标</w:t>
      </w:r>
    </w:p>
    <w:p w14:paraId="49AE1958">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38245DD">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1BD573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4B619A1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E3D713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C27C45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968B7B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30EE9AD">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587D213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20D60BD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w:t>
      </w:r>
      <w:r>
        <w:rPr>
          <w:rFonts w:hint="eastAsia" w:ascii="宋体" w:hAnsi="宋体" w:eastAsia="宋体" w:cs="宋体"/>
          <w:b/>
          <w:bCs/>
          <w:color w:val="auto"/>
          <w:sz w:val="24"/>
          <w:szCs w:val="24"/>
        </w:rPr>
        <w:t>供应商需为最新公布的有效的“江苏省党政机关、事业单位及团体组织多功能一体机框架协议采购入围供应商（提供网站上架货品及供应商信息截图证明材料并加盖投标人公章），并提供品牌方针对本项目的授权函</w:t>
      </w:r>
      <w:r>
        <w:rPr>
          <w:rFonts w:hint="eastAsia" w:ascii="宋体" w:hAnsi="宋体" w:eastAsia="宋体" w:cs="宋体"/>
          <w:b/>
          <w:bCs/>
          <w:color w:val="auto"/>
          <w:sz w:val="24"/>
          <w:szCs w:val="24"/>
          <w:lang w:eastAsia="zh-CN"/>
        </w:rPr>
        <w:t>。</w:t>
      </w:r>
    </w:p>
    <w:p w14:paraId="45466D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0E1EF2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2DB350A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9D03BD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7D728B2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157343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F3AC5B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A3EFBA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118D5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E451B0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044AE0CC">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上午9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1084197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76C1BA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30487E2">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49A912F0">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B08E2FC">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CD6EEF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0FECF9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3F99833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0311F33">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00A53EEE">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陈老师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025-86868571</w:t>
      </w:r>
    </w:p>
    <w:p w14:paraId="77E2EE4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南京市江宁区龙眠大道101号</w:t>
      </w:r>
      <w:r>
        <w:rPr>
          <w:rFonts w:hint="eastAsia" w:ascii="宋体" w:hAnsi="宋体" w:eastAsia="宋体" w:cs="宋体"/>
          <w:color w:val="auto"/>
          <w:sz w:val="24"/>
          <w:szCs w:val="24"/>
        </w:rPr>
        <w:t xml:space="preserve">                  </w:t>
      </w:r>
    </w:p>
    <w:p w14:paraId="4B327F0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ADACC1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92429E6">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综合服务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386478A9">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w:t>
      </w:r>
      <w:r>
        <w:rPr>
          <w:rFonts w:hint="eastAsia" w:ascii="仿宋" w:hAnsi="仿宋" w:eastAsia="仿宋" w:cs="仿宋"/>
          <w:b/>
          <w:bCs/>
          <w:color w:val="auto"/>
          <w:sz w:val="24"/>
          <w:lang w:val="en-US" w:eastAsia="zh-CN"/>
        </w:rPr>
        <w:t>综合服务</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进入“访客系统”</w:t>
      </w:r>
      <w:r>
        <w:rPr>
          <w:rFonts w:hint="eastAsia" w:ascii="仿宋" w:hAnsi="仿宋" w:eastAsia="仿宋" w:cs="仿宋"/>
          <w:b/>
          <w:bCs/>
          <w:color w:val="auto"/>
          <w:sz w:val="24"/>
        </w:rPr>
        <w:t xml:space="preserve"> 。</w:t>
      </w:r>
    </w:p>
    <w:p w14:paraId="391E8811">
      <w:pPr>
        <w:spacing w:before="180" w:line="240" w:lineRule="atLeast"/>
        <w:jc w:val="center"/>
        <w:textAlignment w:val="center"/>
        <w:rPr>
          <w:rFonts w:hint="eastAsia" w:eastAsia="微软雅黑"/>
          <w:color w:val="auto"/>
          <w:lang w:eastAsia="zh-CN"/>
        </w:rPr>
      </w:pPr>
      <w:r>
        <w:rPr>
          <w:rFonts w:hint="eastAsia" w:eastAsia="微软雅黑"/>
          <w:color w:val="auto"/>
          <w:lang w:eastAsia="zh-CN"/>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4F499320">
      <w:pPr>
        <w:numPr>
          <w:ilvl w:val="0"/>
          <w:numId w:val="3"/>
        </w:numPr>
        <w:spacing w:line="240" w:lineRule="exact"/>
        <w:ind w:left="0" w:leftChars="0"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填写访客信息，其中</w:t>
      </w:r>
      <w:r>
        <w:rPr>
          <w:rFonts w:hint="eastAsia" w:ascii="仿宋" w:hAnsi="仿宋" w:eastAsia="仿宋" w:cs="仿宋"/>
          <w:b/>
          <w:bCs/>
          <w:color w:val="auto"/>
          <w:sz w:val="24"/>
          <w:lang w:eastAsia="zh-CN"/>
        </w:rPr>
        <w:t>系统内访问部门</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lang w:eastAsia="zh-CN"/>
        </w:rPr>
        <w:t>资产和产业管理处，人员：陈乐，联系方式：</w:t>
      </w:r>
      <w:r>
        <w:rPr>
          <w:rFonts w:hint="eastAsia" w:ascii="仿宋" w:hAnsi="仿宋" w:eastAsia="仿宋" w:cs="仿宋"/>
          <w:b/>
          <w:bCs/>
          <w:color w:val="auto"/>
          <w:sz w:val="24"/>
          <w:lang w:val="en-US" w:eastAsia="zh-CN"/>
        </w:rPr>
        <w:t>025-86868572</w:t>
      </w:r>
    </w:p>
    <w:p w14:paraId="52732013">
      <w:pPr>
        <w:pStyle w:val="12"/>
        <w:ind w:left="0" w:leftChars="0" w:firstLine="0" w:firstLineChars="0"/>
        <w:jc w:val="center"/>
        <w:rPr>
          <w:rFonts w:ascii="宋体" w:hAnsi="宋体" w:eastAsia="宋体" w:cs="宋体"/>
          <w:color w:val="auto"/>
          <w:sz w:val="24"/>
          <w:szCs w:val="24"/>
        </w:rPr>
      </w:pPr>
      <w:r>
        <w:rPr>
          <w:rFonts w:hint="eastAsia" w:eastAsia="微软雅黑"/>
          <w:color w:val="auto"/>
          <w:lang w:eastAsia="zh-CN"/>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45477AD6">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513029202"/>
      <w:bookmarkStart w:id="20" w:name="_Toc20823274"/>
      <w:bookmarkStart w:id="21" w:name="_Toc16938518"/>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24BA6B6E">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20614214"/>
      <w:bookmarkStart w:id="23" w:name="_Toc16938519"/>
      <w:bookmarkStart w:id="24" w:name="_Toc20823275"/>
      <w:bookmarkStart w:id="25" w:name="_Toc513029203"/>
      <w:r>
        <w:rPr>
          <w:rFonts w:hint="eastAsia" w:ascii="宋体" w:hAnsi="宋体" w:eastAsia="宋体" w:cs="宋体"/>
          <w:b/>
          <w:bCs/>
          <w:color w:val="auto"/>
          <w:sz w:val="24"/>
          <w:szCs w:val="24"/>
          <w:lang w:val="zh-CN"/>
        </w:rPr>
        <w:t>一、总则</w:t>
      </w:r>
    </w:p>
    <w:p w14:paraId="4295344D">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0AC9FF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25DA8520">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27F730A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0510827">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1B0B892">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3E249D0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0A60238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50F3144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4AFB6C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7F01B5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3DC3B7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7ACAC2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282E9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2E0A0689">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3102C60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A8BF2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5191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1689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E74E12">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637E79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950DAD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37BA936A">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7B50E7A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67236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9025E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0A0CCEA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2F487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15E13A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C81C9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0120B6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7014D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C148D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AABF8B">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2C4CB9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8958F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B49AC9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14374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1010AD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64929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466153A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C906F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7E9BA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406A4B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002D8E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AAC4D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0BC154B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ABDD2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B24F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7A6A2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1EF58AB">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48C7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DE749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5255A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217E72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17B294D4">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2AD1A39">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F54AF2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14BFE1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24B640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66388E3">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4B6A96D">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FCDF04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5E4F62B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D237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2C4CDE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4F56E675">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1FDD74E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D5EF1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E519A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0E5253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0C57DD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5E98E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7D3C00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31AC7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9BE724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2F7423E2">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789CAA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74127A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5D30C7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8D5B75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E676AB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5884B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33D380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90E51B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511293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C1F20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00182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3ACBF0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E7AF6C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642392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E3F4D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522C5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2E253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B23B53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6DFD296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33C943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0398D9A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6D2AF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CCA5E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6D77BF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43740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69A9E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492CD4D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014C19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20309F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15796B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E8A3E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F2116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3EF79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18E97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4C161D9">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4E1D75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17FFE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F16FA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80A51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FB50F3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231EE2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41DBD2E5">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E3B68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BA0ADF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5C3CA0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2B601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0B71F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82DC754">
      <w:pPr>
        <w:pStyle w:val="34"/>
        <w:rPr>
          <w:rFonts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3E40B5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29A27B3">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53B58C9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7E5D77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2C2B90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3BD95F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7501B50">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40BDA16">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4A91B9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CB0AD9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16100BC">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DF00A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CCCF4E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A9377A6">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47728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97220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9D620E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4DCA26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5410E0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559BDF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25D2E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CEF0D56">
      <w:pPr>
        <w:pStyle w:val="34"/>
        <w:rPr>
          <w:rFonts w:ascii="宋体" w:hAnsi="宋体" w:cs="宋体"/>
          <w:color w:val="auto"/>
          <w:lang w:val="zh-CN"/>
        </w:rPr>
      </w:pPr>
    </w:p>
    <w:p w14:paraId="131275F2">
      <w:pPr>
        <w:pStyle w:val="34"/>
        <w:rPr>
          <w:rFonts w:ascii="宋体" w:hAnsi="宋体" w:cs="宋体"/>
          <w:color w:val="auto"/>
          <w:lang w:val="zh-CN"/>
        </w:rPr>
      </w:pPr>
    </w:p>
    <w:bookmarkEnd w:id="22"/>
    <w:bookmarkEnd w:id="23"/>
    <w:bookmarkEnd w:id="24"/>
    <w:bookmarkEnd w:id="25"/>
    <w:p w14:paraId="1175336D">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484C05E3">
      <w:pPr>
        <w:rPr>
          <w:color w:val="auto"/>
        </w:rPr>
      </w:pPr>
    </w:p>
    <w:p w14:paraId="1AEDC573">
      <w:pPr>
        <w:pStyle w:val="40"/>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62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7F0D2012">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69A88CEE">
            <w:pPr>
              <w:pStyle w:val="40"/>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9EBE62D">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0C678A01">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7DBA8386">
            <w:pPr>
              <w:pStyle w:val="40"/>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4999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801F668">
            <w:pPr>
              <w:pStyle w:val="40"/>
              <w:widowControl w:val="0"/>
              <w:spacing w:line="24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4" w:type="dxa"/>
            <w:vAlign w:val="bottom"/>
          </w:tcPr>
          <w:p w14:paraId="57848D3B">
            <w:pPr>
              <w:pStyle w:val="40"/>
              <w:widowControl w:val="0"/>
              <w:spacing w:line="240" w:lineRule="auto"/>
              <w:ind w:left="0" w:leftChars="0" w:firstLine="0" w:firstLine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多功能一体机</w:t>
            </w:r>
          </w:p>
        </w:tc>
        <w:tc>
          <w:tcPr>
            <w:tcW w:w="1704" w:type="dxa"/>
            <w:vAlign w:val="bottom"/>
          </w:tcPr>
          <w:p w14:paraId="6E70E16F">
            <w:pPr>
              <w:pStyle w:val="40"/>
              <w:widowControl w:val="0"/>
              <w:spacing w:line="24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80</w:t>
            </w:r>
          </w:p>
        </w:tc>
        <w:tc>
          <w:tcPr>
            <w:tcW w:w="1705" w:type="dxa"/>
            <w:vAlign w:val="bottom"/>
          </w:tcPr>
          <w:p w14:paraId="3CE6AA66">
            <w:pPr>
              <w:pStyle w:val="40"/>
              <w:widowControl w:val="0"/>
              <w:spacing w:line="24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bottom"/>
          </w:tcPr>
          <w:p w14:paraId="40A034C2">
            <w:pPr>
              <w:pStyle w:val="40"/>
              <w:widowControl w:val="0"/>
              <w:spacing w:line="24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15万</w:t>
            </w:r>
          </w:p>
        </w:tc>
      </w:tr>
    </w:tbl>
    <w:p w14:paraId="2E2BC1D1">
      <w:pPr>
        <w:pStyle w:val="40"/>
        <w:spacing w:line="360" w:lineRule="auto"/>
        <w:ind w:firstLine="482"/>
        <w:rPr>
          <w:rFonts w:ascii="宋体" w:hAnsi="宋体" w:eastAsia="宋体" w:cs="宋体"/>
          <w:b/>
          <w:bCs/>
          <w:color w:val="auto"/>
          <w:sz w:val="24"/>
          <w:szCs w:val="24"/>
        </w:rPr>
      </w:pPr>
    </w:p>
    <w:p w14:paraId="706AC6E1">
      <w:pPr>
        <w:pStyle w:val="40"/>
        <w:spacing w:line="360" w:lineRule="auto"/>
        <w:ind w:firstLine="482"/>
        <w:rPr>
          <w:rFonts w:ascii="宋体" w:hAnsi="宋体" w:eastAsia="宋体" w:cs="宋体"/>
          <w:b/>
          <w:bCs/>
          <w:color w:val="auto"/>
          <w:sz w:val="24"/>
          <w:szCs w:val="24"/>
        </w:rPr>
      </w:pPr>
    </w:p>
    <w:p w14:paraId="27F6AF8B">
      <w:pPr>
        <w:pStyle w:val="40"/>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2006"/>
        <w:gridCol w:w="5689"/>
      </w:tblGrid>
      <w:tr w14:paraId="6DAC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trPr>
        <w:tc>
          <w:tcPr>
            <w:tcW w:w="485" w:type="pct"/>
            <w:vMerge w:val="restart"/>
            <w:shd w:val="clear" w:color="000000" w:fill="FFFFFF"/>
            <w:noWrap w:val="0"/>
            <w:vAlign w:val="center"/>
          </w:tcPr>
          <w:p w14:paraId="722CCF86">
            <w:pPr>
              <w:widowControl/>
              <w:jc w:val="center"/>
              <w:rPr>
                <w:rFonts w:hint="eastAsia" w:ascii="宋体" w:hAnsi="宋体" w:cs="宋体"/>
                <w:color w:val="auto"/>
                <w:sz w:val="24"/>
                <w:lang w:bidi="ar"/>
              </w:rPr>
            </w:pPr>
            <w:r>
              <w:rPr>
                <w:rFonts w:hint="eastAsia" w:ascii="宋体" w:hAnsi="宋体" w:cs="宋体"/>
                <w:color w:val="auto"/>
                <w:sz w:val="24"/>
                <w:lang w:bidi="ar"/>
              </w:rPr>
              <w:t>多功能一体机</w:t>
            </w:r>
          </w:p>
        </w:tc>
        <w:tc>
          <w:tcPr>
            <w:tcW w:w="1177" w:type="pct"/>
            <w:shd w:val="clear" w:color="000000" w:fill="FFFFFF"/>
            <w:noWrap w:val="0"/>
            <w:vAlign w:val="center"/>
          </w:tcPr>
          <w:p w14:paraId="56A1952B">
            <w:pPr>
              <w:spacing w:line="480" w:lineRule="auto"/>
              <w:jc w:val="center"/>
              <w:rPr>
                <w:rFonts w:hint="eastAsia" w:ascii="宋体" w:hAnsi="宋体" w:cs="宋体"/>
                <w:color w:val="auto"/>
                <w:sz w:val="24"/>
              </w:rPr>
            </w:pPr>
            <w:r>
              <w:rPr>
                <w:rFonts w:hint="eastAsia" w:ascii="宋体" w:hAnsi="宋体" w:cs="宋体"/>
                <w:color w:val="auto"/>
                <w:sz w:val="24"/>
              </w:rPr>
              <w:t>颜色</w:t>
            </w:r>
          </w:p>
        </w:tc>
        <w:tc>
          <w:tcPr>
            <w:tcW w:w="3338" w:type="pct"/>
            <w:shd w:val="clear" w:color="000000" w:fill="FFFFFF"/>
            <w:noWrap w:val="0"/>
            <w:vAlign w:val="center"/>
          </w:tcPr>
          <w:p w14:paraId="3C7D0A7C">
            <w:pPr>
              <w:widowControl/>
              <w:spacing w:line="480" w:lineRule="auto"/>
              <w:jc w:val="left"/>
              <w:rPr>
                <w:rFonts w:hint="eastAsia" w:ascii="宋体" w:hAnsi="宋体" w:cs="宋体"/>
                <w:color w:val="auto"/>
                <w:sz w:val="24"/>
              </w:rPr>
            </w:pPr>
            <w:r>
              <w:rPr>
                <w:rFonts w:hint="eastAsia" w:ascii="宋体" w:hAnsi="宋体" w:cs="宋体"/>
                <w:color w:val="auto"/>
                <w:sz w:val="24"/>
              </w:rPr>
              <w:t>黑色</w:t>
            </w:r>
          </w:p>
        </w:tc>
      </w:tr>
      <w:tr w14:paraId="79C4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trPr>
        <w:tc>
          <w:tcPr>
            <w:tcW w:w="485" w:type="pct"/>
            <w:vMerge w:val="continue"/>
            <w:shd w:val="clear" w:color="auto" w:fill="auto"/>
            <w:noWrap w:val="0"/>
            <w:vAlign w:val="top"/>
          </w:tcPr>
          <w:p w14:paraId="6FCF4F88">
            <w:pPr>
              <w:widowControl/>
              <w:jc w:val="center"/>
              <w:rPr>
                <w:rFonts w:hint="eastAsia" w:ascii="宋体" w:hAnsi="宋体" w:cs="宋体"/>
                <w:color w:val="auto"/>
                <w:sz w:val="24"/>
                <w:lang w:bidi="ar"/>
              </w:rPr>
            </w:pPr>
          </w:p>
        </w:tc>
        <w:tc>
          <w:tcPr>
            <w:tcW w:w="1177" w:type="pct"/>
            <w:shd w:val="clear" w:color="000000" w:fill="FFFFFF"/>
            <w:noWrap w:val="0"/>
            <w:vAlign w:val="center"/>
          </w:tcPr>
          <w:p w14:paraId="063EC264">
            <w:pPr>
              <w:jc w:val="center"/>
              <w:rPr>
                <w:rFonts w:hint="eastAsia" w:ascii="宋体" w:hAnsi="宋体" w:cs="宋体"/>
                <w:color w:val="auto"/>
                <w:sz w:val="24"/>
              </w:rPr>
            </w:pPr>
            <w:r>
              <w:rPr>
                <w:rFonts w:hint="eastAsia" w:ascii="宋体" w:hAnsi="宋体" w:cs="宋体"/>
                <w:color w:val="auto"/>
                <w:sz w:val="24"/>
              </w:rPr>
              <w:t>幅面要求</w:t>
            </w:r>
          </w:p>
        </w:tc>
        <w:tc>
          <w:tcPr>
            <w:tcW w:w="3338" w:type="pct"/>
            <w:shd w:val="clear" w:color="000000" w:fill="FFFFFF"/>
            <w:noWrap w:val="0"/>
            <w:vAlign w:val="center"/>
          </w:tcPr>
          <w:p w14:paraId="59EEE7A8">
            <w:pPr>
              <w:widowControl/>
              <w:jc w:val="left"/>
              <w:rPr>
                <w:rFonts w:hint="eastAsia" w:ascii="宋体" w:hAnsi="宋体" w:cs="宋体"/>
                <w:color w:val="auto"/>
                <w:sz w:val="24"/>
              </w:rPr>
            </w:pPr>
            <w:r>
              <w:rPr>
                <w:rFonts w:hint="eastAsia" w:ascii="宋体" w:hAnsi="宋体" w:cs="宋体"/>
                <w:color w:val="auto"/>
                <w:sz w:val="24"/>
              </w:rPr>
              <w:t>A4</w:t>
            </w:r>
          </w:p>
        </w:tc>
      </w:tr>
      <w:tr w14:paraId="13A3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exact"/>
        </w:trPr>
        <w:tc>
          <w:tcPr>
            <w:tcW w:w="485" w:type="pct"/>
            <w:vMerge w:val="continue"/>
            <w:shd w:val="clear" w:color="auto" w:fill="auto"/>
            <w:noWrap w:val="0"/>
            <w:vAlign w:val="top"/>
          </w:tcPr>
          <w:p w14:paraId="4E8400F8">
            <w:pPr>
              <w:widowControl/>
              <w:jc w:val="center"/>
              <w:rPr>
                <w:rFonts w:hint="eastAsia" w:ascii="宋体" w:hAnsi="宋体" w:cs="宋体"/>
                <w:color w:val="auto"/>
                <w:sz w:val="24"/>
                <w:lang w:bidi="ar"/>
              </w:rPr>
            </w:pPr>
          </w:p>
        </w:tc>
        <w:tc>
          <w:tcPr>
            <w:tcW w:w="1177" w:type="pct"/>
            <w:shd w:val="clear" w:color="auto" w:fill="auto"/>
            <w:noWrap w:val="0"/>
            <w:vAlign w:val="center"/>
          </w:tcPr>
          <w:p w14:paraId="23341DD9">
            <w:pPr>
              <w:jc w:val="center"/>
              <w:rPr>
                <w:rFonts w:hint="eastAsia" w:ascii="宋体" w:hAnsi="宋体" w:cs="宋体"/>
                <w:color w:val="auto"/>
                <w:sz w:val="24"/>
              </w:rPr>
            </w:pPr>
            <w:r>
              <w:rPr>
                <w:rFonts w:hint="eastAsia" w:ascii="宋体" w:hAnsi="宋体" w:cs="宋体"/>
                <w:color w:val="auto"/>
                <w:sz w:val="24"/>
              </w:rPr>
              <w:t>双面打印规格</w:t>
            </w:r>
          </w:p>
        </w:tc>
        <w:tc>
          <w:tcPr>
            <w:tcW w:w="3338" w:type="pct"/>
            <w:shd w:val="clear" w:color="000000" w:fill="FFFFFF"/>
            <w:noWrap w:val="0"/>
            <w:vAlign w:val="center"/>
          </w:tcPr>
          <w:p w14:paraId="6265B655">
            <w:pPr>
              <w:widowControl/>
              <w:jc w:val="left"/>
              <w:rPr>
                <w:rFonts w:hint="eastAsia" w:ascii="宋体" w:hAnsi="宋体" w:cs="宋体"/>
                <w:color w:val="auto"/>
                <w:sz w:val="24"/>
              </w:rPr>
            </w:pPr>
            <w:r>
              <w:rPr>
                <w:rFonts w:ascii="宋体" w:hAnsi="宋体" w:cs="宋体"/>
                <w:color w:val="auto"/>
                <w:kern w:val="0"/>
                <w:sz w:val="24"/>
              </w:rPr>
              <w:t>▲</w:t>
            </w:r>
            <w:r>
              <w:rPr>
                <w:rFonts w:hint="eastAsia" w:ascii="宋体" w:hAnsi="宋体" w:cs="宋体"/>
                <w:color w:val="auto"/>
                <w:sz w:val="24"/>
              </w:rPr>
              <w:t>自动双面打印</w:t>
            </w:r>
          </w:p>
        </w:tc>
      </w:tr>
      <w:tr w14:paraId="1968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485" w:type="pct"/>
            <w:vMerge w:val="continue"/>
            <w:shd w:val="clear" w:color="auto" w:fill="auto"/>
            <w:noWrap w:val="0"/>
            <w:vAlign w:val="top"/>
          </w:tcPr>
          <w:p w14:paraId="48BBFCAE">
            <w:pPr>
              <w:widowControl/>
              <w:jc w:val="center"/>
              <w:rPr>
                <w:rFonts w:hint="eastAsia" w:ascii="宋体" w:hAnsi="宋体" w:cs="宋体"/>
                <w:color w:val="auto"/>
                <w:sz w:val="24"/>
                <w:lang w:bidi="ar"/>
              </w:rPr>
            </w:pPr>
          </w:p>
        </w:tc>
        <w:tc>
          <w:tcPr>
            <w:tcW w:w="1177" w:type="pct"/>
            <w:shd w:val="clear" w:color="000000" w:fill="FFFFFF"/>
            <w:noWrap w:val="0"/>
            <w:vAlign w:val="center"/>
          </w:tcPr>
          <w:p w14:paraId="2439CEEE">
            <w:pPr>
              <w:spacing w:line="360" w:lineRule="auto"/>
              <w:jc w:val="center"/>
              <w:rPr>
                <w:rFonts w:hint="eastAsia" w:ascii="宋体" w:hAnsi="宋体" w:cs="宋体"/>
                <w:color w:val="auto"/>
                <w:sz w:val="24"/>
              </w:rPr>
            </w:pPr>
            <w:r>
              <w:rPr>
                <w:rFonts w:hint="eastAsia" w:ascii="宋体" w:hAnsi="宋体" w:cs="宋体"/>
                <w:color w:val="auto"/>
                <w:sz w:val="24"/>
              </w:rPr>
              <w:t>打印速度</w:t>
            </w:r>
          </w:p>
        </w:tc>
        <w:tc>
          <w:tcPr>
            <w:tcW w:w="3338" w:type="pct"/>
            <w:shd w:val="clear" w:color="000000" w:fill="FFFFFF"/>
            <w:noWrap w:val="0"/>
            <w:vAlign w:val="center"/>
          </w:tcPr>
          <w:p w14:paraId="1CD72ECD">
            <w:pPr>
              <w:widowControl/>
              <w:jc w:val="left"/>
              <w:rPr>
                <w:rFonts w:hint="eastAsia" w:ascii="宋体" w:hAnsi="宋体" w:cs="宋体"/>
                <w:color w:val="auto"/>
                <w:sz w:val="24"/>
              </w:rPr>
            </w:pPr>
            <w:r>
              <w:rPr>
                <w:rFonts w:ascii="宋体" w:hAnsi="宋体" w:cs="宋体"/>
                <w:color w:val="auto"/>
                <w:kern w:val="0"/>
                <w:sz w:val="24"/>
              </w:rPr>
              <w:t>▲</w:t>
            </w:r>
            <w:r>
              <w:rPr>
                <w:rFonts w:hint="eastAsia" w:ascii="宋体" w:hAnsi="宋体" w:cs="宋体"/>
                <w:color w:val="auto"/>
                <w:sz w:val="24"/>
              </w:rPr>
              <w:t>35页</w:t>
            </w:r>
          </w:p>
        </w:tc>
      </w:tr>
      <w:tr w14:paraId="76894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485" w:type="pct"/>
            <w:vMerge w:val="continue"/>
            <w:shd w:val="clear" w:color="auto" w:fill="auto"/>
            <w:noWrap w:val="0"/>
            <w:vAlign w:val="top"/>
          </w:tcPr>
          <w:p w14:paraId="431BE7AB">
            <w:pPr>
              <w:widowControl/>
              <w:jc w:val="center"/>
              <w:rPr>
                <w:rFonts w:hint="eastAsia" w:ascii="宋体" w:hAnsi="宋体" w:cs="宋体"/>
                <w:color w:val="auto"/>
                <w:sz w:val="24"/>
                <w:lang w:bidi="ar"/>
              </w:rPr>
            </w:pPr>
          </w:p>
        </w:tc>
        <w:tc>
          <w:tcPr>
            <w:tcW w:w="1177" w:type="pct"/>
            <w:shd w:val="clear" w:color="000000" w:fill="FFFFFF"/>
            <w:noWrap w:val="0"/>
            <w:vAlign w:val="center"/>
          </w:tcPr>
          <w:p w14:paraId="6734CFD9">
            <w:pPr>
              <w:spacing w:line="360" w:lineRule="auto"/>
              <w:jc w:val="center"/>
              <w:rPr>
                <w:rFonts w:hint="eastAsia" w:ascii="宋体" w:hAnsi="宋体" w:cs="宋体"/>
                <w:b/>
                <w:bCs/>
                <w:color w:val="auto"/>
                <w:sz w:val="24"/>
              </w:rPr>
            </w:pPr>
            <w:r>
              <w:rPr>
                <w:rFonts w:hint="eastAsia" w:ascii="宋体" w:hAnsi="宋体" w:cs="宋体"/>
                <w:color w:val="auto"/>
                <w:sz w:val="24"/>
              </w:rPr>
              <w:t>网络打印</w:t>
            </w:r>
          </w:p>
        </w:tc>
        <w:tc>
          <w:tcPr>
            <w:tcW w:w="3338" w:type="pct"/>
            <w:shd w:val="clear" w:color="000000" w:fill="FFFFFF"/>
            <w:noWrap w:val="0"/>
            <w:vAlign w:val="center"/>
          </w:tcPr>
          <w:p w14:paraId="7189E518">
            <w:pPr>
              <w:widowControl/>
              <w:spacing w:line="480" w:lineRule="auto"/>
              <w:jc w:val="left"/>
              <w:rPr>
                <w:rFonts w:hint="eastAsia" w:ascii="宋体" w:hAnsi="宋体" w:cs="宋体"/>
                <w:color w:val="auto"/>
                <w:sz w:val="24"/>
              </w:rPr>
            </w:pPr>
            <w:r>
              <w:rPr>
                <w:rFonts w:hint="eastAsia" w:ascii="宋体" w:hAnsi="宋体" w:cs="宋体"/>
                <w:color w:val="auto"/>
                <w:sz w:val="24"/>
              </w:rPr>
              <w:t>支持</w:t>
            </w:r>
          </w:p>
        </w:tc>
      </w:tr>
      <w:tr w14:paraId="1D25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9" w:hRule="exact"/>
        </w:trPr>
        <w:tc>
          <w:tcPr>
            <w:tcW w:w="485" w:type="pct"/>
            <w:vMerge w:val="continue"/>
            <w:shd w:val="clear" w:color="auto" w:fill="auto"/>
            <w:noWrap w:val="0"/>
            <w:vAlign w:val="top"/>
          </w:tcPr>
          <w:p w14:paraId="18B6175F">
            <w:pPr>
              <w:widowControl/>
              <w:jc w:val="center"/>
              <w:rPr>
                <w:rFonts w:hint="eastAsia" w:ascii="宋体" w:hAnsi="宋体" w:cs="宋体"/>
                <w:color w:val="auto"/>
                <w:sz w:val="24"/>
                <w:lang w:bidi="ar"/>
              </w:rPr>
            </w:pPr>
          </w:p>
        </w:tc>
        <w:tc>
          <w:tcPr>
            <w:tcW w:w="1177" w:type="pct"/>
            <w:shd w:val="clear" w:color="000000" w:fill="FFFFFF"/>
            <w:noWrap w:val="0"/>
            <w:vAlign w:val="center"/>
          </w:tcPr>
          <w:p w14:paraId="272833C8">
            <w:pPr>
              <w:spacing w:line="360" w:lineRule="auto"/>
              <w:jc w:val="center"/>
              <w:rPr>
                <w:rFonts w:hint="eastAsia" w:ascii="宋体" w:hAnsi="宋体" w:cs="宋体"/>
                <w:b/>
                <w:bCs/>
                <w:color w:val="auto"/>
                <w:sz w:val="24"/>
              </w:rPr>
            </w:pPr>
            <w:r>
              <w:rPr>
                <w:rFonts w:hint="eastAsia" w:ascii="宋体" w:hAnsi="宋体" w:cs="宋体"/>
                <w:color w:val="auto"/>
                <w:sz w:val="24"/>
              </w:rPr>
              <w:t>辅助功能</w:t>
            </w:r>
          </w:p>
        </w:tc>
        <w:tc>
          <w:tcPr>
            <w:tcW w:w="3338" w:type="pct"/>
            <w:shd w:val="clear" w:color="000000" w:fill="FFFFFF"/>
            <w:noWrap w:val="0"/>
            <w:vAlign w:val="center"/>
          </w:tcPr>
          <w:p w14:paraId="1A179EBC">
            <w:pPr>
              <w:widowControl/>
              <w:jc w:val="left"/>
              <w:rPr>
                <w:rFonts w:ascii="宋体" w:hAnsi="宋体" w:cs="宋体"/>
                <w:color w:val="auto"/>
                <w:kern w:val="0"/>
                <w:sz w:val="24"/>
              </w:rPr>
            </w:pPr>
            <w:r>
              <w:rPr>
                <w:rFonts w:ascii="宋体" w:hAnsi="宋体" w:cs="宋体"/>
                <w:color w:val="auto"/>
                <w:kern w:val="0"/>
                <w:sz w:val="24"/>
              </w:rPr>
              <w:t>▲</w:t>
            </w:r>
            <w:r>
              <w:rPr>
                <w:rFonts w:hint="eastAsia" w:ascii="宋体" w:hAnsi="宋体" w:cs="宋体"/>
                <w:color w:val="auto"/>
                <w:kern w:val="0"/>
                <w:sz w:val="24"/>
              </w:rPr>
              <w:t>ADF，多合一打印、页眉页脚打印、一键票证复印、身份证双面复印、省墨打印、墨粉浓度调整</w:t>
            </w:r>
          </w:p>
          <w:p w14:paraId="4C3FD89F">
            <w:pPr>
              <w:widowControl/>
              <w:jc w:val="left"/>
              <w:rPr>
                <w:rFonts w:hint="eastAsia" w:ascii="宋体" w:hAnsi="宋体" w:cs="宋体"/>
                <w:color w:val="auto"/>
                <w:kern w:val="0"/>
                <w:sz w:val="24"/>
              </w:rPr>
            </w:pPr>
            <w:r>
              <w:rPr>
                <w:rFonts w:ascii="宋体" w:hAnsi="宋体" w:cs="宋体"/>
                <w:color w:val="auto"/>
                <w:kern w:val="0"/>
                <w:sz w:val="24"/>
              </w:rPr>
              <w:t>▲</w:t>
            </w:r>
            <w:r>
              <w:rPr>
                <w:rFonts w:hint="eastAsia" w:ascii="宋体" w:hAnsi="宋体" w:cs="宋体"/>
                <w:color w:val="auto"/>
                <w:kern w:val="0"/>
                <w:sz w:val="24"/>
              </w:rPr>
              <w:t>全面支持龙芯、兆芯、飞腾、鲲鹏等CPU平台和麒麟及UOS、鸿蒙Next等国产操作系统</w:t>
            </w:r>
            <w:r>
              <w:rPr>
                <w:rFonts w:hint="eastAsia" w:ascii="宋体" w:hAnsi="宋体" w:cs="宋体"/>
                <w:b/>
                <w:bCs/>
                <w:color w:val="auto"/>
                <w:sz w:val="24"/>
              </w:rPr>
              <w:t>（提供带官网链接的截图或产品彩页或产品说明书等证明材料）</w:t>
            </w:r>
          </w:p>
        </w:tc>
      </w:tr>
      <w:tr w14:paraId="0059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485" w:type="pct"/>
            <w:vMerge w:val="continue"/>
            <w:shd w:val="clear" w:color="auto" w:fill="auto"/>
            <w:noWrap w:val="0"/>
            <w:vAlign w:val="top"/>
          </w:tcPr>
          <w:p w14:paraId="04CEF276">
            <w:pPr>
              <w:widowControl/>
              <w:jc w:val="center"/>
              <w:rPr>
                <w:rFonts w:hint="eastAsia" w:ascii="宋体" w:hAnsi="宋体" w:cs="宋体"/>
                <w:color w:val="auto"/>
                <w:sz w:val="24"/>
                <w:lang w:bidi="ar"/>
              </w:rPr>
            </w:pPr>
          </w:p>
        </w:tc>
        <w:tc>
          <w:tcPr>
            <w:tcW w:w="1177" w:type="pct"/>
            <w:shd w:val="clear" w:color="000000" w:fill="FFFFFF"/>
            <w:noWrap w:val="0"/>
            <w:vAlign w:val="center"/>
          </w:tcPr>
          <w:p w14:paraId="380FA177">
            <w:pPr>
              <w:spacing w:line="360" w:lineRule="auto"/>
              <w:jc w:val="center"/>
              <w:rPr>
                <w:rFonts w:hint="eastAsia" w:ascii="宋体" w:hAnsi="宋体" w:cs="宋体"/>
                <w:color w:val="auto"/>
                <w:sz w:val="24"/>
              </w:rPr>
            </w:pPr>
            <w:r>
              <w:rPr>
                <w:rFonts w:hint="eastAsia" w:ascii="宋体" w:hAnsi="宋体" w:cs="宋体"/>
                <w:color w:val="auto"/>
                <w:sz w:val="24"/>
              </w:rPr>
              <w:t>打印分辨率</w:t>
            </w:r>
          </w:p>
        </w:tc>
        <w:tc>
          <w:tcPr>
            <w:tcW w:w="3338" w:type="pct"/>
            <w:shd w:val="clear" w:color="000000" w:fill="FFFFFF"/>
            <w:noWrap w:val="0"/>
            <w:vAlign w:val="center"/>
          </w:tcPr>
          <w:p w14:paraId="7DD9072E">
            <w:pPr>
              <w:widowControl/>
              <w:jc w:val="left"/>
              <w:rPr>
                <w:rFonts w:hint="eastAsia" w:ascii="宋体" w:hAnsi="宋体" w:cs="宋体"/>
                <w:color w:val="auto"/>
                <w:sz w:val="24"/>
              </w:rPr>
            </w:pPr>
            <w:r>
              <w:rPr>
                <w:rFonts w:hint="eastAsia" w:ascii="宋体" w:hAnsi="宋体" w:cs="宋体"/>
                <w:color w:val="auto"/>
                <w:sz w:val="24"/>
              </w:rPr>
              <w:t>1200*1200DPI</w:t>
            </w:r>
          </w:p>
        </w:tc>
      </w:tr>
      <w:tr w14:paraId="2D0C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485" w:type="pct"/>
            <w:vMerge w:val="continue"/>
            <w:shd w:val="clear" w:color="auto" w:fill="auto"/>
            <w:noWrap w:val="0"/>
            <w:vAlign w:val="top"/>
          </w:tcPr>
          <w:p w14:paraId="433A7B12">
            <w:pPr>
              <w:widowControl/>
              <w:jc w:val="center"/>
              <w:rPr>
                <w:rFonts w:hint="eastAsia" w:ascii="宋体" w:hAnsi="宋体" w:cs="宋体"/>
                <w:color w:val="auto"/>
                <w:sz w:val="24"/>
                <w:lang w:bidi="ar"/>
              </w:rPr>
            </w:pPr>
          </w:p>
        </w:tc>
        <w:tc>
          <w:tcPr>
            <w:tcW w:w="1177" w:type="pct"/>
            <w:shd w:val="clear" w:color="000000" w:fill="FFFFFF"/>
            <w:noWrap w:val="0"/>
            <w:vAlign w:val="center"/>
          </w:tcPr>
          <w:p w14:paraId="20FEAB27">
            <w:pPr>
              <w:spacing w:line="360" w:lineRule="auto"/>
              <w:jc w:val="center"/>
              <w:rPr>
                <w:rFonts w:hint="eastAsia" w:ascii="宋体" w:hAnsi="宋体" w:cs="宋体"/>
                <w:color w:val="auto"/>
                <w:sz w:val="24"/>
              </w:rPr>
            </w:pPr>
            <w:r>
              <w:rPr>
                <w:rFonts w:hint="eastAsia" w:ascii="宋体" w:hAnsi="宋体" w:cs="宋体"/>
                <w:color w:val="auto"/>
                <w:sz w:val="24"/>
              </w:rPr>
              <w:t>内存</w:t>
            </w:r>
          </w:p>
        </w:tc>
        <w:tc>
          <w:tcPr>
            <w:tcW w:w="3338" w:type="pct"/>
            <w:shd w:val="clear" w:color="000000" w:fill="FFFFFF"/>
            <w:noWrap w:val="0"/>
            <w:vAlign w:val="center"/>
          </w:tcPr>
          <w:p w14:paraId="43D6E8DE">
            <w:pPr>
              <w:widowControl/>
              <w:jc w:val="left"/>
              <w:rPr>
                <w:rFonts w:hint="eastAsia"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512M</w:t>
            </w:r>
          </w:p>
        </w:tc>
      </w:tr>
      <w:tr w14:paraId="1DAC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485" w:type="pct"/>
            <w:vMerge w:val="continue"/>
            <w:shd w:val="clear" w:color="auto" w:fill="auto"/>
            <w:noWrap w:val="0"/>
            <w:vAlign w:val="top"/>
          </w:tcPr>
          <w:p w14:paraId="746F052D">
            <w:pPr>
              <w:widowControl/>
              <w:jc w:val="center"/>
              <w:rPr>
                <w:rFonts w:hint="eastAsia" w:ascii="宋体" w:hAnsi="宋体" w:cs="宋体"/>
                <w:color w:val="auto"/>
                <w:sz w:val="24"/>
                <w:lang w:bidi="ar"/>
              </w:rPr>
            </w:pPr>
          </w:p>
        </w:tc>
        <w:tc>
          <w:tcPr>
            <w:tcW w:w="1177" w:type="pct"/>
            <w:shd w:val="clear" w:color="000000" w:fill="FFFFFF"/>
            <w:noWrap w:val="0"/>
            <w:vAlign w:val="center"/>
          </w:tcPr>
          <w:p w14:paraId="4DAE7627">
            <w:pPr>
              <w:spacing w:line="360" w:lineRule="auto"/>
              <w:jc w:val="center"/>
              <w:rPr>
                <w:rFonts w:hint="eastAsia" w:ascii="宋体" w:hAnsi="宋体" w:cs="宋体"/>
                <w:color w:val="auto"/>
                <w:sz w:val="24"/>
              </w:rPr>
            </w:pPr>
            <w:r>
              <w:rPr>
                <w:rFonts w:hint="eastAsia" w:ascii="宋体" w:hAnsi="宋体" w:cs="宋体"/>
                <w:color w:val="auto"/>
                <w:sz w:val="24"/>
              </w:rPr>
              <w:t>首页打印</w:t>
            </w:r>
          </w:p>
          <w:p w14:paraId="2E94A5E1">
            <w:pPr>
              <w:spacing w:line="360" w:lineRule="auto"/>
              <w:jc w:val="center"/>
              <w:rPr>
                <w:rFonts w:hint="eastAsia" w:ascii="宋体" w:hAnsi="宋体" w:cs="宋体"/>
                <w:color w:val="auto"/>
                <w:sz w:val="24"/>
              </w:rPr>
            </w:pPr>
          </w:p>
        </w:tc>
        <w:tc>
          <w:tcPr>
            <w:tcW w:w="3338" w:type="pct"/>
            <w:shd w:val="clear" w:color="000000" w:fill="FFFFFF"/>
            <w:noWrap w:val="0"/>
            <w:vAlign w:val="center"/>
          </w:tcPr>
          <w:p w14:paraId="5634DDFA">
            <w:pPr>
              <w:spacing w:line="360" w:lineRule="auto"/>
              <w:jc w:val="left"/>
              <w:rPr>
                <w:rFonts w:hint="eastAsia"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≤5秒</w:t>
            </w:r>
          </w:p>
        </w:tc>
      </w:tr>
      <w:tr w14:paraId="474B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trPr>
        <w:tc>
          <w:tcPr>
            <w:tcW w:w="485" w:type="pct"/>
            <w:vMerge w:val="continue"/>
            <w:shd w:val="clear" w:color="auto" w:fill="auto"/>
            <w:noWrap w:val="0"/>
            <w:vAlign w:val="top"/>
          </w:tcPr>
          <w:p w14:paraId="44E6DB6C">
            <w:pPr>
              <w:widowControl/>
              <w:jc w:val="center"/>
              <w:rPr>
                <w:rFonts w:hint="eastAsia" w:ascii="宋体" w:hAnsi="宋体" w:cs="宋体"/>
                <w:color w:val="auto"/>
                <w:sz w:val="24"/>
                <w:lang w:bidi="ar"/>
              </w:rPr>
            </w:pPr>
          </w:p>
        </w:tc>
        <w:tc>
          <w:tcPr>
            <w:tcW w:w="1177" w:type="pct"/>
            <w:shd w:val="clear" w:color="000000" w:fill="FFFFFF"/>
            <w:noWrap w:val="0"/>
            <w:vAlign w:val="center"/>
          </w:tcPr>
          <w:p w14:paraId="45CB6374">
            <w:pPr>
              <w:spacing w:line="360" w:lineRule="auto"/>
              <w:jc w:val="center"/>
              <w:rPr>
                <w:rFonts w:hint="eastAsia" w:ascii="宋体" w:hAnsi="宋体" w:cs="宋体"/>
                <w:color w:val="auto"/>
                <w:sz w:val="24"/>
              </w:rPr>
            </w:pPr>
            <w:r>
              <w:rPr>
                <w:rFonts w:hint="eastAsia" w:ascii="宋体" w:hAnsi="宋体" w:cs="宋体"/>
                <w:color w:val="auto"/>
                <w:sz w:val="24"/>
              </w:rPr>
              <w:t>月负荷规格</w:t>
            </w:r>
          </w:p>
          <w:p w14:paraId="794AE1F9">
            <w:pPr>
              <w:spacing w:line="360" w:lineRule="auto"/>
              <w:jc w:val="center"/>
              <w:rPr>
                <w:rFonts w:hint="eastAsia" w:ascii="宋体" w:hAnsi="宋体" w:cs="宋体"/>
                <w:color w:val="auto"/>
                <w:sz w:val="24"/>
              </w:rPr>
            </w:pPr>
          </w:p>
        </w:tc>
        <w:tc>
          <w:tcPr>
            <w:tcW w:w="3338" w:type="pct"/>
            <w:shd w:val="clear" w:color="000000" w:fill="FFFFFF"/>
            <w:noWrap w:val="0"/>
            <w:vAlign w:val="center"/>
          </w:tcPr>
          <w:p w14:paraId="4EB2E376">
            <w:pPr>
              <w:widowControl/>
              <w:spacing w:line="480" w:lineRule="auto"/>
              <w:jc w:val="left"/>
              <w:rPr>
                <w:rFonts w:hint="eastAsia"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50000页</w:t>
            </w:r>
          </w:p>
        </w:tc>
      </w:tr>
      <w:tr w14:paraId="5355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trPr>
        <w:tc>
          <w:tcPr>
            <w:tcW w:w="485" w:type="pct"/>
            <w:vMerge w:val="continue"/>
            <w:shd w:val="clear" w:color="auto" w:fill="auto"/>
            <w:noWrap w:val="0"/>
            <w:vAlign w:val="top"/>
          </w:tcPr>
          <w:p w14:paraId="0F5C8FF3">
            <w:pPr>
              <w:widowControl/>
              <w:jc w:val="center"/>
              <w:rPr>
                <w:rFonts w:hint="eastAsia" w:ascii="宋体" w:hAnsi="宋体" w:cs="宋体"/>
                <w:color w:val="auto"/>
                <w:sz w:val="24"/>
                <w:lang w:bidi="ar"/>
              </w:rPr>
            </w:pPr>
          </w:p>
        </w:tc>
        <w:tc>
          <w:tcPr>
            <w:tcW w:w="1177" w:type="pct"/>
            <w:shd w:val="clear" w:color="000000" w:fill="FFFFFF"/>
            <w:noWrap w:val="0"/>
            <w:vAlign w:val="center"/>
          </w:tcPr>
          <w:p w14:paraId="39EE7E9E">
            <w:pPr>
              <w:spacing w:line="360" w:lineRule="auto"/>
              <w:jc w:val="center"/>
              <w:rPr>
                <w:rFonts w:hint="eastAsia" w:ascii="宋体" w:hAnsi="宋体" w:cs="宋体"/>
                <w:color w:val="auto"/>
                <w:sz w:val="24"/>
              </w:rPr>
            </w:pPr>
            <w:r>
              <w:rPr>
                <w:rFonts w:hint="eastAsia" w:ascii="宋体" w:hAnsi="宋体" w:cs="宋体"/>
                <w:color w:val="auto"/>
                <w:sz w:val="24"/>
              </w:rPr>
              <w:t>打印语言</w:t>
            </w:r>
          </w:p>
          <w:p w14:paraId="71DF9F0C">
            <w:pPr>
              <w:spacing w:line="360" w:lineRule="auto"/>
              <w:jc w:val="center"/>
              <w:rPr>
                <w:rFonts w:hint="eastAsia" w:ascii="宋体" w:hAnsi="宋体" w:cs="宋体"/>
                <w:color w:val="auto"/>
                <w:sz w:val="24"/>
              </w:rPr>
            </w:pPr>
          </w:p>
        </w:tc>
        <w:tc>
          <w:tcPr>
            <w:tcW w:w="3338" w:type="pct"/>
            <w:shd w:val="clear" w:color="000000" w:fill="FFFFFF"/>
            <w:noWrap w:val="0"/>
            <w:vAlign w:val="center"/>
          </w:tcPr>
          <w:p w14:paraId="460C54A6">
            <w:pPr>
              <w:widowControl/>
              <w:jc w:val="left"/>
              <w:rPr>
                <w:rFonts w:hint="eastAsia" w:ascii="宋体" w:hAnsi="宋体" w:cs="宋体"/>
                <w:color w:val="auto"/>
                <w:sz w:val="24"/>
              </w:rPr>
            </w:pPr>
            <w:r>
              <w:rPr>
                <w:rFonts w:hint="eastAsia" w:ascii="宋体" w:hAnsi="宋体" w:cs="宋体"/>
                <w:color w:val="auto"/>
                <w:sz w:val="24"/>
              </w:rPr>
              <w:t>GDI</w:t>
            </w:r>
          </w:p>
        </w:tc>
      </w:tr>
      <w:tr w14:paraId="6B53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485" w:type="pct"/>
            <w:vMerge w:val="continue"/>
            <w:shd w:val="clear" w:color="auto" w:fill="auto"/>
            <w:noWrap w:val="0"/>
            <w:vAlign w:val="top"/>
          </w:tcPr>
          <w:p w14:paraId="0A1AD603">
            <w:pPr>
              <w:widowControl/>
              <w:jc w:val="center"/>
              <w:rPr>
                <w:rFonts w:hint="eastAsia" w:ascii="宋体" w:hAnsi="宋体" w:cs="宋体"/>
                <w:color w:val="auto"/>
                <w:sz w:val="24"/>
                <w:lang w:bidi="ar"/>
              </w:rPr>
            </w:pPr>
          </w:p>
        </w:tc>
        <w:tc>
          <w:tcPr>
            <w:tcW w:w="1177" w:type="pct"/>
            <w:shd w:val="clear" w:color="000000" w:fill="FFFFFF"/>
            <w:noWrap w:val="0"/>
            <w:vAlign w:val="center"/>
          </w:tcPr>
          <w:p w14:paraId="4BDDDBCC">
            <w:pPr>
              <w:spacing w:line="360" w:lineRule="auto"/>
              <w:jc w:val="center"/>
              <w:rPr>
                <w:rFonts w:hint="eastAsia" w:ascii="宋体" w:hAnsi="宋体" w:cs="宋体"/>
                <w:color w:val="auto"/>
                <w:sz w:val="24"/>
              </w:rPr>
            </w:pPr>
            <w:r>
              <w:rPr>
                <w:rFonts w:hint="eastAsia" w:ascii="宋体" w:hAnsi="宋体" w:cs="宋体"/>
                <w:color w:val="auto"/>
                <w:sz w:val="24"/>
              </w:rPr>
              <w:t>接口类型</w:t>
            </w:r>
          </w:p>
        </w:tc>
        <w:tc>
          <w:tcPr>
            <w:tcW w:w="3338" w:type="pct"/>
            <w:shd w:val="clear" w:color="000000" w:fill="FFFFFF"/>
            <w:noWrap w:val="0"/>
            <w:vAlign w:val="center"/>
          </w:tcPr>
          <w:p w14:paraId="48FDC73D">
            <w:pPr>
              <w:widowControl/>
              <w:jc w:val="left"/>
              <w:rPr>
                <w:rFonts w:hint="eastAsia" w:ascii="宋体" w:hAnsi="宋体" w:cs="宋体"/>
                <w:color w:val="auto"/>
                <w:sz w:val="24"/>
              </w:rPr>
            </w:pPr>
            <w:r>
              <w:rPr>
                <w:rFonts w:hint="eastAsia" w:ascii="宋体" w:hAnsi="宋体" w:cs="宋体"/>
                <w:color w:val="auto"/>
                <w:sz w:val="24"/>
              </w:rPr>
              <w:t>USB2.0,百兆以太网</w:t>
            </w:r>
          </w:p>
        </w:tc>
      </w:tr>
      <w:tr w14:paraId="2339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exact"/>
        </w:trPr>
        <w:tc>
          <w:tcPr>
            <w:tcW w:w="485" w:type="pct"/>
            <w:vMerge w:val="continue"/>
            <w:shd w:val="clear" w:color="auto" w:fill="auto"/>
            <w:noWrap w:val="0"/>
            <w:vAlign w:val="top"/>
          </w:tcPr>
          <w:p w14:paraId="2E9ACB04">
            <w:pPr>
              <w:widowControl/>
              <w:jc w:val="center"/>
              <w:rPr>
                <w:rFonts w:hint="eastAsia" w:ascii="宋体" w:hAnsi="宋体" w:cs="宋体"/>
                <w:color w:val="auto"/>
                <w:sz w:val="24"/>
                <w:lang w:bidi="ar"/>
              </w:rPr>
            </w:pPr>
          </w:p>
        </w:tc>
        <w:tc>
          <w:tcPr>
            <w:tcW w:w="1177" w:type="pct"/>
            <w:shd w:val="clear" w:color="auto" w:fill="auto"/>
            <w:noWrap w:val="0"/>
            <w:vAlign w:val="center"/>
          </w:tcPr>
          <w:p w14:paraId="4DDF0623">
            <w:pPr>
              <w:jc w:val="center"/>
              <w:rPr>
                <w:rFonts w:hint="eastAsia" w:ascii="宋体" w:hAnsi="宋体" w:cs="宋体"/>
                <w:color w:val="auto"/>
                <w:sz w:val="24"/>
              </w:rPr>
            </w:pPr>
            <w:r>
              <w:rPr>
                <w:rFonts w:hint="eastAsia" w:ascii="宋体" w:hAnsi="宋体" w:cs="宋体"/>
                <w:color w:val="auto"/>
                <w:sz w:val="24"/>
              </w:rPr>
              <w:t>耗材</w:t>
            </w:r>
          </w:p>
        </w:tc>
        <w:tc>
          <w:tcPr>
            <w:tcW w:w="3338" w:type="pct"/>
            <w:shd w:val="clear" w:color="000000" w:fill="FFFFFF"/>
            <w:noWrap w:val="0"/>
            <w:vAlign w:val="center"/>
          </w:tcPr>
          <w:p w14:paraId="786CB402">
            <w:pPr>
              <w:widowControl/>
              <w:jc w:val="left"/>
              <w:rPr>
                <w:rFonts w:hint="eastAsia"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随机粉盒3000页；耗材需要鼓粉一体</w:t>
            </w:r>
          </w:p>
        </w:tc>
      </w:tr>
      <w:tr w14:paraId="390B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exact"/>
        </w:trPr>
        <w:tc>
          <w:tcPr>
            <w:tcW w:w="485" w:type="pct"/>
            <w:vMerge w:val="continue"/>
            <w:shd w:val="clear" w:color="auto" w:fill="auto"/>
            <w:noWrap w:val="0"/>
            <w:vAlign w:val="top"/>
          </w:tcPr>
          <w:p w14:paraId="6DFCDF41">
            <w:pPr>
              <w:widowControl/>
              <w:jc w:val="center"/>
              <w:rPr>
                <w:rFonts w:hint="eastAsia" w:ascii="宋体" w:hAnsi="宋体" w:cs="宋体"/>
                <w:color w:val="auto"/>
                <w:sz w:val="24"/>
                <w:lang w:bidi="ar"/>
              </w:rPr>
            </w:pPr>
          </w:p>
        </w:tc>
        <w:tc>
          <w:tcPr>
            <w:tcW w:w="1177" w:type="pct"/>
            <w:shd w:val="clear" w:color="auto" w:fill="auto"/>
            <w:noWrap w:val="0"/>
            <w:vAlign w:val="center"/>
          </w:tcPr>
          <w:p w14:paraId="045701C5">
            <w:pPr>
              <w:widowControl/>
              <w:jc w:val="center"/>
              <w:rPr>
                <w:rFonts w:hint="eastAsia" w:ascii="宋体" w:hAnsi="宋体" w:cs="宋体"/>
                <w:color w:val="auto"/>
                <w:sz w:val="24"/>
              </w:rPr>
            </w:pPr>
            <w:r>
              <w:rPr>
                <w:rFonts w:hint="eastAsia" w:ascii="宋体" w:hAnsi="宋体" w:cs="宋体"/>
                <w:color w:val="auto"/>
                <w:sz w:val="24"/>
              </w:rPr>
              <w:t>质保时间</w:t>
            </w:r>
          </w:p>
        </w:tc>
        <w:tc>
          <w:tcPr>
            <w:tcW w:w="3338" w:type="pct"/>
            <w:shd w:val="clear" w:color="000000" w:fill="FFFFFF"/>
            <w:noWrap w:val="0"/>
            <w:vAlign w:val="center"/>
          </w:tcPr>
          <w:p w14:paraId="6425F150">
            <w:pPr>
              <w:widowControl/>
              <w:jc w:val="left"/>
              <w:rPr>
                <w:rFonts w:hint="eastAsia" w:ascii="宋体" w:hAnsi="宋体" w:cs="宋体"/>
                <w:b/>
                <w:bCs/>
                <w:color w:val="auto"/>
                <w:sz w:val="24"/>
              </w:rPr>
            </w:pPr>
            <w:r>
              <w:rPr>
                <w:rFonts w:ascii="宋体" w:hAnsi="宋体" w:cs="宋体"/>
                <w:b/>
                <w:bCs/>
                <w:color w:val="auto"/>
                <w:kern w:val="0"/>
                <w:sz w:val="24"/>
              </w:rPr>
              <w:t>▲</w:t>
            </w:r>
            <w:r>
              <w:rPr>
                <w:rFonts w:hint="eastAsia" w:ascii="宋体" w:hAnsi="宋体" w:cs="宋体"/>
                <w:color w:val="auto"/>
                <w:sz w:val="24"/>
              </w:rPr>
              <w:t>一年免费质保</w:t>
            </w:r>
            <w:r>
              <w:rPr>
                <w:rFonts w:hint="eastAsia" w:ascii="宋体" w:hAnsi="宋体" w:cs="宋体"/>
                <w:b/>
                <w:bCs/>
                <w:color w:val="auto"/>
                <w:sz w:val="24"/>
              </w:rPr>
              <w:t>（</w:t>
            </w:r>
            <w:r>
              <w:rPr>
                <w:rFonts w:hint="eastAsia" w:ascii="宋体" w:hAnsi="宋体" w:cs="宋体"/>
                <w:b/>
                <w:bCs/>
                <w:color w:val="auto"/>
                <w:kern w:val="0"/>
                <w:sz w:val="24"/>
              </w:rPr>
              <w:t>提供品牌方针对本项目的质保函）</w:t>
            </w:r>
          </w:p>
        </w:tc>
      </w:tr>
      <w:tr w14:paraId="7F5D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exact"/>
        </w:trPr>
        <w:tc>
          <w:tcPr>
            <w:tcW w:w="485" w:type="pct"/>
            <w:vMerge w:val="continue"/>
            <w:shd w:val="clear" w:color="auto" w:fill="auto"/>
            <w:noWrap w:val="0"/>
            <w:vAlign w:val="top"/>
          </w:tcPr>
          <w:p w14:paraId="7A44E2A6">
            <w:pPr>
              <w:widowControl/>
              <w:jc w:val="center"/>
              <w:rPr>
                <w:rFonts w:hint="eastAsia" w:ascii="宋体" w:hAnsi="宋体" w:cs="宋体"/>
                <w:color w:val="auto"/>
                <w:sz w:val="24"/>
                <w:lang w:bidi="ar"/>
              </w:rPr>
            </w:pPr>
          </w:p>
        </w:tc>
        <w:tc>
          <w:tcPr>
            <w:tcW w:w="1177" w:type="pct"/>
            <w:shd w:val="clear" w:color="auto" w:fill="auto"/>
            <w:noWrap w:val="0"/>
            <w:vAlign w:val="center"/>
          </w:tcPr>
          <w:p w14:paraId="5B2DE969">
            <w:pPr>
              <w:widowControl/>
              <w:rPr>
                <w:rFonts w:ascii="宋体" w:hAnsi="宋体" w:cs="宋体"/>
                <w:color w:val="auto"/>
                <w:sz w:val="24"/>
              </w:rPr>
            </w:pPr>
          </w:p>
          <w:p w14:paraId="62508F1F">
            <w:pPr>
              <w:widowControl/>
              <w:rPr>
                <w:rFonts w:hint="eastAsia" w:ascii="宋体" w:hAnsi="宋体" w:cs="宋体"/>
                <w:color w:val="auto"/>
                <w:sz w:val="24"/>
              </w:rPr>
            </w:pPr>
            <w:r>
              <w:rPr>
                <w:rFonts w:hint="eastAsia" w:ascii="宋体" w:hAnsi="宋体" w:cs="宋体"/>
                <w:color w:val="auto"/>
                <w:sz w:val="24"/>
              </w:rPr>
              <w:t>进纸盒容量规格</w:t>
            </w:r>
          </w:p>
          <w:p w14:paraId="66C6D9B7">
            <w:pPr>
              <w:widowControl/>
              <w:jc w:val="center"/>
              <w:rPr>
                <w:rFonts w:hint="eastAsia" w:ascii="宋体" w:hAnsi="宋体" w:cs="宋体"/>
                <w:color w:val="auto"/>
                <w:sz w:val="24"/>
              </w:rPr>
            </w:pPr>
          </w:p>
        </w:tc>
        <w:tc>
          <w:tcPr>
            <w:tcW w:w="3338" w:type="pct"/>
            <w:shd w:val="clear" w:color="000000" w:fill="FFFFFF"/>
            <w:noWrap w:val="0"/>
            <w:vAlign w:val="center"/>
          </w:tcPr>
          <w:p w14:paraId="69F338E1">
            <w:pPr>
              <w:widowControl/>
              <w:jc w:val="left"/>
              <w:rPr>
                <w:rFonts w:hint="eastAsia" w:ascii="宋体" w:hAnsi="宋体"/>
                <w:bCs/>
                <w:color w:val="auto"/>
                <w:sz w:val="24"/>
              </w:rPr>
            </w:pPr>
            <w:r>
              <w:rPr>
                <w:rFonts w:hint="eastAsia" w:ascii="宋体" w:hAnsi="宋体" w:cs="宋体"/>
                <w:color w:val="auto"/>
                <w:kern w:val="0"/>
                <w:sz w:val="24"/>
              </w:rPr>
              <w:t>▲</w:t>
            </w:r>
            <w:r>
              <w:rPr>
                <w:rFonts w:hint="eastAsia" w:ascii="宋体" w:hAnsi="宋体"/>
                <w:bCs/>
                <w:color w:val="auto"/>
                <w:sz w:val="24"/>
              </w:rPr>
              <w:t>550页封闭式纸盒</w:t>
            </w:r>
            <w:r>
              <w:rPr>
                <w:rFonts w:hint="eastAsia" w:ascii="宋体" w:hAnsi="宋体" w:cs="宋体"/>
                <w:b/>
                <w:bCs/>
                <w:color w:val="auto"/>
                <w:sz w:val="24"/>
              </w:rPr>
              <w:t>（提供带官网链接的截图或产品彩页或产品说明书等证明材料）</w:t>
            </w:r>
          </w:p>
        </w:tc>
      </w:tr>
      <w:tr w14:paraId="35F2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exact"/>
        </w:trPr>
        <w:tc>
          <w:tcPr>
            <w:tcW w:w="485" w:type="pct"/>
            <w:vMerge w:val="continue"/>
            <w:shd w:val="clear" w:color="auto" w:fill="auto"/>
            <w:noWrap w:val="0"/>
            <w:vAlign w:val="top"/>
          </w:tcPr>
          <w:p w14:paraId="134D4498">
            <w:pPr>
              <w:widowControl/>
              <w:jc w:val="center"/>
              <w:rPr>
                <w:rFonts w:hint="eastAsia" w:ascii="宋体" w:hAnsi="宋体" w:cs="宋体"/>
                <w:color w:val="auto"/>
                <w:sz w:val="24"/>
                <w:lang w:bidi="ar"/>
              </w:rPr>
            </w:pPr>
          </w:p>
        </w:tc>
        <w:tc>
          <w:tcPr>
            <w:tcW w:w="1177" w:type="pct"/>
            <w:shd w:val="clear" w:color="auto" w:fill="auto"/>
            <w:noWrap w:val="0"/>
            <w:vAlign w:val="center"/>
          </w:tcPr>
          <w:p w14:paraId="6E1847A0">
            <w:pPr>
              <w:jc w:val="center"/>
              <w:rPr>
                <w:rFonts w:hint="eastAsia" w:ascii="宋体" w:hAnsi="宋体" w:cs="宋体"/>
                <w:color w:val="auto"/>
                <w:sz w:val="24"/>
              </w:rPr>
            </w:pPr>
            <w:r>
              <w:rPr>
                <w:rFonts w:hint="eastAsia" w:ascii="宋体" w:hAnsi="宋体" w:cs="宋体"/>
                <w:color w:val="auto"/>
                <w:sz w:val="24"/>
              </w:rPr>
              <w:t>出纸盒容量规格</w:t>
            </w:r>
          </w:p>
        </w:tc>
        <w:tc>
          <w:tcPr>
            <w:tcW w:w="3338" w:type="pct"/>
            <w:shd w:val="clear" w:color="000000" w:fill="FFFFFF"/>
            <w:noWrap w:val="0"/>
            <w:vAlign w:val="center"/>
          </w:tcPr>
          <w:p w14:paraId="416FCF53">
            <w:pPr>
              <w:widowControl/>
              <w:jc w:val="left"/>
              <w:rPr>
                <w:rFonts w:hint="eastAsia" w:ascii="宋体" w:hAnsi="宋体" w:cs="宋体"/>
                <w:color w:val="auto"/>
                <w:sz w:val="24"/>
              </w:rPr>
            </w:pPr>
            <w:r>
              <w:rPr>
                <w:rFonts w:hint="eastAsia" w:ascii="宋体" w:hAnsi="宋体" w:cs="宋体"/>
                <w:color w:val="auto"/>
                <w:sz w:val="24"/>
              </w:rPr>
              <w:t>100页</w:t>
            </w:r>
          </w:p>
        </w:tc>
      </w:tr>
      <w:tr w14:paraId="7C81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485" w:type="pct"/>
            <w:vMerge w:val="continue"/>
            <w:shd w:val="clear" w:color="auto" w:fill="auto"/>
            <w:noWrap w:val="0"/>
            <w:vAlign w:val="top"/>
          </w:tcPr>
          <w:p w14:paraId="0B6EC87C">
            <w:pPr>
              <w:widowControl/>
              <w:jc w:val="center"/>
              <w:rPr>
                <w:rFonts w:hint="eastAsia" w:ascii="宋体" w:hAnsi="宋体" w:cs="宋体"/>
                <w:color w:val="auto"/>
                <w:sz w:val="24"/>
                <w:lang w:bidi="ar"/>
              </w:rPr>
            </w:pPr>
          </w:p>
        </w:tc>
        <w:tc>
          <w:tcPr>
            <w:tcW w:w="1177" w:type="pct"/>
            <w:shd w:val="clear" w:color="auto" w:fill="auto"/>
            <w:noWrap w:val="0"/>
            <w:vAlign w:val="center"/>
          </w:tcPr>
          <w:p w14:paraId="42185C97">
            <w:pPr>
              <w:jc w:val="center"/>
              <w:rPr>
                <w:rFonts w:hint="eastAsia" w:ascii="宋体" w:hAnsi="宋体" w:cs="宋体"/>
                <w:color w:val="auto"/>
                <w:sz w:val="24"/>
              </w:rPr>
            </w:pPr>
            <w:r>
              <w:rPr>
                <w:rFonts w:hint="eastAsia" w:ascii="宋体" w:hAnsi="宋体" w:cs="宋体"/>
                <w:color w:val="auto"/>
                <w:sz w:val="24"/>
              </w:rPr>
              <w:t>扫描速度规格</w:t>
            </w:r>
          </w:p>
        </w:tc>
        <w:tc>
          <w:tcPr>
            <w:tcW w:w="3338" w:type="pct"/>
            <w:shd w:val="clear" w:color="000000" w:fill="FFFFFF"/>
            <w:noWrap w:val="0"/>
            <w:vAlign w:val="center"/>
          </w:tcPr>
          <w:p w14:paraId="5BCEE521">
            <w:pPr>
              <w:widowControl/>
              <w:jc w:val="left"/>
              <w:rPr>
                <w:rFonts w:hint="eastAsia" w:ascii="宋体" w:hAnsi="宋体" w:cs="宋体"/>
                <w:color w:val="auto"/>
                <w:sz w:val="24"/>
              </w:rPr>
            </w:pPr>
            <w:r>
              <w:rPr>
                <w:rFonts w:hint="eastAsia" w:ascii="宋体" w:hAnsi="宋体" w:cs="宋体"/>
                <w:color w:val="auto"/>
                <w:sz w:val="24"/>
              </w:rPr>
              <w:t>20页/分</w:t>
            </w:r>
          </w:p>
        </w:tc>
      </w:tr>
      <w:tr w14:paraId="055C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485" w:type="pct"/>
            <w:vMerge w:val="continue"/>
            <w:shd w:val="clear" w:color="auto" w:fill="auto"/>
            <w:noWrap w:val="0"/>
            <w:vAlign w:val="top"/>
          </w:tcPr>
          <w:p w14:paraId="0B1D0354">
            <w:pPr>
              <w:widowControl/>
              <w:jc w:val="center"/>
              <w:rPr>
                <w:rFonts w:hint="eastAsia" w:ascii="宋体" w:hAnsi="宋体" w:cs="宋体"/>
                <w:color w:val="auto"/>
                <w:sz w:val="24"/>
                <w:lang w:bidi="ar"/>
              </w:rPr>
            </w:pPr>
          </w:p>
        </w:tc>
        <w:tc>
          <w:tcPr>
            <w:tcW w:w="1177" w:type="pct"/>
            <w:shd w:val="clear" w:color="auto" w:fill="auto"/>
            <w:noWrap w:val="0"/>
            <w:vAlign w:val="center"/>
          </w:tcPr>
          <w:p w14:paraId="3DD20E8C">
            <w:pPr>
              <w:jc w:val="center"/>
              <w:rPr>
                <w:rFonts w:hint="eastAsia" w:ascii="宋体" w:hAnsi="宋体" w:cs="宋体"/>
                <w:color w:val="auto"/>
                <w:sz w:val="24"/>
              </w:rPr>
            </w:pPr>
            <w:r>
              <w:rPr>
                <w:rFonts w:hint="eastAsia" w:ascii="宋体" w:hAnsi="宋体" w:cs="宋体"/>
                <w:color w:val="auto"/>
                <w:sz w:val="24"/>
              </w:rPr>
              <w:t>扫描分辨率规格</w:t>
            </w:r>
          </w:p>
        </w:tc>
        <w:tc>
          <w:tcPr>
            <w:tcW w:w="3338" w:type="pct"/>
            <w:shd w:val="clear" w:color="000000" w:fill="FFFFFF"/>
            <w:noWrap w:val="0"/>
            <w:vAlign w:val="center"/>
          </w:tcPr>
          <w:p w14:paraId="3EA453F6">
            <w:pPr>
              <w:widowControl/>
              <w:jc w:val="left"/>
              <w:rPr>
                <w:rFonts w:hint="eastAsia" w:ascii="宋体" w:hAnsi="宋体" w:cs="宋体"/>
                <w:color w:val="auto"/>
                <w:sz w:val="24"/>
              </w:rPr>
            </w:pPr>
            <w:r>
              <w:rPr>
                <w:rFonts w:hint="eastAsia" w:ascii="宋体" w:hAnsi="宋体" w:cs="宋体"/>
                <w:color w:val="auto"/>
                <w:sz w:val="24"/>
              </w:rPr>
              <w:t>600*600dpi</w:t>
            </w:r>
          </w:p>
        </w:tc>
      </w:tr>
    </w:tbl>
    <w:p w14:paraId="6525232E">
      <w:pPr>
        <w:pStyle w:val="40"/>
        <w:spacing w:line="360" w:lineRule="auto"/>
        <w:ind w:firstLine="482"/>
        <w:rPr>
          <w:rFonts w:ascii="宋体" w:hAnsi="宋体" w:eastAsia="宋体" w:cs="宋体"/>
          <w:b/>
          <w:bCs/>
          <w:color w:val="auto"/>
          <w:sz w:val="24"/>
          <w:szCs w:val="24"/>
        </w:rPr>
      </w:pPr>
    </w:p>
    <w:p w14:paraId="0EB0A33F">
      <w:pPr>
        <w:pStyle w:val="40"/>
        <w:spacing w:line="360" w:lineRule="auto"/>
        <w:ind w:firstLine="0" w:firstLineChars="0"/>
        <w:rPr>
          <w:rFonts w:ascii="宋体" w:hAnsi="宋体" w:eastAsia="宋体" w:cs="宋体"/>
          <w:b/>
          <w:bCs/>
          <w:color w:val="auto"/>
          <w:sz w:val="24"/>
          <w:szCs w:val="24"/>
        </w:rPr>
      </w:pPr>
    </w:p>
    <w:p w14:paraId="43A9A47C">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5D7E88C9">
      <w:pPr>
        <w:autoSpaceDE w:val="0"/>
        <w:autoSpaceDN w:val="0"/>
        <w:spacing w:line="360" w:lineRule="auto"/>
        <w:ind w:firstLine="42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（1）技术培训：供应商负责派专业技术人员到采购人处进行不少于 4 次的设备操作培训，培训人员数量不低于2 人，使其能熟练掌握仪器的各项性能（包括硬件和软件）。在设备操作培训以后，若有采购人仍有技术问题，供应商在任何时候，都应在48小时以内提供详细技术方案并予以解决。</w:t>
      </w:r>
    </w:p>
    <w:p w14:paraId="2C674689">
      <w:pPr>
        <w:autoSpaceDE w:val="0"/>
        <w:autoSpaceDN w:val="0"/>
        <w:spacing w:line="360" w:lineRule="auto"/>
        <w:ind w:firstLine="42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（2）保修期：1年，自验收合格次日起算。质保期内发生任何设备损坏，所需要的维修费用（包括零部件费用、维修费用）均由供应商承担（人为操作不当造成的损坏除外）。</w:t>
      </w:r>
    </w:p>
    <w:p w14:paraId="3AC37ED1">
      <w:pPr>
        <w:autoSpaceDE w:val="0"/>
        <w:autoSpaceDN w:val="0"/>
        <w:spacing w:line="360" w:lineRule="auto"/>
        <w:ind w:firstLine="42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3）售后技术服务要求：供应商应在国内有专门负责的维修工程师或技术支持工程师。供应商应在2小时内电话响应，在24小时内对采购人的服务要求提出解决方案，经确认如有需要，技术人员须在48小时内到达现场；重大问题或其他无法迅速解决的问题应在一周内解决或提出明确解决方案，否则供应商应赔偿相应损失。</w:t>
      </w:r>
    </w:p>
    <w:p w14:paraId="52982C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3B5576D5">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bookmarkStart w:id="45" w:name="_Toc11610"/>
      <w:r>
        <w:rPr>
          <w:rFonts w:hint="eastAsia" w:ascii="宋体" w:hAnsi="宋体" w:eastAsia="宋体" w:cs="宋体"/>
          <w:b w:val="0"/>
          <w:bCs w:val="0"/>
          <w:color w:val="auto"/>
          <w:sz w:val="24"/>
          <w:szCs w:val="24"/>
          <w:lang w:val="zh-CN" w:eastAsia="zh-CN" w:bidi="ar-SA"/>
        </w:rPr>
        <w:t>1、按照国家现行行业规范标准进行安装，符合国家或行业质量检验评定标准，没有行业标准的产品，供应商应提供相关制造商标准。</w:t>
      </w:r>
    </w:p>
    <w:p w14:paraId="5D4E9873">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r>
        <w:rPr>
          <w:rFonts w:hint="eastAsia" w:ascii="宋体" w:hAnsi="宋体" w:eastAsia="宋体" w:cs="宋体"/>
          <w:b w:val="0"/>
          <w:bCs w:val="0"/>
          <w:color w:val="auto"/>
          <w:sz w:val="24"/>
          <w:szCs w:val="24"/>
          <w:lang w:val="zh-CN" w:eastAsia="zh-CN" w:bidi="ar-SA"/>
        </w:rPr>
        <w:t>2、设备安装调试：设备到货后，供应商在接到通知的7个工作日内派人前往负责该设备的安装、调试和操作培训，直至达到各项验收指标合格。</w:t>
      </w:r>
    </w:p>
    <w:p w14:paraId="19FDE7BE">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b/>
          <w:bCs/>
          <w:i/>
          <w:iCs/>
          <w:color w:val="auto"/>
          <w:sz w:val="24"/>
          <w:u w:val="single"/>
        </w:rPr>
      </w:pPr>
      <w:r>
        <w:rPr>
          <w:rFonts w:hint="eastAsia" w:ascii="宋体" w:hAnsi="宋体"/>
          <w:b/>
          <w:bCs/>
          <w:i/>
          <w:iCs/>
          <w:color w:val="auto"/>
          <w:sz w:val="24"/>
          <w:u w:val="single"/>
        </w:rPr>
        <w:t>3、为保障设备安装验收流程，配合相关工程建设进度，中标厂家需根据实际情况免费提供设备移机服务（移机区域：同一校区内）。</w:t>
      </w:r>
    </w:p>
    <w:p w14:paraId="6DF1FCB5">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五、交货期、交货方式及交货地点</w:t>
      </w:r>
      <w:bookmarkEnd w:id="45"/>
    </w:p>
    <w:p w14:paraId="7A728076">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b w:val="0"/>
          <w:bCs w:val="0"/>
          <w:color w:val="auto"/>
          <w:sz w:val="24"/>
          <w:szCs w:val="24"/>
          <w:lang w:val="zh-CN"/>
        </w:rPr>
      </w:pPr>
      <w:bookmarkStart w:id="46" w:name="_Toc18026"/>
      <w:r>
        <w:rPr>
          <w:rFonts w:hint="eastAsia" w:ascii="宋体" w:hAnsi="宋体" w:eastAsia="宋体" w:cs="宋体"/>
          <w:b w:val="0"/>
          <w:bCs w:val="0"/>
          <w:color w:val="auto"/>
          <w:sz w:val="24"/>
          <w:szCs w:val="24"/>
          <w:lang w:val="zh-CN"/>
        </w:rPr>
        <w:t>1、交货期：中标通知书发出之日起，半个月内完成备货，按照采购人要求的时间运抵现场，并安装、调试结束，验收合格，交付采购人使用</w:t>
      </w:r>
    </w:p>
    <w:p w14:paraId="40FF76A0">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2、交货方式：供应商在采购人指定时间、地点交货，并完成安装、调试。</w:t>
      </w:r>
    </w:p>
    <w:p w14:paraId="214A7A5F">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3、交货地点：南京医科大学常州校区指定地点。</w:t>
      </w:r>
    </w:p>
    <w:p w14:paraId="659E7381">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六、其他技术服务需求</w:t>
      </w:r>
      <w:bookmarkEnd w:id="46"/>
    </w:p>
    <w:p w14:paraId="548C0FCC">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lang w:val="zh-CN" w:eastAsia="zh-CN" w:bidi="ar-SA"/>
        </w:rPr>
      </w:pPr>
      <w:bookmarkStart w:id="47" w:name="_Toc16384"/>
      <w:r>
        <w:rPr>
          <w:rFonts w:hint="eastAsia" w:ascii="宋体" w:hAnsi="宋体" w:eastAsia="宋体" w:cs="宋体"/>
          <w:b w:val="0"/>
          <w:bCs w:val="0"/>
          <w:color w:val="auto"/>
          <w:sz w:val="24"/>
          <w:szCs w:val="24"/>
          <w:lang w:val="zh-CN" w:eastAsia="zh-CN" w:bidi="ar-SA"/>
        </w:rPr>
        <w:t>1、</w:t>
      </w:r>
      <w:bookmarkStart w:id="48" w:name="OLE_LINK10"/>
      <w:r>
        <w:rPr>
          <w:rFonts w:hint="eastAsia" w:ascii="宋体" w:hAnsi="宋体" w:eastAsia="宋体" w:cs="宋体"/>
          <w:b w:val="0"/>
          <w:bCs w:val="0"/>
          <w:color w:val="auto"/>
          <w:sz w:val="24"/>
          <w:szCs w:val="24"/>
          <w:lang w:val="zh-CN" w:eastAsia="zh-CN" w:bidi="ar-SA"/>
        </w:rPr>
        <w:t>供应商须保证本次投标产品系优质材料和先进工艺制成新出厂的产品，且完全与投标响应文件所述相符。</w:t>
      </w:r>
      <w:bookmarkEnd w:id="48"/>
      <w:r>
        <w:rPr>
          <w:rFonts w:hint="eastAsia" w:ascii="宋体" w:hAnsi="宋体" w:eastAsia="宋体" w:cs="宋体"/>
          <w:b/>
          <w:bCs/>
          <w:color w:val="auto"/>
          <w:sz w:val="24"/>
          <w:szCs w:val="24"/>
          <w:lang w:val="zh-CN" w:eastAsia="zh-CN" w:bidi="ar-SA"/>
        </w:rPr>
        <w:t>（提供承诺函，格式自拟）</w:t>
      </w:r>
    </w:p>
    <w:p w14:paraId="0C3F3189">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lang w:val="zh-CN" w:eastAsia="zh-CN" w:bidi="ar-SA"/>
        </w:rPr>
      </w:pPr>
      <w:r>
        <w:rPr>
          <w:rFonts w:hint="eastAsia" w:ascii="宋体" w:hAnsi="宋体" w:eastAsia="宋体" w:cs="宋体"/>
          <w:b w:val="0"/>
          <w:bCs w:val="0"/>
          <w:color w:val="auto"/>
          <w:sz w:val="24"/>
          <w:szCs w:val="24"/>
          <w:lang w:val="zh-CN" w:eastAsia="zh-CN" w:bidi="ar-SA"/>
        </w:rPr>
        <w:t>2、交付使用前发生的产品硬件损坏和不合格，一律退换新品。在质保期开始的前三个月内，若发生产品损坏和性能不合格（非使用不当原因造成），除采购人同意修理之外，亦应退换新品。</w:t>
      </w:r>
      <w:r>
        <w:rPr>
          <w:rFonts w:hint="eastAsia" w:ascii="宋体" w:hAnsi="宋体" w:eastAsia="宋体" w:cs="宋体"/>
          <w:b/>
          <w:bCs/>
          <w:color w:val="auto"/>
          <w:sz w:val="24"/>
          <w:szCs w:val="24"/>
          <w:lang w:val="zh-CN" w:eastAsia="zh-CN" w:bidi="ar-SA"/>
        </w:rPr>
        <w:t>（提供承诺函，格式自拟）</w:t>
      </w:r>
    </w:p>
    <w:p w14:paraId="2426ECA0">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七、货款支付</w:t>
      </w:r>
      <w:bookmarkEnd w:id="47"/>
    </w:p>
    <w:p w14:paraId="7EEC93D1">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bookmarkStart w:id="49" w:name="_Toc401414769"/>
      <w:r>
        <w:rPr>
          <w:rFonts w:hint="eastAsia" w:ascii="宋体" w:hAnsi="宋体" w:eastAsia="宋体" w:cs="宋体"/>
          <w:b w:val="0"/>
          <w:bCs w:val="0"/>
          <w:color w:val="auto"/>
          <w:sz w:val="24"/>
          <w:szCs w:val="24"/>
          <w:lang w:val="zh-CN" w:eastAsia="zh-CN" w:bidi="ar-SA"/>
        </w:rPr>
        <w:t>合同签订有效期内，甲方分批购买，按照甲方通知时间，乙方不晚于</w:t>
      </w:r>
      <w:r>
        <w:rPr>
          <w:rFonts w:hint="eastAsia" w:ascii="宋体" w:hAnsi="宋体" w:eastAsia="宋体" w:cs="宋体"/>
          <w:b w:val="0"/>
          <w:bCs w:val="0"/>
          <w:color w:val="auto"/>
          <w:sz w:val="24"/>
          <w:szCs w:val="24"/>
          <w:lang w:val="en-US" w:eastAsia="zh-CN" w:bidi="ar-SA"/>
        </w:rPr>
        <w:t>一</w:t>
      </w:r>
      <w:r>
        <w:rPr>
          <w:rFonts w:hint="eastAsia" w:ascii="宋体" w:hAnsi="宋体" w:eastAsia="宋体" w:cs="宋体"/>
          <w:b w:val="0"/>
          <w:bCs w:val="0"/>
          <w:color w:val="auto"/>
          <w:sz w:val="24"/>
          <w:szCs w:val="24"/>
          <w:lang w:val="zh-CN" w:eastAsia="zh-CN" w:bidi="ar-SA"/>
        </w:rPr>
        <w:t>周内到货，乙方将单次全部货物运抵甲方项目现场，直至甲乙双方验收合格后，甲方支付单批购买货物的相应货款。</w:t>
      </w:r>
    </w:p>
    <w:p w14:paraId="3D9FACFD">
      <w:pPr>
        <w:pStyle w:val="12"/>
        <w:keepNext w:val="0"/>
        <w:keepLines w:val="0"/>
        <w:pageBreakBefore w:val="0"/>
        <w:widowControl/>
        <w:kinsoku/>
        <w:wordWrap/>
        <w:overflowPunct/>
        <w:topLinePunct w:val="0"/>
        <w:bidi w:val="0"/>
        <w:adjustRightInd w:val="0"/>
        <w:snapToGrid w:val="0"/>
        <w:spacing w:line="360" w:lineRule="auto"/>
        <w:ind w:left="0" w:leftChars="0" w:firstLine="720" w:firstLineChars="0"/>
        <w:textAlignment w:val="auto"/>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八、投标报价要求：</w:t>
      </w:r>
    </w:p>
    <w:p w14:paraId="3FF820FC">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r>
        <w:rPr>
          <w:rFonts w:hint="eastAsia" w:ascii="宋体" w:hAnsi="宋体" w:eastAsia="宋体" w:cs="宋体"/>
          <w:b w:val="0"/>
          <w:bCs w:val="0"/>
          <w:color w:val="auto"/>
          <w:sz w:val="24"/>
          <w:szCs w:val="24"/>
          <w:lang w:val="zh-CN" w:eastAsia="zh-CN" w:bidi="ar-SA"/>
        </w:rPr>
        <w:t>1、所有投标响应均以人民币报价。供应商的投标响应报价应遵守“中华人民共和国价格法”。该报价为到采购人指定地点现场的全部费用，含相关税费，运输费，保险费，安装费及相关服务费等一切可能发生的费用。</w:t>
      </w:r>
    </w:p>
    <w:p w14:paraId="47EF9D72">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r>
        <w:rPr>
          <w:rFonts w:hint="eastAsia" w:ascii="宋体" w:hAnsi="宋体" w:eastAsia="宋体" w:cs="宋体"/>
          <w:b w:val="0"/>
          <w:bCs w:val="0"/>
          <w:color w:val="auto"/>
          <w:sz w:val="24"/>
          <w:szCs w:val="24"/>
          <w:lang w:val="zh-CN" w:eastAsia="zh-CN" w:bidi="ar-SA"/>
        </w:rPr>
        <w:t>2、报价时应充分考虑所有可能影响到报价的因素，一旦评审结束最终成交，如发生漏、缺、少项都将被认为是成交供应商的报价让利行为，损失自负。</w:t>
      </w:r>
    </w:p>
    <w:p w14:paraId="4DF16D02">
      <w:pPr>
        <w:pStyle w:val="12"/>
        <w:keepNext w:val="0"/>
        <w:keepLines w:val="0"/>
        <w:pageBreakBefore w:val="0"/>
        <w:widowControl/>
        <w:kinsoku/>
        <w:wordWrap/>
        <w:overflowPunct/>
        <w:topLinePunct w:val="0"/>
        <w:bidi w:val="0"/>
        <w:adjustRightInd w:val="0"/>
        <w:snapToGrid w:val="0"/>
        <w:spacing w:line="360" w:lineRule="auto"/>
        <w:ind w:left="0" w:leftChars="0" w:firstLine="720" w:firstLineChars="0"/>
        <w:textAlignment w:val="auto"/>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九、项目的验收方案要求：</w:t>
      </w:r>
    </w:p>
    <w:p w14:paraId="082A9AAE">
      <w:pPr>
        <w:pStyle w:val="12"/>
        <w:keepNext w:val="0"/>
        <w:keepLines w:val="0"/>
        <w:pageBreakBefore w:val="0"/>
        <w:widowControl/>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lang w:val="zh-CN" w:eastAsia="zh-CN" w:bidi="ar-SA"/>
        </w:rPr>
      </w:pPr>
      <w:r>
        <w:rPr>
          <w:rFonts w:hint="eastAsia" w:ascii="宋体" w:hAnsi="宋体" w:eastAsia="宋体" w:cs="宋体"/>
          <w:b w:val="0"/>
          <w:bCs w:val="0"/>
          <w:color w:val="auto"/>
          <w:sz w:val="24"/>
          <w:szCs w:val="24"/>
          <w:lang w:val="zh-CN" w:eastAsia="zh-CN" w:bidi="ar-SA"/>
        </w:rPr>
        <w:t>投标人应根据招标文件要求及本项目特点，制订项目验收方案。</w:t>
      </w:r>
      <w:bookmarkStart w:id="50" w:name="_Hlk47438576"/>
      <w:r>
        <w:rPr>
          <w:rFonts w:hint="eastAsia" w:ascii="宋体" w:hAnsi="宋体" w:eastAsia="宋体" w:cs="宋体"/>
          <w:b w:val="0"/>
          <w:bCs w:val="0"/>
          <w:color w:val="auto"/>
          <w:sz w:val="24"/>
          <w:szCs w:val="24"/>
          <w:lang w:val="zh-CN" w:eastAsia="zh-CN" w:bidi="ar-SA"/>
        </w:rPr>
        <w:t>验收方案要体现项目的全过程质量管控，对包括产品进场、安装过程、系统调试等实施验收并进行全过程记录，以及收集整理包括设备合格证、技术文档等的全套材料</w:t>
      </w:r>
      <w:bookmarkEnd w:id="50"/>
      <w:r>
        <w:rPr>
          <w:rFonts w:hint="eastAsia" w:ascii="宋体" w:hAnsi="宋体" w:eastAsia="宋体" w:cs="宋体"/>
          <w:b w:val="0"/>
          <w:bCs w:val="0"/>
          <w:color w:val="auto"/>
          <w:sz w:val="24"/>
          <w:szCs w:val="24"/>
          <w:lang w:val="zh-CN" w:eastAsia="zh-CN" w:bidi="ar-SA"/>
        </w:rPr>
        <w:t>，确保本项目达到投标人的各项响应承诺要求，货物交付、安装、调试，准备验收前，中标人需提前一周提交验收申请通知单至南京医科大学资产处。</w:t>
      </w:r>
    </w:p>
    <w:p w14:paraId="6D98C83D">
      <w:pPr>
        <w:pStyle w:val="2"/>
        <w:jc w:val="left"/>
        <w:rPr>
          <w:rFonts w:asciiTheme="majorEastAsia" w:hAnsiTheme="majorEastAsia" w:eastAsiaTheme="majorEastAsia"/>
          <w:b/>
          <w:color w:val="auto"/>
          <w:szCs w:val="32"/>
        </w:rPr>
      </w:pPr>
    </w:p>
    <w:p w14:paraId="27BCEC71">
      <w:pPr>
        <w:pStyle w:val="2"/>
        <w:pageBreakBefore/>
        <w:rPr>
          <w:rFonts w:asciiTheme="majorEastAsia" w:hAnsiTheme="majorEastAsia" w:eastAsiaTheme="majorEastAsia"/>
          <w:b/>
          <w:color w:val="auto"/>
          <w:sz w:val="32"/>
          <w:szCs w:val="32"/>
        </w:rPr>
      </w:pPr>
      <w:bookmarkStart w:id="51" w:name="_Toc23581"/>
      <w:r>
        <w:rPr>
          <w:rFonts w:hint="eastAsia" w:asciiTheme="majorEastAsia" w:hAnsiTheme="majorEastAsia" w:eastAsiaTheme="majorEastAsia"/>
          <w:b/>
          <w:color w:val="auto"/>
          <w:sz w:val="32"/>
          <w:szCs w:val="32"/>
        </w:rPr>
        <w:t>第四章  评标方法与评标标准</w:t>
      </w:r>
      <w:bookmarkEnd w:id="51"/>
    </w:p>
    <w:p w14:paraId="668A0BF8">
      <w:pPr>
        <w:rPr>
          <w:color w:val="auto"/>
        </w:rPr>
      </w:pPr>
    </w:p>
    <w:p w14:paraId="05B369E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B817E4C">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78B546F4">
      <w:pPr>
        <w:pStyle w:val="34"/>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6498"/>
        <w:gridCol w:w="759"/>
      </w:tblGrid>
      <w:tr w14:paraId="7F90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19" w:type="pct"/>
            <w:noWrap w:val="0"/>
            <w:vAlign w:val="center"/>
          </w:tcPr>
          <w:p w14:paraId="617C7217">
            <w:pPr>
              <w:jc w:val="center"/>
              <w:rPr>
                <w:rFonts w:hint="eastAsia" w:ascii="宋体" w:hAnsi="宋体" w:cs="宋体"/>
                <w:bCs/>
                <w:color w:val="auto"/>
                <w:sz w:val="24"/>
              </w:rPr>
            </w:pPr>
            <w:r>
              <w:rPr>
                <w:rFonts w:hint="eastAsia" w:ascii="宋体" w:hAnsi="宋体" w:cs="宋体"/>
                <w:b/>
                <w:color w:val="auto"/>
                <w:sz w:val="24"/>
              </w:rPr>
              <w:t>序号</w:t>
            </w:r>
          </w:p>
        </w:tc>
        <w:tc>
          <w:tcPr>
            <w:tcW w:w="3992" w:type="pct"/>
            <w:noWrap w:val="0"/>
            <w:vAlign w:val="center"/>
          </w:tcPr>
          <w:p w14:paraId="34896976">
            <w:pPr>
              <w:jc w:val="left"/>
              <w:rPr>
                <w:rFonts w:hint="eastAsia" w:ascii="宋体" w:hAnsi="宋体" w:cs="宋体"/>
                <w:bCs/>
                <w:color w:val="auto"/>
                <w:sz w:val="24"/>
              </w:rPr>
            </w:pPr>
            <w:r>
              <w:rPr>
                <w:rFonts w:hint="eastAsia" w:ascii="宋体" w:hAnsi="宋体"/>
                <w:b/>
                <w:bCs/>
                <w:color w:val="auto"/>
                <w:sz w:val="24"/>
              </w:rPr>
              <w:t>评审因素</w:t>
            </w:r>
          </w:p>
        </w:tc>
        <w:tc>
          <w:tcPr>
            <w:tcW w:w="489" w:type="pct"/>
            <w:noWrap w:val="0"/>
            <w:vAlign w:val="center"/>
          </w:tcPr>
          <w:p w14:paraId="50EB4B0E">
            <w:pPr>
              <w:jc w:val="center"/>
              <w:rPr>
                <w:rFonts w:hint="eastAsia" w:ascii="宋体" w:hAnsi="宋体" w:cs="宋体"/>
                <w:bCs/>
                <w:color w:val="auto"/>
                <w:sz w:val="24"/>
              </w:rPr>
            </w:pPr>
            <w:r>
              <w:rPr>
                <w:rFonts w:hint="eastAsia" w:ascii="宋体" w:hAnsi="宋体" w:cs="宋体"/>
                <w:b/>
                <w:color w:val="auto"/>
                <w:sz w:val="24"/>
              </w:rPr>
              <w:t>分值</w:t>
            </w:r>
          </w:p>
        </w:tc>
      </w:tr>
      <w:tr w14:paraId="4B3A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19" w:type="pct"/>
            <w:noWrap w:val="0"/>
            <w:vAlign w:val="center"/>
          </w:tcPr>
          <w:p w14:paraId="07597067">
            <w:pPr>
              <w:spacing w:before="57" w:beforeLines="20" w:after="4"/>
              <w:jc w:val="center"/>
              <w:rPr>
                <w:rFonts w:ascii="宋体" w:hAnsi="宋体" w:cs="宋体"/>
                <w:b/>
                <w:color w:val="auto"/>
                <w:sz w:val="24"/>
              </w:rPr>
            </w:pPr>
            <w:r>
              <w:rPr>
                <w:rFonts w:hint="eastAsia" w:ascii="宋体" w:hAnsi="宋体" w:cs="宋体"/>
                <w:b/>
                <w:color w:val="auto"/>
                <w:sz w:val="24"/>
              </w:rPr>
              <w:t>（一）</w:t>
            </w:r>
          </w:p>
          <w:p w14:paraId="252BD3A0">
            <w:pPr>
              <w:spacing w:before="57" w:beforeLines="20" w:after="4"/>
              <w:jc w:val="center"/>
              <w:rPr>
                <w:rFonts w:hint="eastAsia" w:ascii="宋体" w:hAnsi="宋体" w:cs="宋体"/>
                <w:bCs/>
                <w:color w:val="auto"/>
                <w:sz w:val="24"/>
              </w:rPr>
            </w:pPr>
            <w:r>
              <w:rPr>
                <w:rFonts w:hint="eastAsia" w:ascii="宋体" w:hAnsi="宋体" w:cs="宋体"/>
                <w:b/>
                <w:color w:val="auto"/>
                <w:sz w:val="24"/>
              </w:rPr>
              <w:t>价格分</w:t>
            </w:r>
          </w:p>
        </w:tc>
        <w:tc>
          <w:tcPr>
            <w:tcW w:w="3992" w:type="pct"/>
            <w:noWrap w:val="0"/>
            <w:vAlign w:val="center"/>
          </w:tcPr>
          <w:p w14:paraId="2742E0BB">
            <w:pPr>
              <w:spacing w:line="360" w:lineRule="auto"/>
              <w:rPr>
                <w:rFonts w:ascii="宋体" w:hAnsi="宋体"/>
                <w:b/>
                <w:bCs/>
                <w:color w:val="auto"/>
                <w:sz w:val="24"/>
              </w:rPr>
            </w:pPr>
            <w:r>
              <w:rPr>
                <w:rFonts w:ascii="宋体" w:hAnsi="宋体"/>
                <w:b/>
                <w:bCs/>
                <w:color w:val="auto"/>
                <w:sz w:val="24"/>
              </w:rPr>
              <w:t>1</w:t>
            </w:r>
            <w:r>
              <w:rPr>
                <w:rFonts w:hint="eastAsia" w:ascii="宋体" w:hAnsi="宋体"/>
                <w:b/>
                <w:bCs/>
                <w:color w:val="auto"/>
                <w:sz w:val="24"/>
              </w:rPr>
              <w:t>.1</w:t>
            </w:r>
            <w:r>
              <w:rPr>
                <w:rFonts w:ascii="宋体" w:hAnsi="宋体"/>
                <w:b/>
                <w:bCs/>
                <w:color w:val="auto"/>
                <w:sz w:val="24"/>
              </w:rPr>
              <w:t>价格分</w:t>
            </w:r>
          </w:p>
          <w:p w14:paraId="14997FE8">
            <w:pPr>
              <w:spacing w:line="300" w:lineRule="auto"/>
              <w:rPr>
                <w:rFonts w:hint="eastAsia" w:ascii="宋体" w:hAnsi="宋体" w:cs="宋体"/>
                <w:color w:val="auto"/>
                <w:sz w:val="24"/>
              </w:rPr>
            </w:pPr>
            <w:r>
              <w:rPr>
                <w:rFonts w:ascii="宋体" w:hAnsi="宋体"/>
                <w:bCs/>
                <w:color w:val="auto"/>
                <w:sz w:val="24"/>
              </w:rPr>
              <w:t>价格分采用低价优先法计算，即满足采购文件要求且</w:t>
            </w:r>
            <w:r>
              <w:rPr>
                <w:rFonts w:hint="eastAsia" w:ascii="宋体" w:hAnsi="宋体"/>
                <w:bCs/>
                <w:color w:val="auto"/>
                <w:sz w:val="24"/>
              </w:rPr>
              <w:t>投标价格</w:t>
            </w:r>
            <w:r>
              <w:rPr>
                <w:rFonts w:ascii="宋体" w:hAnsi="宋体"/>
                <w:bCs/>
                <w:color w:val="auto"/>
                <w:sz w:val="24"/>
              </w:rPr>
              <w:t>最低的供应商</w:t>
            </w:r>
            <w:r>
              <w:rPr>
                <w:rFonts w:hint="eastAsia" w:ascii="宋体" w:hAnsi="宋体"/>
                <w:bCs/>
                <w:color w:val="auto"/>
                <w:sz w:val="24"/>
              </w:rPr>
              <w:t>投标</w:t>
            </w:r>
            <w:r>
              <w:rPr>
                <w:rFonts w:ascii="宋体" w:hAnsi="宋体"/>
                <w:bCs/>
                <w:color w:val="auto"/>
                <w:sz w:val="24"/>
              </w:rPr>
              <w:t>报价为评标基准价，其价格分为满分30分，其它投标人的价格分统一按照以下公式计算：投标报价得分=（评标基准价/该投标人的投标报价）×30分。分值保留小数点后2位。</w:t>
            </w:r>
          </w:p>
        </w:tc>
        <w:tc>
          <w:tcPr>
            <w:tcW w:w="489" w:type="pct"/>
            <w:noWrap w:val="0"/>
            <w:vAlign w:val="center"/>
          </w:tcPr>
          <w:p w14:paraId="6F62F7CA">
            <w:pPr>
              <w:jc w:val="center"/>
              <w:rPr>
                <w:rFonts w:hint="eastAsia" w:ascii="宋体" w:hAnsi="宋体" w:cs="宋体"/>
                <w:b/>
                <w:color w:val="auto"/>
                <w:sz w:val="24"/>
              </w:rPr>
            </w:pPr>
            <w:r>
              <w:rPr>
                <w:rFonts w:hint="eastAsia" w:ascii="宋体" w:hAnsi="宋体" w:cs="宋体"/>
                <w:b/>
                <w:color w:val="auto"/>
                <w:sz w:val="24"/>
              </w:rPr>
              <w:t>30分</w:t>
            </w:r>
          </w:p>
        </w:tc>
      </w:tr>
      <w:tr w14:paraId="091B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19" w:type="pct"/>
            <w:noWrap w:val="0"/>
            <w:vAlign w:val="center"/>
          </w:tcPr>
          <w:p w14:paraId="6869EFB4">
            <w:pPr>
              <w:spacing w:before="57" w:beforeLines="20" w:after="4"/>
              <w:jc w:val="center"/>
              <w:rPr>
                <w:rFonts w:ascii="宋体" w:hAnsi="宋体" w:cs="宋体"/>
                <w:b/>
                <w:color w:val="auto"/>
                <w:sz w:val="24"/>
              </w:rPr>
            </w:pPr>
            <w:r>
              <w:rPr>
                <w:rFonts w:hint="eastAsia" w:ascii="宋体" w:hAnsi="宋体" w:cs="宋体"/>
                <w:b/>
                <w:color w:val="auto"/>
                <w:sz w:val="24"/>
              </w:rPr>
              <w:t>（二）</w:t>
            </w:r>
          </w:p>
          <w:p w14:paraId="2505882C">
            <w:pPr>
              <w:spacing w:before="57" w:beforeLines="20" w:after="4"/>
              <w:jc w:val="center"/>
              <w:rPr>
                <w:rFonts w:hint="eastAsia" w:ascii="宋体" w:hAnsi="宋体" w:cs="宋体"/>
                <w:b/>
                <w:color w:val="auto"/>
                <w:sz w:val="24"/>
              </w:rPr>
            </w:pPr>
            <w:r>
              <w:rPr>
                <w:rFonts w:hint="eastAsia" w:ascii="宋体" w:hAnsi="宋体" w:cs="宋体"/>
                <w:b/>
                <w:color w:val="auto"/>
                <w:sz w:val="24"/>
              </w:rPr>
              <w:t>项目需求响应情况</w:t>
            </w:r>
          </w:p>
        </w:tc>
        <w:tc>
          <w:tcPr>
            <w:tcW w:w="3992" w:type="pct"/>
            <w:noWrap w:val="0"/>
            <w:vAlign w:val="center"/>
          </w:tcPr>
          <w:p w14:paraId="0E5CD357">
            <w:pPr>
              <w:spacing w:line="360" w:lineRule="auto"/>
              <w:rPr>
                <w:rFonts w:hint="eastAsia" w:ascii="宋体" w:hAnsi="宋体"/>
                <w:b/>
                <w:bCs/>
                <w:color w:val="auto"/>
                <w:sz w:val="24"/>
              </w:rPr>
            </w:pPr>
            <w:r>
              <w:rPr>
                <w:rFonts w:hint="eastAsia" w:ascii="宋体" w:hAnsi="宋体"/>
                <w:b/>
                <w:bCs/>
                <w:color w:val="auto"/>
                <w:sz w:val="24"/>
              </w:rPr>
              <w:t>2.1项目需求响应情况</w:t>
            </w:r>
          </w:p>
          <w:p w14:paraId="17E0050F">
            <w:pPr>
              <w:rPr>
                <w:rFonts w:hint="eastAsia" w:ascii="宋体" w:hAnsi="宋体" w:cs="宋体"/>
                <w:color w:val="auto"/>
                <w:sz w:val="24"/>
              </w:rPr>
            </w:pPr>
            <w:r>
              <w:rPr>
                <w:rFonts w:hint="eastAsia" w:ascii="宋体" w:hAnsi="宋体"/>
                <w:bCs/>
                <w:color w:val="auto"/>
                <w:sz w:val="24"/>
              </w:rPr>
              <w:t>投标产品对招标文件具体需求的响应程度：</w:t>
            </w:r>
            <w:r>
              <w:rPr>
                <w:rFonts w:hint="eastAsia" w:ascii="宋体" w:hAnsi="宋体" w:cs="宋体"/>
                <w:color w:val="auto"/>
                <w:sz w:val="24"/>
              </w:rPr>
              <w:t>全部响应即满足招标文件</w:t>
            </w:r>
            <w:r>
              <w:rPr>
                <w:rFonts w:hint="eastAsia" w:ascii="宋体" w:hAnsi="宋体"/>
                <w:bCs/>
                <w:color w:val="auto"/>
                <w:sz w:val="24"/>
              </w:rPr>
              <w:t>的</w:t>
            </w:r>
            <w:r>
              <w:rPr>
                <w:rFonts w:ascii="宋体" w:hAnsi="宋体"/>
                <w:bCs/>
                <w:color w:val="auto"/>
                <w:sz w:val="24"/>
              </w:rPr>
              <w:t>技术</w:t>
            </w:r>
            <w:r>
              <w:rPr>
                <w:rFonts w:hint="eastAsia" w:ascii="宋体" w:hAnsi="宋体"/>
                <w:bCs/>
                <w:color w:val="auto"/>
                <w:sz w:val="24"/>
              </w:rPr>
              <w:t>和服务</w:t>
            </w:r>
            <w:r>
              <w:rPr>
                <w:rFonts w:ascii="宋体" w:hAnsi="宋体"/>
                <w:bCs/>
                <w:color w:val="auto"/>
                <w:sz w:val="24"/>
              </w:rPr>
              <w:t>等要求的</w:t>
            </w:r>
            <w:r>
              <w:rPr>
                <w:rFonts w:hint="eastAsia" w:ascii="宋体" w:hAnsi="宋体" w:cs="宋体"/>
                <w:color w:val="auto"/>
                <w:sz w:val="24"/>
              </w:rPr>
              <w:t>得满分3</w:t>
            </w:r>
            <w:r>
              <w:rPr>
                <w:rFonts w:ascii="宋体" w:hAnsi="宋体" w:cs="宋体"/>
                <w:color w:val="auto"/>
                <w:sz w:val="24"/>
              </w:rPr>
              <w:t>0</w:t>
            </w:r>
            <w:r>
              <w:rPr>
                <w:rFonts w:hint="eastAsia" w:ascii="宋体" w:hAnsi="宋体" w:cs="宋体"/>
                <w:color w:val="auto"/>
                <w:sz w:val="24"/>
              </w:rPr>
              <w:t>分，其中标注▲项</w:t>
            </w:r>
            <w:r>
              <w:rPr>
                <w:rFonts w:hint="eastAsia"/>
                <w:color w:val="auto"/>
                <w:sz w:val="24"/>
              </w:rPr>
              <w:t>为</w:t>
            </w:r>
            <w:r>
              <w:rPr>
                <w:rFonts w:hint="eastAsia" w:ascii="宋体" w:hAnsi="宋体"/>
                <w:bCs/>
                <w:color w:val="auto"/>
                <w:sz w:val="24"/>
              </w:rPr>
              <w:t>重要参数指标，</w:t>
            </w:r>
            <w:r>
              <w:rPr>
                <w:rFonts w:hint="eastAsia" w:ascii="宋体" w:hAnsi="宋体" w:cs="宋体"/>
                <w:color w:val="auto"/>
                <w:sz w:val="24"/>
              </w:rPr>
              <w:t>有负偏离的每项减3分，其他有负偏离的每项减1分，扣完为止</w:t>
            </w:r>
            <w:r>
              <w:rPr>
                <w:rFonts w:hint="eastAsia" w:ascii="宋体" w:hAnsi="宋体" w:cs="宋体"/>
                <w:color w:val="auto"/>
                <w:sz w:val="24"/>
                <w:lang w:eastAsia="zh-CN"/>
              </w:rPr>
              <w:t>，</w:t>
            </w:r>
            <w:r>
              <w:rPr>
                <w:rFonts w:hint="eastAsia" w:ascii="宋体" w:hAnsi="宋体" w:cs="宋体"/>
                <w:b/>
                <w:bCs/>
                <w:color w:val="auto"/>
                <w:sz w:val="24"/>
              </w:rPr>
              <w:t>若本项分值为0，则为无效投标。</w:t>
            </w:r>
          </w:p>
          <w:p w14:paraId="15BD3841">
            <w:pPr>
              <w:spacing w:line="300" w:lineRule="auto"/>
              <w:rPr>
                <w:rFonts w:hint="eastAsia" w:ascii="宋体" w:hAnsi="宋体" w:cs="宋体"/>
                <w:color w:val="auto"/>
                <w:sz w:val="24"/>
              </w:rPr>
            </w:pPr>
            <w:r>
              <w:rPr>
                <w:rFonts w:hint="eastAsia" w:ascii="宋体" w:hAnsi="宋体" w:cs="宋体"/>
                <w:b/>
                <w:bCs/>
                <w:color w:val="auto"/>
                <w:sz w:val="24"/>
              </w:rPr>
              <w:t>（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489" w:type="pct"/>
            <w:noWrap w:val="0"/>
            <w:vAlign w:val="center"/>
          </w:tcPr>
          <w:p w14:paraId="635D7FA9">
            <w:pPr>
              <w:jc w:val="center"/>
              <w:rPr>
                <w:rFonts w:hint="eastAsia" w:ascii="宋体" w:hAnsi="宋体" w:cs="宋体"/>
                <w:b/>
                <w:color w:val="auto"/>
                <w:sz w:val="24"/>
              </w:rPr>
            </w:pPr>
            <w:r>
              <w:rPr>
                <w:rFonts w:hint="eastAsia" w:ascii="宋体" w:hAnsi="宋体" w:cs="宋体"/>
                <w:b/>
                <w:color w:val="auto"/>
                <w:sz w:val="24"/>
              </w:rPr>
              <w:t>3</w:t>
            </w:r>
            <w:r>
              <w:rPr>
                <w:rFonts w:ascii="宋体" w:hAnsi="宋体" w:cs="宋体"/>
                <w:b/>
                <w:color w:val="auto"/>
                <w:sz w:val="24"/>
              </w:rPr>
              <w:t>0</w:t>
            </w:r>
            <w:r>
              <w:rPr>
                <w:rFonts w:hint="eastAsia" w:ascii="宋体" w:hAnsi="宋体" w:cs="宋体"/>
                <w:b/>
                <w:color w:val="auto"/>
                <w:sz w:val="24"/>
              </w:rPr>
              <w:t>分</w:t>
            </w:r>
          </w:p>
        </w:tc>
      </w:tr>
      <w:tr w14:paraId="0E8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19" w:type="pct"/>
            <w:vMerge w:val="restart"/>
            <w:noWrap w:val="0"/>
            <w:vAlign w:val="center"/>
          </w:tcPr>
          <w:p w14:paraId="7DA08F25">
            <w:pPr>
              <w:spacing w:before="57" w:beforeLines="20" w:after="4"/>
              <w:jc w:val="center"/>
              <w:rPr>
                <w:rFonts w:ascii="宋体" w:hAnsi="宋体" w:cs="宋体"/>
                <w:b/>
                <w:color w:val="auto"/>
                <w:sz w:val="24"/>
              </w:rPr>
            </w:pPr>
            <w:r>
              <w:rPr>
                <w:rFonts w:hint="eastAsia" w:ascii="宋体" w:hAnsi="宋体" w:cs="宋体"/>
                <w:b/>
                <w:color w:val="auto"/>
                <w:sz w:val="24"/>
              </w:rPr>
              <w:t>（四）</w:t>
            </w:r>
          </w:p>
          <w:p w14:paraId="445CB8A0">
            <w:pPr>
              <w:spacing w:before="57" w:beforeLines="20" w:after="4"/>
              <w:jc w:val="center"/>
              <w:rPr>
                <w:rFonts w:hint="eastAsia" w:ascii="宋体" w:hAnsi="宋体" w:cs="宋体"/>
                <w:b/>
                <w:color w:val="auto"/>
                <w:sz w:val="24"/>
              </w:rPr>
            </w:pPr>
            <w:r>
              <w:rPr>
                <w:rFonts w:hint="eastAsia" w:ascii="宋体" w:hAnsi="宋体" w:cs="宋体"/>
                <w:b/>
                <w:color w:val="auto"/>
                <w:sz w:val="24"/>
              </w:rPr>
              <w:t>项目方案</w:t>
            </w:r>
            <w:r>
              <w:rPr>
                <w:rFonts w:hint="eastAsia" w:ascii="宋体" w:hAnsi="宋体"/>
                <w:b/>
                <w:bCs/>
                <w:color w:val="auto"/>
                <w:sz w:val="24"/>
              </w:rPr>
              <w:t>及售后服务承诺方案</w:t>
            </w:r>
          </w:p>
        </w:tc>
        <w:tc>
          <w:tcPr>
            <w:tcW w:w="3992" w:type="pct"/>
            <w:noWrap w:val="0"/>
            <w:vAlign w:val="center"/>
          </w:tcPr>
          <w:p w14:paraId="3511B282">
            <w:pPr>
              <w:spacing w:line="300" w:lineRule="auto"/>
              <w:rPr>
                <w:rFonts w:ascii="宋体" w:hAnsi="宋体" w:cs="宋体"/>
                <w:color w:val="auto"/>
                <w:sz w:val="24"/>
              </w:rPr>
            </w:pPr>
            <w:r>
              <w:rPr>
                <w:rFonts w:hint="eastAsia" w:ascii="宋体" w:hAnsi="宋体" w:cs="宋体"/>
                <w:b/>
                <w:bCs/>
                <w:color w:val="auto"/>
                <w:sz w:val="24"/>
              </w:rPr>
              <w:t>4.1</w:t>
            </w:r>
            <w:r>
              <w:rPr>
                <w:rFonts w:hint="eastAsia" w:ascii="宋体" w:hAnsi="宋体" w:cs="宋体"/>
                <w:b/>
                <w:color w:val="auto"/>
                <w:sz w:val="24"/>
              </w:rPr>
              <w:t>实施方案</w:t>
            </w:r>
          </w:p>
          <w:p w14:paraId="3CD6BA00">
            <w:pPr>
              <w:spacing w:line="360" w:lineRule="auto"/>
              <w:rPr>
                <w:color w:val="auto"/>
                <w:sz w:val="24"/>
              </w:rPr>
            </w:pPr>
            <w:r>
              <w:rPr>
                <w:color w:val="auto"/>
                <w:sz w:val="24"/>
              </w:rPr>
              <w:t>实施方案全面，具有合理的供货进度安排和配送组织架构，具有良好的进度控制、风险控制管理、质量保障措施</w:t>
            </w:r>
            <w:r>
              <w:rPr>
                <w:rFonts w:hint="eastAsia"/>
                <w:color w:val="auto"/>
                <w:sz w:val="24"/>
              </w:rPr>
              <w:t>的</w:t>
            </w:r>
            <w:r>
              <w:rPr>
                <w:color w:val="auto"/>
                <w:sz w:val="24"/>
              </w:rPr>
              <w:t>，得6分；</w:t>
            </w:r>
          </w:p>
          <w:p w14:paraId="647EBB3E">
            <w:pPr>
              <w:spacing w:line="360" w:lineRule="auto"/>
              <w:rPr>
                <w:color w:val="auto"/>
                <w:sz w:val="24"/>
              </w:rPr>
            </w:pPr>
            <w:r>
              <w:rPr>
                <w:color w:val="auto"/>
                <w:sz w:val="24"/>
              </w:rPr>
              <w:t>实施方案不够全面，供货进度安排和配送组织架构不够合理，进度控制、风险控制管理、质量保障措施不全</w:t>
            </w:r>
            <w:r>
              <w:rPr>
                <w:rFonts w:hint="eastAsia"/>
                <w:color w:val="auto"/>
                <w:sz w:val="24"/>
              </w:rPr>
              <w:t>的</w:t>
            </w:r>
            <w:r>
              <w:rPr>
                <w:color w:val="auto"/>
                <w:sz w:val="24"/>
              </w:rPr>
              <w:t>，得4分；</w:t>
            </w:r>
          </w:p>
          <w:p w14:paraId="3553CED0">
            <w:pPr>
              <w:spacing w:line="360" w:lineRule="auto"/>
              <w:rPr>
                <w:color w:val="auto"/>
                <w:sz w:val="24"/>
              </w:rPr>
            </w:pPr>
            <w:r>
              <w:rPr>
                <w:color w:val="auto"/>
                <w:sz w:val="24"/>
              </w:rPr>
              <w:t>实施方案不全面，供货进度安排和配送组织架构不合理，没有进度控制、风险控制管理、质量保障措施</w:t>
            </w:r>
            <w:r>
              <w:rPr>
                <w:rFonts w:hint="eastAsia"/>
                <w:color w:val="auto"/>
                <w:sz w:val="24"/>
              </w:rPr>
              <w:t>的</w:t>
            </w:r>
            <w:r>
              <w:rPr>
                <w:color w:val="auto"/>
                <w:sz w:val="24"/>
              </w:rPr>
              <w:t>，得2分；</w:t>
            </w:r>
          </w:p>
          <w:p w14:paraId="5A8A16AD">
            <w:pPr>
              <w:spacing w:line="300" w:lineRule="auto"/>
              <w:rPr>
                <w:rFonts w:hint="eastAsia" w:ascii="宋体" w:hAnsi="宋体" w:cs="宋体"/>
                <w:color w:val="auto"/>
                <w:sz w:val="24"/>
              </w:rPr>
            </w:pPr>
            <w:r>
              <w:rPr>
                <w:rFonts w:hint="eastAsia" w:ascii="宋体" w:hAnsi="宋体" w:cs="宋体"/>
                <w:color w:val="auto"/>
                <w:sz w:val="24"/>
              </w:rPr>
              <w:t>其他或未提供的得0分。</w:t>
            </w:r>
          </w:p>
        </w:tc>
        <w:tc>
          <w:tcPr>
            <w:tcW w:w="489" w:type="pct"/>
            <w:noWrap w:val="0"/>
            <w:vAlign w:val="center"/>
          </w:tcPr>
          <w:p w14:paraId="6BC32D98">
            <w:pPr>
              <w:spacing w:line="300" w:lineRule="auto"/>
              <w:jc w:val="center"/>
              <w:rPr>
                <w:rFonts w:hint="eastAsia" w:ascii="宋体" w:hAnsi="宋体" w:cs="宋体"/>
                <w:b/>
                <w:bCs/>
                <w:color w:val="auto"/>
                <w:sz w:val="24"/>
              </w:rPr>
            </w:pPr>
            <w:r>
              <w:rPr>
                <w:rFonts w:hint="eastAsia" w:ascii="宋体" w:hAnsi="宋体" w:cs="宋体"/>
                <w:b/>
                <w:bCs/>
                <w:color w:val="auto"/>
                <w:sz w:val="24"/>
              </w:rPr>
              <w:t>6分</w:t>
            </w:r>
          </w:p>
        </w:tc>
      </w:tr>
      <w:tr w14:paraId="3511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19" w:type="pct"/>
            <w:vMerge w:val="continue"/>
            <w:noWrap w:val="0"/>
            <w:vAlign w:val="center"/>
          </w:tcPr>
          <w:p w14:paraId="00A7F108">
            <w:pPr>
              <w:spacing w:before="57" w:beforeLines="20" w:after="4"/>
              <w:jc w:val="center"/>
              <w:rPr>
                <w:rFonts w:hint="eastAsia" w:ascii="宋体" w:hAnsi="宋体" w:cs="宋体"/>
                <w:bCs/>
                <w:color w:val="auto"/>
                <w:sz w:val="24"/>
              </w:rPr>
            </w:pPr>
          </w:p>
        </w:tc>
        <w:tc>
          <w:tcPr>
            <w:tcW w:w="3992" w:type="pct"/>
            <w:noWrap w:val="0"/>
            <w:vAlign w:val="center"/>
          </w:tcPr>
          <w:p w14:paraId="2525235F">
            <w:pPr>
              <w:spacing w:line="360" w:lineRule="auto"/>
              <w:rPr>
                <w:rFonts w:hint="eastAsia" w:ascii="宋体" w:hAnsi="宋体"/>
                <w:b/>
                <w:bCs/>
                <w:color w:val="auto"/>
                <w:sz w:val="24"/>
              </w:rPr>
            </w:pPr>
            <w:r>
              <w:rPr>
                <w:rFonts w:hint="eastAsia" w:ascii="宋体" w:hAnsi="宋体"/>
                <w:b/>
                <w:bCs/>
                <w:color w:val="auto"/>
                <w:sz w:val="24"/>
              </w:rPr>
              <w:t>4.2验收方案</w:t>
            </w:r>
          </w:p>
          <w:p w14:paraId="017F76AA">
            <w:pPr>
              <w:spacing w:line="360" w:lineRule="auto"/>
              <w:rPr>
                <w:bCs/>
                <w:color w:val="auto"/>
                <w:sz w:val="24"/>
              </w:rPr>
            </w:pPr>
            <w:r>
              <w:rPr>
                <w:bCs/>
                <w:color w:val="auto"/>
                <w:sz w:val="24"/>
              </w:rPr>
              <w:t>验收方案全面，验收资料齐全，验收人员安排合理，对设备安装过程中全程记录</w:t>
            </w:r>
            <w:r>
              <w:rPr>
                <w:rFonts w:hint="eastAsia"/>
                <w:bCs/>
                <w:color w:val="auto"/>
                <w:sz w:val="24"/>
              </w:rPr>
              <w:t>的</w:t>
            </w:r>
            <w:r>
              <w:rPr>
                <w:bCs/>
                <w:color w:val="auto"/>
                <w:sz w:val="24"/>
              </w:rPr>
              <w:t>，</w:t>
            </w:r>
            <w:r>
              <w:rPr>
                <w:color w:val="auto"/>
                <w:sz w:val="24"/>
              </w:rPr>
              <w:t>得6分</w:t>
            </w:r>
            <w:r>
              <w:rPr>
                <w:bCs/>
                <w:color w:val="auto"/>
                <w:sz w:val="24"/>
              </w:rPr>
              <w:t>；</w:t>
            </w:r>
          </w:p>
          <w:p w14:paraId="39789306">
            <w:pPr>
              <w:spacing w:line="360" w:lineRule="auto"/>
              <w:rPr>
                <w:bCs/>
                <w:color w:val="auto"/>
                <w:sz w:val="24"/>
              </w:rPr>
            </w:pPr>
            <w:r>
              <w:rPr>
                <w:bCs/>
                <w:color w:val="auto"/>
                <w:sz w:val="24"/>
              </w:rPr>
              <w:t>验收方案较全面，验收资料基本满足要求，验收人员安排缺乏经验，设备安装过程中记录不全</w:t>
            </w:r>
            <w:r>
              <w:rPr>
                <w:rFonts w:hint="eastAsia"/>
                <w:bCs/>
                <w:color w:val="auto"/>
                <w:sz w:val="24"/>
              </w:rPr>
              <w:t>的</w:t>
            </w:r>
            <w:r>
              <w:rPr>
                <w:bCs/>
                <w:color w:val="auto"/>
                <w:sz w:val="24"/>
              </w:rPr>
              <w:t>，</w:t>
            </w:r>
            <w:r>
              <w:rPr>
                <w:color w:val="auto"/>
                <w:sz w:val="24"/>
              </w:rPr>
              <w:t>得4分</w:t>
            </w:r>
            <w:r>
              <w:rPr>
                <w:bCs/>
                <w:color w:val="auto"/>
                <w:sz w:val="24"/>
              </w:rPr>
              <w:t>；</w:t>
            </w:r>
          </w:p>
          <w:p w14:paraId="0B095E79">
            <w:pPr>
              <w:spacing w:line="360" w:lineRule="auto"/>
              <w:rPr>
                <w:rFonts w:hint="eastAsia"/>
                <w:bCs/>
                <w:color w:val="auto"/>
                <w:sz w:val="24"/>
              </w:rPr>
            </w:pPr>
            <w:r>
              <w:rPr>
                <w:bCs/>
                <w:color w:val="auto"/>
                <w:sz w:val="24"/>
              </w:rPr>
              <w:t>验收方案缺失</w:t>
            </w:r>
            <w:r>
              <w:rPr>
                <w:rFonts w:hint="eastAsia"/>
                <w:bCs/>
                <w:color w:val="auto"/>
                <w:sz w:val="24"/>
              </w:rPr>
              <w:t>部分</w:t>
            </w:r>
            <w:r>
              <w:rPr>
                <w:bCs/>
                <w:color w:val="auto"/>
                <w:sz w:val="24"/>
              </w:rPr>
              <w:t>，验收资料</w:t>
            </w:r>
            <w:r>
              <w:rPr>
                <w:rFonts w:hint="eastAsia"/>
                <w:bCs/>
                <w:color w:val="auto"/>
                <w:sz w:val="24"/>
              </w:rPr>
              <w:t>较为</w:t>
            </w:r>
            <w:r>
              <w:rPr>
                <w:bCs/>
                <w:color w:val="auto"/>
                <w:sz w:val="24"/>
              </w:rPr>
              <w:t>混乱，安排验收人员</w:t>
            </w:r>
            <w:r>
              <w:rPr>
                <w:rFonts w:hint="eastAsia"/>
                <w:bCs/>
                <w:color w:val="auto"/>
                <w:sz w:val="24"/>
              </w:rPr>
              <w:t>无经验</w:t>
            </w:r>
            <w:r>
              <w:rPr>
                <w:bCs/>
                <w:color w:val="auto"/>
                <w:sz w:val="24"/>
              </w:rPr>
              <w:t>，安装过程资料丢失</w:t>
            </w:r>
            <w:r>
              <w:rPr>
                <w:rFonts w:hint="eastAsia"/>
                <w:bCs/>
                <w:color w:val="auto"/>
                <w:sz w:val="24"/>
              </w:rPr>
              <w:t>的</w:t>
            </w:r>
            <w:r>
              <w:rPr>
                <w:bCs/>
                <w:color w:val="auto"/>
                <w:sz w:val="24"/>
              </w:rPr>
              <w:t>，</w:t>
            </w:r>
            <w:r>
              <w:rPr>
                <w:color w:val="auto"/>
                <w:sz w:val="24"/>
              </w:rPr>
              <w:t>得2分</w:t>
            </w:r>
            <w:r>
              <w:rPr>
                <w:rFonts w:hint="eastAsia"/>
                <w:color w:val="auto"/>
                <w:sz w:val="24"/>
              </w:rPr>
              <w:t>；</w:t>
            </w:r>
          </w:p>
          <w:p w14:paraId="2742FCEC">
            <w:pPr>
              <w:spacing w:line="300" w:lineRule="auto"/>
              <w:rPr>
                <w:rFonts w:hint="eastAsia" w:ascii="宋体" w:hAnsi="宋体" w:cs="宋体"/>
                <w:color w:val="auto"/>
                <w:sz w:val="24"/>
              </w:rPr>
            </w:pPr>
            <w:r>
              <w:rPr>
                <w:rFonts w:hint="eastAsia" w:ascii="宋体" w:hAnsi="宋体"/>
                <w:color w:val="auto"/>
                <w:sz w:val="24"/>
              </w:rPr>
              <w:t>其他或未提供的得0分。</w:t>
            </w:r>
          </w:p>
        </w:tc>
        <w:tc>
          <w:tcPr>
            <w:tcW w:w="489" w:type="pct"/>
            <w:noWrap w:val="0"/>
            <w:vAlign w:val="center"/>
          </w:tcPr>
          <w:p w14:paraId="137550F3">
            <w:pPr>
              <w:spacing w:line="300" w:lineRule="auto"/>
              <w:jc w:val="center"/>
              <w:rPr>
                <w:rFonts w:hint="eastAsia" w:ascii="宋体" w:hAnsi="宋体" w:cs="宋体"/>
                <w:b/>
                <w:bCs/>
                <w:color w:val="auto"/>
                <w:sz w:val="24"/>
              </w:rPr>
            </w:pPr>
            <w:r>
              <w:rPr>
                <w:rFonts w:ascii="宋体" w:hAnsi="宋体" w:cs="宋体"/>
                <w:b/>
                <w:bCs/>
                <w:color w:val="auto"/>
                <w:sz w:val="24"/>
              </w:rPr>
              <w:t>6</w:t>
            </w:r>
            <w:r>
              <w:rPr>
                <w:rFonts w:hint="eastAsia" w:ascii="宋体" w:hAnsi="宋体" w:cs="宋体"/>
                <w:b/>
                <w:bCs/>
                <w:color w:val="auto"/>
                <w:sz w:val="24"/>
              </w:rPr>
              <w:t>分</w:t>
            </w:r>
          </w:p>
        </w:tc>
      </w:tr>
      <w:tr w14:paraId="323E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19" w:type="pct"/>
            <w:vMerge w:val="continue"/>
            <w:noWrap w:val="0"/>
            <w:vAlign w:val="center"/>
          </w:tcPr>
          <w:p w14:paraId="4C937519">
            <w:pPr>
              <w:spacing w:before="57" w:beforeLines="20" w:after="4"/>
              <w:jc w:val="center"/>
              <w:rPr>
                <w:rFonts w:hint="eastAsia" w:ascii="宋体" w:hAnsi="宋体" w:cs="宋体"/>
                <w:b/>
                <w:color w:val="auto"/>
                <w:sz w:val="24"/>
              </w:rPr>
            </w:pPr>
          </w:p>
        </w:tc>
        <w:tc>
          <w:tcPr>
            <w:tcW w:w="3992" w:type="pct"/>
            <w:noWrap w:val="0"/>
            <w:vAlign w:val="center"/>
          </w:tcPr>
          <w:p w14:paraId="77C28E24">
            <w:pPr>
              <w:spacing w:line="360" w:lineRule="auto"/>
              <w:rPr>
                <w:b/>
                <w:bCs/>
                <w:color w:val="auto"/>
                <w:sz w:val="24"/>
              </w:rPr>
            </w:pPr>
            <w:r>
              <w:rPr>
                <w:rFonts w:hint="eastAsia"/>
                <w:b/>
                <w:bCs/>
                <w:color w:val="auto"/>
                <w:sz w:val="24"/>
              </w:rPr>
              <w:t>3.3</w:t>
            </w:r>
            <w:r>
              <w:rPr>
                <w:b/>
                <w:bCs/>
                <w:color w:val="auto"/>
                <w:sz w:val="24"/>
              </w:rPr>
              <w:t>售后服务方案</w:t>
            </w:r>
          </w:p>
          <w:p w14:paraId="6D742E69">
            <w:pPr>
              <w:widowControl/>
              <w:spacing w:line="360" w:lineRule="auto"/>
              <w:rPr>
                <w:color w:val="auto"/>
                <w:sz w:val="24"/>
              </w:rPr>
            </w:pPr>
            <w:r>
              <w:rPr>
                <w:color w:val="auto"/>
                <w:sz w:val="24"/>
              </w:rPr>
              <w:t>售后服务方案全面合理，服务流程及内容具体，响应时间迅速，服务人员齐备</w:t>
            </w:r>
            <w:r>
              <w:rPr>
                <w:rFonts w:hint="eastAsia"/>
                <w:color w:val="auto"/>
                <w:sz w:val="24"/>
              </w:rPr>
              <w:t>的</w:t>
            </w:r>
            <w:r>
              <w:rPr>
                <w:color w:val="auto"/>
                <w:sz w:val="24"/>
              </w:rPr>
              <w:t>，得6分；</w:t>
            </w:r>
          </w:p>
          <w:p w14:paraId="39F08419">
            <w:pPr>
              <w:widowControl/>
              <w:spacing w:line="360" w:lineRule="auto"/>
              <w:rPr>
                <w:color w:val="auto"/>
                <w:sz w:val="24"/>
              </w:rPr>
            </w:pPr>
            <w:r>
              <w:rPr>
                <w:color w:val="auto"/>
                <w:sz w:val="24"/>
              </w:rPr>
              <w:t>售后服务方案较全面，有基本服务流程及内容，响应时间较为迅速，服务人员匹配基本满足需求</w:t>
            </w:r>
            <w:r>
              <w:rPr>
                <w:rFonts w:hint="eastAsia"/>
                <w:color w:val="auto"/>
                <w:sz w:val="24"/>
              </w:rPr>
              <w:t>的</w:t>
            </w:r>
            <w:r>
              <w:rPr>
                <w:color w:val="auto"/>
                <w:sz w:val="24"/>
              </w:rPr>
              <w:t>，得4分；</w:t>
            </w:r>
          </w:p>
          <w:p w14:paraId="581FA0F4">
            <w:pPr>
              <w:spacing w:line="360" w:lineRule="auto"/>
              <w:rPr>
                <w:rFonts w:hint="eastAsia"/>
                <w:color w:val="auto"/>
                <w:sz w:val="24"/>
              </w:rPr>
            </w:pPr>
            <w:r>
              <w:rPr>
                <w:color w:val="auto"/>
                <w:sz w:val="24"/>
              </w:rPr>
              <w:t>售后服务方案较片面，服务流程及内容空洞或欠缺，响应时间缓慢，服务人员匹配欠缺</w:t>
            </w:r>
            <w:r>
              <w:rPr>
                <w:rFonts w:hint="eastAsia"/>
                <w:color w:val="auto"/>
                <w:sz w:val="24"/>
              </w:rPr>
              <w:t>的</w:t>
            </w:r>
            <w:r>
              <w:rPr>
                <w:color w:val="auto"/>
                <w:sz w:val="24"/>
              </w:rPr>
              <w:t>，得2分</w:t>
            </w:r>
            <w:r>
              <w:rPr>
                <w:rFonts w:hint="eastAsia"/>
                <w:color w:val="auto"/>
                <w:sz w:val="24"/>
              </w:rPr>
              <w:t>；</w:t>
            </w:r>
          </w:p>
          <w:p w14:paraId="7340BC43">
            <w:pPr>
              <w:spacing w:line="300" w:lineRule="auto"/>
              <w:rPr>
                <w:rFonts w:hint="eastAsia" w:ascii="宋体" w:hAnsi="宋体" w:cs="宋体"/>
                <w:color w:val="auto"/>
                <w:sz w:val="24"/>
              </w:rPr>
            </w:pPr>
            <w:bookmarkStart w:id="52" w:name="OLE_LINK6"/>
            <w:r>
              <w:rPr>
                <w:rFonts w:hint="eastAsia" w:ascii="宋体" w:hAnsi="宋体" w:cs="宋体"/>
                <w:color w:val="auto"/>
                <w:sz w:val="24"/>
              </w:rPr>
              <w:t>其他或</w:t>
            </w:r>
            <w:bookmarkEnd w:id="52"/>
            <w:r>
              <w:rPr>
                <w:rFonts w:hint="eastAsia" w:ascii="宋体" w:hAnsi="宋体" w:cs="宋体"/>
                <w:color w:val="auto"/>
                <w:sz w:val="24"/>
              </w:rPr>
              <w:t>未提供得0分。</w:t>
            </w:r>
          </w:p>
        </w:tc>
        <w:tc>
          <w:tcPr>
            <w:tcW w:w="489" w:type="pct"/>
            <w:noWrap w:val="0"/>
            <w:vAlign w:val="center"/>
          </w:tcPr>
          <w:p w14:paraId="26F2D2E8">
            <w:pPr>
              <w:spacing w:line="300" w:lineRule="auto"/>
              <w:jc w:val="center"/>
              <w:rPr>
                <w:rFonts w:hint="eastAsia" w:ascii="宋体" w:hAnsi="宋体" w:cs="宋体"/>
                <w:b/>
                <w:color w:val="auto"/>
                <w:sz w:val="24"/>
              </w:rPr>
            </w:pPr>
            <w:r>
              <w:rPr>
                <w:rFonts w:ascii="宋体" w:hAnsi="宋体" w:cs="宋体"/>
                <w:b/>
                <w:color w:val="auto"/>
                <w:sz w:val="24"/>
              </w:rPr>
              <w:t>6</w:t>
            </w:r>
            <w:r>
              <w:rPr>
                <w:rFonts w:hint="eastAsia" w:ascii="宋体" w:hAnsi="宋体" w:cs="宋体"/>
                <w:b/>
                <w:color w:val="auto"/>
                <w:sz w:val="24"/>
              </w:rPr>
              <w:t>分</w:t>
            </w:r>
          </w:p>
        </w:tc>
      </w:tr>
      <w:tr w14:paraId="2CF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19" w:type="pct"/>
            <w:vMerge w:val="continue"/>
            <w:noWrap w:val="0"/>
            <w:vAlign w:val="center"/>
          </w:tcPr>
          <w:p w14:paraId="405E9BC6">
            <w:pPr>
              <w:spacing w:line="400" w:lineRule="exact"/>
              <w:jc w:val="center"/>
              <w:rPr>
                <w:rFonts w:hint="eastAsia" w:ascii="宋体" w:hAnsi="宋体" w:cs="宋体"/>
                <w:b/>
                <w:color w:val="auto"/>
                <w:sz w:val="24"/>
              </w:rPr>
            </w:pPr>
          </w:p>
        </w:tc>
        <w:tc>
          <w:tcPr>
            <w:tcW w:w="3992" w:type="pct"/>
            <w:noWrap w:val="0"/>
            <w:vAlign w:val="center"/>
          </w:tcPr>
          <w:p w14:paraId="0C13C32D">
            <w:pPr>
              <w:spacing w:line="360" w:lineRule="auto"/>
              <w:rPr>
                <w:b/>
                <w:color w:val="auto"/>
                <w:sz w:val="24"/>
              </w:rPr>
            </w:pPr>
            <w:r>
              <w:rPr>
                <w:rFonts w:hint="eastAsia"/>
                <w:b/>
                <w:color w:val="auto"/>
                <w:sz w:val="24"/>
              </w:rPr>
              <w:t>3.4</w:t>
            </w:r>
            <w:r>
              <w:rPr>
                <w:b/>
                <w:color w:val="auto"/>
                <w:sz w:val="24"/>
              </w:rPr>
              <w:t>培训方案</w:t>
            </w:r>
          </w:p>
          <w:p w14:paraId="655FFCB9">
            <w:pPr>
              <w:widowControl/>
              <w:spacing w:line="360" w:lineRule="auto"/>
              <w:rPr>
                <w:color w:val="auto"/>
                <w:sz w:val="24"/>
              </w:rPr>
            </w:pPr>
            <w:r>
              <w:rPr>
                <w:color w:val="auto"/>
                <w:sz w:val="24"/>
              </w:rPr>
              <w:t>培训方案全面合理有效，具有详细的培训计划、培训师资力量、培训内容，得6分；</w:t>
            </w:r>
          </w:p>
          <w:p w14:paraId="56556FF2">
            <w:pPr>
              <w:widowControl/>
              <w:spacing w:line="360" w:lineRule="auto"/>
              <w:rPr>
                <w:color w:val="auto"/>
                <w:sz w:val="24"/>
              </w:rPr>
            </w:pPr>
            <w:r>
              <w:rPr>
                <w:color w:val="auto"/>
                <w:sz w:val="24"/>
              </w:rPr>
              <w:t>培训方案不够全面，有效性欠缺，培训计划、培训师资力量、培训内容不够详细，得</w:t>
            </w:r>
            <w:r>
              <w:rPr>
                <w:rFonts w:hint="eastAsia"/>
                <w:color w:val="auto"/>
                <w:sz w:val="24"/>
              </w:rPr>
              <w:t>4</w:t>
            </w:r>
            <w:r>
              <w:rPr>
                <w:color w:val="auto"/>
                <w:sz w:val="24"/>
              </w:rPr>
              <w:t>分；</w:t>
            </w:r>
          </w:p>
          <w:p w14:paraId="5DABD2DA">
            <w:pPr>
              <w:spacing w:line="360" w:lineRule="auto"/>
              <w:rPr>
                <w:color w:val="auto"/>
                <w:sz w:val="24"/>
              </w:rPr>
            </w:pPr>
            <w:r>
              <w:rPr>
                <w:color w:val="auto"/>
                <w:sz w:val="24"/>
              </w:rPr>
              <w:t>培训方案片面，不具有执行有效性，培训计划、培训师资力量、培训内容不详细，得2分。</w:t>
            </w:r>
          </w:p>
          <w:p w14:paraId="06DE4563">
            <w:pPr>
              <w:spacing w:line="300" w:lineRule="auto"/>
              <w:rPr>
                <w:rFonts w:hint="eastAsia" w:ascii="宋体" w:hAnsi="宋体" w:cs="宋体"/>
                <w:color w:val="auto"/>
                <w:sz w:val="24"/>
              </w:rPr>
            </w:pPr>
            <w:r>
              <w:rPr>
                <w:rFonts w:hint="eastAsia" w:ascii="宋体" w:hAnsi="宋体" w:cs="宋体"/>
                <w:color w:val="auto"/>
                <w:sz w:val="24"/>
              </w:rPr>
              <w:t>其他或未提供的得0分。</w:t>
            </w:r>
          </w:p>
        </w:tc>
        <w:tc>
          <w:tcPr>
            <w:tcW w:w="489" w:type="pct"/>
            <w:noWrap w:val="0"/>
            <w:vAlign w:val="center"/>
          </w:tcPr>
          <w:p w14:paraId="0A75A633">
            <w:pPr>
              <w:jc w:val="center"/>
              <w:rPr>
                <w:rFonts w:hint="eastAsia" w:ascii="宋体" w:hAnsi="宋体" w:cs="宋体"/>
                <w:b/>
                <w:color w:val="auto"/>
                <w:sz w:val="24"/>
              </w:rPr>
            </w:pPr>
            <w:r>
              <w:rPr>
                <w:rFonts w:ascii="宋体" w:hAnsi="宋体" w:cs="宋体"/>
                <w:b/>
                <w:color w:val="auto"/>
                <w:sz w:val="24"/>
              </w:rPr>
              <w:t>6</w:t>
            </w:r>
            <w:r>
              <w:rPr>
                <w:rFonts w:hint="eastAsia" w:ascii="宋体" w:hAnsi="宋体" w:cs="宋体"/>
                <w:b/>
                <w:color w:val="auto"/>
                <w:sz w:val="24"/>
              </w:rPr>
              <w:t>分</w:t>
            </w:r>
          </w:p>
        </w:tc>
      </w:tr>
      <w:tr w14:paraId="7FC1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19" w:type="pct"/>
            <w:vMerge w:val="restart"/>
            <w:noWrap w:val="0"/>
            <w:vAlign w:val="center"/>
          </w:tcPr>
          <w:p w14:paraId="729B4518">
            <w:pPr>
              <w:spacing w:line="400" w:lineRule="exact"/>
              <w:jc w:val="center"/>
              <w:rPr>
                <w:rFonts w:hint="eastAsia" w:ascii="宋体" w:hAnsi="宋体" w:cs="宋体"/>
                <w:b/>
                <w:color w:val="auto"/>
                <w:sz w:val="24"/>
              </w:rPr>
            </w:pPr>
            <w:r>
              <w:rPr>
                <w:rFonts w:hint="eastAsia" w:ascii="宋体" w:hAnsi="宋体" w:cs="宋体"/>
                <w:b/>
                <w:color w:val="auto"/>
                <w:sz w:val="24"/>
              </w:rPr>
              <w:t>（四）综合实力</w:t>
            </w:r>
          </w:p>
        </w:tc>
        <w:tc>
          <w:tcPr>
            <w:tcW w:w="3992" w:type="pct"/>
            <w:noWrap w:val="0"/>
            <w:vAlign w:val="center"/>
          </w:tcPr>
          <w:p w14:paraId="43AE2678">
            <w:pPr>
              <w:spacing w:line="360" w:lineRule="auto"/>
              <w:rPr>
                <w:b/>
                <w:bCs/>
                <w:color w:val="auto"/>
                <w:sz w:val="24"/>
              </w:rPr>
            </w:pPr>
            <w:r>
              <w:rPr>
                <w:rFonts w:hint="eastAsia"/>
                <w:b/>
                <w:bCs/>
                <w:color w:val="auto"/>
                <w:sz w:val="24"/>
              </w:rPr>
              <w:t>4.1</w:t>
            </w:r>
            <w:r>
              <w:rPr>
                <w:b/>
                <w:bCs/>
                <w:color w:val="auto"/>
                <w:sz w:val="24"/>
              </w:rPr>
              <w:t>业绩</w:t>
            </w:r>
          </w:p>
          <w:p w14:paraId="53B7D0E9">
            <w:pPr>
              <w:spacing w:line="360" w:lineRule="auto"/>
              <w:rPr>
                <w:rFonts w:hint="eastAsia"/>
                <w:b/>
                <w:color w:val="auto"/>
                <w:sz w:val="24"/>
              </w:rPr>
            </w:pPr>
            <w:r>
              <w:rPr>
                <w:color w:val="auto"/>
                <w:sz w:val="24"/>
              </w:rPr>
              <w:t>投标人提供自202</w:t>
            </w:r>
            <w:r>
              <w:rPr>
                <w:rFonts w:hint="eastAsia"/>
                <w:color w:val="auto"/>
                <w:sz w:val="24"/>
              </w:rPr>
              <w:t>2</w:t>
            </w:r>
            <w:r>
              <w:rPr>
                <w:color w:val="auto"/>
                <w:sz w:val="24"/>
              </w:rPr>
              <w:t>年1月1日</w:t>
            </w:r>
            <w:r>
              <w:rPr>
                <w:rFonts w:hint="eastAsia"/>
                <w:color w:val="auto"/>
                <w:sz w:val="24"/>
              </w:rPr>
              <w:t>（含）（时间以合同签订时间为准）</w:t>
            </w:r>
            <w:r>
              <w:rPr>
                <w:color w:val="auto"/>
                <w:sz w:val="24"/>
              </w:rPr>
              <w:t>以来同类产品的销售业绩，每提供一份得2分，最多得10分。</w:t>
            </w:r>
            <w:r>
              <w:rPr>
                <w:b/>
                <w:bCs/>
                <w:color w:val="auto"/>
                <w:sz w:val="24"/>
              </w:rPr>
              <w:t>（提供合同</w:t>
            </w:r>
            <w:r>
              <w:rPr>
                <w:rFonts w:hint="eastAsia"/>
                <w:b/>
                <w:bCs/>
                <w:color w:val="auto"/>
                <w:sz w:val="24"/>
                <w:lang w:val="en-US" w:eastAsia="zh-CN"/>
              </w:rPr>
              <w:t>及发票</w:t>
            </w:r>
            <w:r>
              <w:rPr>
                <w:b/>
                <w:bCs/>
                <w:color w:val="auto"/>
                <w:sz w:val="24"/>
              </w:rPr>
              <w:t>复印件并加盖公章，合同中须含有清晰可见的标的物以及盖章或签字部分所在页</w:t>
            </w:r>
            <w:r>
              <w:rPr>
                <w:rFonts w:hint="eastAsia"/>
                <w:b/>
                <w:bCs/>
                <w:color w:val="auto"/>
                <w:sz w:val="24"/>
                <w:lang w:eastAsia="zh-CN"/>
              </w:rPr>
              <w:t>，</w:t>
            </w:r>
            <w:r>
              <w:rPr>
                <w:rFonts w:hint="eastAsia"/>
                <w:b/>
                <w:bCs/>
                <w:color w:val="auto"/>
                <w:sz w:val="24"/>
                <w:lang w:val="en-US" w:eastAsia="zh-CN"/>
              </w:rPr>
              <w:t>原件备查</w:t>
            </w:r>
            <w:r>
              <w:rPr>
                <w:b/>
                <w:bCs/>
                <w:color w:val="auto"/>
                <w:sz w:val="24"/>
              </w:rPr>
              <w:t>）</w:t>
            </w:r>
          </w:p>
        </w:tc>
        <w:tc>
          <w:tcPr>
            <w:tcW w:w="489" w:type="pct"/>
            <w:noWrap w:val="0"/>
            <w:vAlign w:val="center"/>
          </w:tcPr>
          <w:p w14:paraId="48F0734E">
            <w:pPr>
              <w:jc w:val="center"/>
              <w:rPr>
                <w:rFonts w:hint="eastAsia" w:ascii="宋体" w:hAnsi="宋体" w:cs="宋体"/>
                <w:b/>
                <w:color w:val="auto"/>
                <w:sz w:val="24"/>
              </w:rPr>
            </w:pPr>
            <w:r>
              <w:rPr>
                <w:rFonts w:hint="eastAsia" w:ascii="宋体" w:hAnsi="宋体" w:cs="宋体"/>
                <w:b/>
                <w:color w:val="auto"/>
                <w:sz w:val="24"/>
              </w:rPr>
              <w:t>10分</w:t>
            </w:r>
          </w:p>
        </w:tc>
      </w:tr>
      <w:tr w14:paraId="1C1D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9" w:type="pct"/>
            <w:vMerge w:val="continue"/>
            <w:noWrap w:val="0"/>
            <w:vAlign w:val="center"/>
          </w:tcPr>
          <w:p w14:paraId="5E4C6C78">
            <w:pPr>
              <w:spacing w:before="57" w:beforeLines="20" w:after="4"/>
              <w:jc w:val="center"/>
              <w:rPr>
                <w:rFonts w:hint="eastAsia" w:ascii="宋体" w:hAnsi="宋体" w:cs="宋体"/>
                <w:bCs/>
                <w:color w:val="auto"/>
                <w:sz w:val="24"/>
              </w:rPr>
            </w:pPr>
          </w:p>
        </w:tc>
        <w:tc>
          <w:tcPr>
            <w:tcW w:w="3992" w:type="pct"/>
            <w:noWrap w:val="0"/>
            <w:vAlign w:val="center"/>
          </w:tcPr>
          <w:p w14:paraId="13A6A598">
            <w:pPr>
              <w:spacing w:line="300" w:lineRule="auto"/>
              <w:rPr>
                <w:rFonts w:hint="eastAsia" w:ascii="宋体" w:hAnsi="宋体" w:cs="宋体"/>
                <w:color w:val="auto"/>
                <w:sz w:val="24"/>
              </w:rPr>
            </w:pPr>
            <w:r>
              <w:rPr>
                <w:rFonts w:hint="eastAsia"/>
                <w:b/>
                <w:bCs/>
                <w:color w:val="auto"/>
                <w:sz w:val="24"/>
              </w:rPr>
              <w:t>4.2 ISO体系认证证书</w:t>
            </w:r>
            <w:r>
              <w:rPr>
                <w:rFonts w:hint="eastAsia"/>
                <w:color w:val="auto"/>
                <w:sz w:val="24"/>
              </w:rPr>
              <w:br w:type="textWrapping"/>
            </w:r>
            <w:r>
              <w:rPr>
                <w:rFonts w:hint="eastAsia"/>
                <w:color w:val="auto"/>
                <w:sz w:val="24"/>
              </w:rPr>
              <w:t>投标人具有职业健康安全管理体系认证、环境管理体系认证、质量管理体系认证，每提供1个得1分，最多得3分。</w:t>
            </w:r>
            <w:r>
              <w:rPr>
                <w:rFonts w:hint="eastAsia"/>
                <w:b/>
                <w:bCs/>
                <w:color w:val="auto"/>
                <w:sz w:val="24"/>
              </w:rPr>
              <w:t>（提供证书复印件加盖公章，并提供查询网站截图）</w:t>
            </w:r>
          </w:p>
        </w:tc>
        <w:tc>
          <w:tcPr>
            <w:tcW w:w="489" w:type="pct"/>
            <w:noWrap w:val="0"/>
            <w:vAlign w:val="center"/>
          </w:tcPr>
          <w:p w14:paraId="2C184F32">
            <w:pPr>
              <w:jc w:val="center"/>
              <w:rPr>
                <w:rFonts w:hint="eastAsia" w:ascii="宋体" w:hAnsi="宋体" w:cs="宋体"/>
                <w:bCs/>
                <w:color w:val="auto"/>
                <w:sz w:val="24"/>
              </w:rPr>
            </w:pPr>
            <w:r>
              <w:rPr>
                <w:rFonts w:hint="eastAsia" w:ascii="宋体" w:hAnsi="宋体" w:cs="宋体"/>
                <w:b/>
                <w:color w:val="auto"/>
                <w:sz w:val="24"/>
              </w:rPr>
              <w:t>3分</w:t>
            </w:r>
          </w:p>
        </w:tc>
      </w:tr>
      <w:tr w14:paraId="6037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9" w:type="pct"/>
            <w:vMerge w:val="continue"/>
            <w:noWrap w:val="0"/>
            <w:vAlign w:val="center"/>
          </w:tcPr>
          <w:p w14:paraId="2B0B8647">
            <w:pPr>
              <w:spacing w:before="57" w:beforeLines="20" w:after="4"/>
              <w:jc w:val="center"/>
              <w:rPr>
                <w:rFonts w:hint="eastAsia" w:ascii="宋体" w:hAnsi="宋体" w:cs="宋体"/>
                <w:bCs/>
                <w:color w:val="auto"/>
                <w:sz w:val="24"/>
              </w:rPr>
            </w:pPr>
          </w:p>
        </w:tc>
        <w:tc>
          <w:tcPr>
            <w:tcW w:w="3992" w:type="pct"/>
            <w:noWrap w:val="0"/>
            <w:vAlign w:val="center"/>
          </w:tcPr>
          <w:p w14:paraId="1835A143">
            <w:pPr>
              <w:spacing w:line="300" w:lineRule="auto"/>
              <w:rPr>
                <w:b/>
                <w:bCs/>
                <w:color w:val="auto"/>
                <w:sz w:val="24"/>
              </w:rPr>
            </w:pPr>
            <w:r>
              <w:rPr>
                <w:rFonts w:hint="eastAsia"/>
                <w:b/>
                <w:bCs/>
                <w:color w:val="auto"/>
                <w:sz w:val="24"/>
              </w:rPr>
              <w:t>4.3服务响应时间要求</w:t>
            </w:r>
          </w:p>
          <w:p w14:paraId="7CA1C216">
            <w:pPr>
              <w:spacing w:line="300" w:lineRule="auto"/>
              <w:rPr>
                <w:rFonts w:hint="eastAsia"/>
                <w:b/>
                <w:bCs/>
                <w:color w:val="auto"/>
                <w:sz w:val="24"/>
              </w:rPr>
            </w:pPr>
            <w:r>
              <w:rPr>
                <w:rFonts w:hint="eastAsia"/>
                <w:color w:val="auto"/>
                <w:sz w:val="24"/>
              </w:rPr>
              <w:t>发生故障后，于</w:t>
            </w:r>
            <w:r>
              <w:rPr>
                <w:rFonts w:hint="eastAsia"/>
                <w:color w:val="auto"/>
                <w:sz w:val="24"/>
                <w:u w:val="single"/>
              </w:rPr>
              <w:t>1</w:t>
            </w:r>
            <w:r>
              <w:rPr>
                <w:rFonts w:hint="eastAsia"/>
                <w:color w:val="auto"/>
                <w:sz w:val="24"/>
              </w:rPr>
              <w:t>小时内响应，</w:t>
            </w:r>
            <w:r>
              <w:rPr>
                <w:color w:val="auto"/>
                <w:sz w:val="24"/>
                <w:u w:val="single"/>
              </w:rPr>
              <w:t>3</w:t>
            </w:r>
            <w:r>
              <w:rPr>
                <w:rFonts w:hint="eastAsia"/>
                <w:color w:val="auto"/>
                <w:sz w:val="24"/>
              </w:rPr>
              <w:t>小时内到达现场，提出解决方案，并于</w:t>
            </w:r>
            <w:r>
              <w:rPr>
                <w:rFonts w:hint="eastAsia"/>
                <w:color w:val="auto"/>
                <w:sz w:val="24"/>
                <w:u w:val="single"/>
              </w:rPr>
              <w:t xml:space="preserve">24 </w:t>
            </w:r>
            <w:r>
              <w:rPr>
                <w:rFonts w:hint="eastAsia"/>
                <w:color w:val="auto"/>
                <w:sz w:val="24"/>
              </w:rPr>
              <w:t>小时内修复，提供承诺函得3分，未提供不得分。</w:t>
            </w:r>
            <w:r>
              <w:rPr>
                <w:rFonts w:hint="eastAsia"/>
                <w:b/>
                <w:bCs/>
                <w:color w:val="auto"/>
                <w:sz w:val="24"/>
              </w:rPr>
              <w:t>（提供承诺函，格式自拟）</w:t>
            </w:r>
          </w:p>
        </w:tc>
        <w:tc>
          <w:tcPr>
            <w:tcW w:w="489" w:type="pct"/>
            <w:noWrap w:val="0"/>
            <w:vAlign w:val="center"/>
          </w:tcPr>
          <w:p w14:paraId="76C56D96">
            <w:pPr>
              <w:jc w:val="center"/>
              <w:rPr>
                <w:rFonts w:hint="eastAsia" w:ascii="宋体" w:hAnsi="宋体" w:cs="宋体"/>
                <w:b/>
                <w:color w:val="auto"/>
                <w:sz w:val="24"/>
              </w:rPr>
            </w:pPr>
            <w:r>
              <w:rPr>
                <w:rFonts w:hint="eastAsia" w:ascii="宋体" w:hAnsi="宋体" w:cs="宋体"/>
                <w:b/>
                <w:color w:val="auto"/>
                <w:sz w:val="24"/>
              </w:rPr>
              <w:t>3分</w:t>
            </w:r>
          </w:p>
        </w:tc>
      </w:tr>
    </w:tbl>
    <w:p w14:paraId="1B4C6DC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13DAB1B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所有认证、证明和业绩均以有效清晰的证明文件的复印件为依据。注：采购人与中标人在签订合同时,有权要求中标人提供其投标文件中的承诺响应的证明材料原件进行真实性核实，如中标人无法提供,或无法核实真实性的,则视为虚假响应。</w:t>
      </w:r>
    </w:p>
    <w:p w14:paraId="0C9D5CEB">
      <w:pPr>
        <w:ind w:firstLine="480" w:firstLineChars="200"/>
        <w:rPr>
          <w:rFonts w:ascii="宋体" w:hAnsi="宋体" w:eastAsia="宋体" w:cs="宋体"/>
          <w:bCs/>
          <w:color w:val="auto"/>
          <w:sz w:val="24"/>
          <w:szCs w:val="24"/>
        </w:rPr>
      </w:pPr>
    </w:p>
    <w:p w14:paraId="6669786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5CD630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DDA98B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55034A8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75A8B03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174C1F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F80E12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5B601AE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251EAFF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60EFE31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5B72B54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E11D050">
      <w:pPr>
        <w:spacing w:line="360" w:lineRule="auto"/>
        <w:ind w:firstLine="482" w:firstLineChars="200"/>
        <w:rPr>
          <w:rFonts w:ascii="宋体" w:hAnsi="宋体" w:eastAsia="宋体" w:cs="宋体"/>
          <w:b/>
          <w:bCs/>
          <w:color w:val="auto"/>
          <w:sz w:val="24"/>
          <w:szCs w:val="24"/>
        </w:rPr>
      </w:pPr>
    </w:p>
    <w:p w14:paraId="3EE4CBDA">
      <w:pPr>
        <w:pStyle w:val="34"/>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5C5B60D7">
      <w:pPr>
        <w:spacing w:line="360" w:lineRule="auto"/>
        <w:jc w:val="center"/>
        <w:rPr>
          <w:rFonts w:ascii="宋体" w:hAnsi="宋体" w:eastAsia="宋体" w:cs="宋体"/>
          <w:b/>
          <w:bCs/>
          <w:color w:val="auto"/>
          <w:sz w:val="36"/>
          <w:szCs w:val="36"/>
        </w:rPr>
      </w:pPr>
    </w:p>
    <w:p w14:paraId="2A751653">
      <w:pPr>
        <w:pStyle w:val="2"/>
        <w:keepNext/>
        <w:keepLines w:val="0"/>
        <w:pageBreakBefore/>
        <w:widowControl w:val="0"/>
        <w:numPr>
          <w:ilvl w:val="0"/>
          <w:numId w:val="5"/>
        </w:numPr>
        <w:kinsoku/>
        <w:wordWrap/>
        <w:overflowPunct/>
        <w:topLinePunct w:val="0"/>
        <w:autoSpaceDE/>
        <w:autoSpaceDN/>
        <w:bidi w:val="0"/>
        <w:adjustRightInd/>
        <w:snapToGrid/>
        <w:textAlignment w:val="auto"/>
        <w:rPr>
          <w:rFonts w:ascii="宋体" w:hAnsi="宋体" w:eastAsia="宋体" w:cs="宋体"/>
          <w:b/>
          <w:bCs/>
          <w:color w:val="auto"/>
          <w:sz w:val="32"/>
          <w:szCs w:val="32"/>
        </w:rPr>
      </w:pPr>
      <w:bookmarkStart w:id="53" w:name="_Toc13969"/>
      <w:r>
        <w:rPr>
          <w:rFonts w:hint="eastAsia" w:ascii="宋体" w:hAnsi="宋体" w:eastAsia="宋体" w:cs="宋体"/>
          <w:b/>
          <w:bCs/>
          <w:color w:val="auto"/>
          <w:sz w:val="32"/>
          <w:szCs w:val="32"/>
        </w:rPr>
        <w:t xml:space="preserve"> 拟签订的合同文本</w:t>
      </w:r>
      <w:bookmarkEnd w:id="53"/>
    </w:p>
    <w:p w14:paraId="48C61ECB">
      <w:pPr>
        <w:spacing w:line="360" w:lineRule="auto"/>
        <w:ind w:firstLine="480" w:firstLineChars="200"/>
        <w:rPr>
          <w:rFonts w:hint="eastAsia" w:ascii="宋体" w:hAnsi="宋体" w:eastAsia="宋体" w:cs="宋体"/>
          <w:bCs/>
          <w:color w:val="auto"/>
          <w:sz w:val="24"/>
        </w:rPr>
      </w:pPr>
      <w:bookmarkStart w:id="54" w:name="_Toc16938559"/>
      <w:bookmarkStart w:id="55" w:name="_Toc513029243"/>
      <w:bookmarkStart w:id="56" w:name="_Toc20823315"/>
      <w:r>
        <w:rPr>
          <w:rFonts w:hint="eastAsia" w:ascii="宋体" w:hAnsi="宋体" w:eastAsia="宋体" w:cs="宋体"/>
          <w:bCs/>
          <w:color w:val="auto"/>
          <w:sz w:val="24"/>
        </w:rPr>
        <w:t>以下为中标后签订本项目合同的通用条款，中标人不得提出实质性的修改，关于专用条款将由采购人与中标人结合本项目具体情况协商后签订。</w:t>
      </w:r>
      <w:bookmarkEnd w:id="54"/>
      <w:bookmarkEnd w:id="55"/>
      <w:bookmarkEnd w:id="56"/>
      <w:bookmarkStart w:id="57" w:name="_Hlt16619369"/>
      <w:bookmarkEnd w:id="57"/>
    </w:p>
    <w:p w14:paraId="7D660DC0">
      <w:pPr>
        <w:spacing w:before="143" w:beforeLines="50" w:after="143" w:afterLines="50" w:line="360" w:lineRule="auto"/>
        <w:jc w:val="center"/>
        <w:rPr>
          <w:rFonts w:hint="eastAsia" w:ascii="宋体" w:hAnsi="宋体" w:eastAsia="宋体" w:cs="宋体"/>
          <w:b/>
          <w:bCs/>
          <w:color w:val="auto"/>
          <w:sz w:val="36"/>
          <w:szCs w:val="28"/>
        </w:rPr>
      </w:pPr>
      <w:bookmarkStart w:id="58" w:name="_Toc517190892"/>
      <w:r>
        <w:rPr>
          <w:rFonts w:hint="eastAsia" w:ascii="宋体" w:hAnsi="宋体" w:eastAsia="宋体" w:cs="宋体"/>
          <w:b/>
          <w:color w:val="auto"/>
          <w:sz w:val="32"/>
        </w:rPr>
        <w:t>南京医科大学货物采购合同</w:t>
      </w:r>
    </w:p>
    <w:p w14:paraId="33ECDB9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甲方：（买方）_________          乙方：（卖方）_________</w:t>
      </w:r>
    </w:p>
    <w:p w14:paraId="33162584">
      <w:pPr>
        <w:pStyle w:val="14"/>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008610D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统一社会信用代码：</w:t>
      </w:r>
      <w:r>
        <w:rPr>
          <w:rFonts w:hint="eastAsia" w:ascii="宋体" w:hAnsi="宋体" w:eastAsia="宋体" w:cs="宋体"/>
          <w:color w:val="auto"/>
          <w:sz w:val="24"/>
          <w:szCs w:val="24"/>
          <w:u w:val="single"/>
        </w:rPr>
        <w:t xml:space="preserve">         </w:t>
      </w:r>
    </w:p>
    <w:p w14:paraId="784814FB">
      <w:pPr>
        <w:pStyle w:val="14"/>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u w:val="single"/>
        </w:rPr>
        <w:t xml:space="preserve">                     </w:t>
      </w:r>
    </w:p>
    <w:p w14:paraId="016C24DB">
      <w:pPr>
        <w:pStyle w:val="14"/>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u w:val="single"/>
        </w:rPr>
        <w:t xml:space="preserve">                   </w:t>
      </w:r>
    </w:p>
    <w:p w14:paraId="3828472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联系方式：</w:t>
      </w:r>
      <w:r>
        <w:rPr>
          <w:rFonts w:hint="eastAsia" w:ascii="宋体" w:hAnsi="宋体" w:eastAsia="宋体" w:cs="宋体"/>
          <w:color w:val="auto"/>
          <w:sz w:val="24"/>
          <w:szCs w:val="24"/>
          <w:u w:val="single"/>
        </w:rPr>
        <w:t xml:space="preserve">                 </w:t>
      </w:r>
    </w:p>
    <w:p w14:paraId="560248D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合同签订时间：     年    月    日  </w:t>
      </w:r>
    </w:p>
    <w:p w14:paraId="311C26C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甲、乙双方根据南京医科大学</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项目公开招标的结果，本着自愿及平等互利的原则，就甲方向乙方购买本合同约定的货物事宜，签署本合同。</w:t>
      </w:r>
    </w:p>
    <w:p w14:paraId="4C608337">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一、货物内容、数量及金额</w:t>
      </w:r>
    </w:p>
    <w:tbl>
      <w:tblPr>
        <w:tblStyle w:val="24"/>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214"/>
        <w:gridCol w:w="2061"/>
        <w:gridCol w:w="831"/>
        <w:gridCol w:w="1238"/>
        <w:gridCol w:w="1399"/>
      </w:tblGrid>
      <w:tr w14:paraId="7895E34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95" w:type="dxa"/>
            <w:tcBorders>
              <w:top w:val="single" w:color="auto" w:sz="4" w:space="0"/>
              <w:left w:val="single" w:color="auto" w:sz="4" w:space="0"/>
              <w:bottom w:val="single" w:color="auto" w:sz="4" w:space="0"/>
            </w:tcBorders>
            <w:shd w:val="clear" w:color="auto" w:fill="FFFFFF"/>
            <w:noWrap w:val="0"/>
            <w:vAlign w:val="center"/>
          </w:tcPr>
          <w:p w14:paraId="359A752B">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编号</w:t>
            </w:r>
          </w:p>
        </w:tc>
        <w:tc>
          <w:tcPr>
            <w:tcW w:w="2301" w:type="dxa"/>
            <w:tcBorders>
              <w:top w:val="single" w:color="auto" w:sz="4" w:space="0"/>
              <w:bottom w:val="single" w:color="auto" w:sz="4" w:space="0"/>
            </w:tcBorders>
            <w:shd w:val="clear" w:color="auto" w:fill="FFFFFF"/>
            <w:noWrap w:val="0"/>
            <w:vAlign w:val="center"/>
          </w:tcPr>
          <w:p w14:paraId="28FAC4A5">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货物名称</w:t>
            </w:r>
          </w:p>
        </w:tc>
        <w:tc>
          <w:tcPr>
            <w:tcW w:w="2129" w:type="dxa"/>
            <w:tcBorders>
              <w:top w:val="single" w:color="auto" w:sz="4" w:space="0"/>
              <w:bottom w:val="single" w:color="auto" w:sz="4" w:space="0"/>
            </w:tcBorders>
            <w:shd w:val="clear" w:color="auto" w:fill="FFFFFF"/>
            <w:noWrap w:val="0"/>
            <w:vAlign w:val="center"/>
          </w:tcPr>
          <w:p w14:paraId="59CA8439">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规格型号（品牌）</w:t>
            </w:r>
          </w:p>
        </w:tc>
        <w:tc>
          <w:tcPr>
            <w:tcW w:w="850" w:type="dxa"/>
            <w:tcBorders>
              <w:top w:val="single" w:color="auto" w:sz="4" w:space="0"/>
              <w:bottom w:val="single" w:color="auto" w:sz="4" w:space="0"/>
            </w:tcBorders>
            <w:shd w:val="clear" w:color="auto" w:fill="FFFFFF"/>
            <w:noWrap w:val="0"/>
            <w:vAlign w:val="center"/>
          </w:tcPr>
          <w:p w14:paraId="6BD779A4">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253" w:type="dxa"/>
            <w:tcBorders>
              <w:top w:val="single" w:color="auto" w:sz="4" w:space="0"/>
              <w:bottom w:val="single" w:color="auto" w:sz="4" w:space="0"/>
              <w:right w:val="single" w:color="auto" w:sz="4" w:space="0"/>
            </w:tcBorders>
            <w:shd w:val="clear" w:color="auto" w:fill="FFFFFF"/>
            <w:noWrap w:val="0"/>
            <w:vAlign w:val="center"/>
          </w:tcPr>
          <w:p w14:paraId="55F73FE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单价（元）</w:t>
            </w:r>
          </w:p>
        </w:tc>
        <w:tc>
          <w:tcPr>
            <w:tcW w:w="0" w:type="auto"/>
            <w:tcBorders>
              <w:top w:val="single" w:color="auto" w:sz="4" w:space="0"/>
              <w:bottom w:val="single" w:color="auto" w:sz="4" w:space="0"/>
              <w:right w:val="single" w:color="auto" w:sz="4" w:space="0"/>
            </w:tcBorders>
            <w:shd w:val="clear" w:color="auto" w:fill="FFFFFF"/>
            <w:noWrap w:val="0"/>
            <w:vAlign w:val="center"/>
          </w:tcPr>
          <w:p w14:paraId="49CF680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总价（元）</w:t>
            </w:r>
          </w:p>
        </w:tc>
      </w:tr>
      <w:tr w14:paraId="63EFC8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95" w:type="dxa"/>
            <w:tcBorders>
              <w:top w:val="single" w:color="auto" w:sz="4" w:space="0"/>
              <w:left w:val="single" w:color="auto" w:sz="4" w:space="0"/>
              <w:bottom w:val="single" w:color="auto" w:sz="4" w:space="0"/>
            </w:tcBorders>
            <w:noWrap w:val="0"/>
            <w:vAlign w:val="center"/>
          </w:tcPr>
          <w:p w14:paraId="331A97B8">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2301" w:type="dxa"/>
            <w:tcBorders>
              <w:top w:val="single" w:color="auto" w:sz="4" w:space="0"/>
              <w:bottom w:val="single" w:color="auto" w:sz="4" w:space="0"/>
            </w:tcBorders>
            <w:noWrap w:val="0"/>
            <w:vAlign w:val="center"/>
          </w:tcPr>
          <w:p w14:paraId="4B0A3A43">
            <w:pPr>
              <w:spacing w:line="360" w:lineRule="auto"/>
              <w:jc w:val="center"/>
              <w:rPr>
                <w:rFonts w:hint="eastAsia" w:ascii="宋体" w:hAnsi="宋体" w:eastAsia="宋体" w:cs="宋体"/>
                <w:color w:val="auto"/>
                <w:sz w:val="24"/>
              </w:rPr>
            </w:pPr>
          </w:p>
        </w:tc>
        <w:tc>
          <w:tcPr>
            <w:tcW w:w="2129" w:type="dxa"/>
            <w:tcBorders>
              <w:top w:val="single" w:color="auto" w:sz="4" w:space="0"/>
              <w:bottom w:val="single" w:color="auto" w:sz="4" w:space="0"/>
            </w:tcBorders>
            <w:noWrap w:val="0"/>
            <w:vAlign w:val="center"/>
          </w:tcPr>
          <w:p w14:paraId="767E8D8D">
            <w:pPr>
              <w:spacing w:line="360" w:lineRule="auto"/>
              <w:jc w:val="center"/>
              <w:rPr>
                <w:rFonts w:hint="eastAsia" w:ascii="宋体" w:hAnsi="宋体" w:eastAsia="宋体" w:cs="宋体"/>
                <w:color w:val="auto"/>
                <w:sz w:val="24"/>
              </w:rPr>
            </w:pPr>
          </w:p>
        </w:tc>
        <w:tc>
          <w:tcPr>
            <w:tcW w:w="850" w:type="dxa"/>
            <w:tcBorders>
              <w:top w:val="single" w:color="auto" w:sz="4" w:space="0"/>
              <w:bottom w:val="single" w:color="auto" w:sz="4" w:space="0"/>
            </w:tcBorders>
            <w:noWrap w:val="0"/>
            <w:vAlign w:val="center"/>
          </w:tcPr>
          <w:p w14:paraId="66D77A49">
            <w:pPr>
              <w:spacing w:line="360" w:lineRule="auto"/>
              <w:jc w:val="center"/>
              <w:rPr>
                <w:rFonts w:hint="eastAsia" w:ascii="宋体" w:hAnsi="宋体" w:eastAsia="宋体" w:cs="宋体"/>
                <w:b/>
                <w:color w:val="auto"/>
                <w:sz w:val="24"/>
              </w:rPr>
            </w:pPr>
          </w:p>
        </w:tc>
        <w:tc>
          <w:tcPr>
            <w:tcW w:w="1253" w:type="dxa"/>
            <w:tcBorders>
              <w:top w:val="single" w:color="auto" w:sz="4" w:space="0"/>
              <w:bottom w:val="single" w:color="auto" w:sz="4" w:space="0"/>
              <w:right w:val="single" w:color="auto" w:sz="4" w:space="0"/>
            </w:tcBorders>
            <w:noWrap w:val="0"/>
            <w:vAlign w:val="center"/>
          </w:tcPr>
          <w:p w14:paraId="131DD6C1">
            <w:pPr>
              <w:spacing w:line="360" w:lineRule="auto"/>
              <w:jc w:val="center"/>
              <w:rPr>
                <w:rFonts w:hint="eastAsia" w:ascii="宋体" w:hAnsi="宋体" w:eastAsia="宋体" w:cs="宋体"/>
                <w:b/>
                <w:color w:val="auto"/>
                <w:sz w:val="24"/>
              </w:rPr>
            </w:pPr>
          </w:p>
        </w:tc>
        <w:tc>
          <w:tcPr>
            <w:tcW w:w="0" w:type="auto"/>
            <w:tcBorders>
              <w:top w:val="single" w:color="auto" w:sz="4" w:space="0"/>
              <w:bottom w:val="single" w:color="auto" w:sz="4" w:space="0"/>
              <w:right w:val="single" w:color="auto" w:sz="4" w:space="0"/>
            </w:tcBorders>
            <w:noWrap w:val="0"/>
            <w:vAlign w:val="center"/>
          </w:tcPr>
          <w:p w14:paraId="6EDB6BEA">
            <w:pPr>
              <w:spacing w:line="360" w:lineRule="auto"/>
              <w:jc w:val="center"/>
              <w:rPr>
                <w:rFonts w:hint="eastAsia" w:ascii="宋体" w:hAnsi="宋体" w:eastAsia="宋体" w:cs="宋体"/>
                <w:color w:val="auto"/>
                <w:sz w:val="24"/>
              </w:rPr>
            </w:pPr>
          </w:p>
        </w:tc>
      </w:tr>
      <w:tr w14:paraId="2E440FD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49" w:type="dxa"/>
            <w:gridSpan w:val="6"/>
            <w:tcBorders>
              <w:top w:val="single" w:color="auto" w:sz="4" w:space="0"/>
              <w:left w:val="single" w:color="auto" w:sz="4" w:space="0"/>
              <w:bottom w:val="single" w:color="auto" w:sz="4" w:space="0"/>
              <w:right w:val="single" w:color="auto" w:sz="4" w:space="0"/>
            </w:tcBorders>
            <w:noWrap w:val="0"/>
            <w:vAlign w:val="center"/>
          </w:tcPr>
          <w:p w14:paraId="27003A0F">
            <w:pPr>
              <w:spacing w:line="360" w:lineRule="auto"/>
              <w:rPr>
                <w:rFonts w:hint="eastAsia" w:ascii="宋体" w:hAnsi="宋体" w:eastAsia="宋体" w:cs="宋体"/>
                <w:color w:val="auto"/>
                <w:sz w:val="24"/>
              </w:rPr>
            </w:pPr>
            <w:r>
              <w:rPr>
                <w:rFonts w:hint="eastAsia" w:ascii="宋体" w:hAnsi="宋体" w:eastAsia="宋体" w:cs="宋体"/>
                <w:b/>
                <w:color w:val="auto"/>
                <w:sz w:val="24"/>
              </w:rPr>
              <w:t>总价（人民币大写）：</w:t>
            </w:r>
            <w:r>
              <w:rPr>
                <w:rFonts w:hint="eastAsia" w:ascii="宋体" w:hAnsi="宋体" w:eastAsia="宋体" w:cs="宋体"/>
                <w:b/>
                <w:color w:val="auto"/>
                <w:sz w:val="24"/>
                <w:u w:val="single"/>
              </w:rPr>
              <w:t xml:space="preserve">                          </w:t>
            </w:r>
            <w:r>
              <w:rPr>
                <w:rFonts w:hint="eastAsia" w:ascii="宋体" w:hAnsi="宋体" w:eastAsia="宋体" w:cs="宋体"/>
                <w:color w:val="auto"/>
                <w:sz w:val="24"/>
              </w:rPr>
              <w:t>合计（小写）：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0A5C26EA">
            <w:pPr>
              <w:spacing w:line="360" w:lineRule="auto"/>
              <w:rPr>
                <w:rFonts w:hint="eastAsia" w:ascii="宋体" w:hAnsi="宋体" w:eastAsia="宋体" w:cs="宋体"/>
                <w:color w:val="auto"/>
                <w:sz w:val="24"/>
              </w:rPr>
            </w:pPr>
            <w:r>
              <w:rPr>
                <w:rFonts w:hint="eastAsia" w:ascii="宋体" w:hAnsi="宋体" w:eastAsia="宋体" w:cs="宋体"/>
                <w:color w:val="auto"/>
                <w:sz w:val="24"/>
              </w:rPr>
              <w:t>本合同总价款是货物设计、制造、包装、仓储、运输、安装及验收合格之前以及保修期内备品备件发生的所有含税费用。本合同总价款还包含乙方应当提供的伴随服务/售后服务费用。</w:t>
            </w:r>
          </w:p>
        </w:tc>
      </w:tr>
    </w:tbl>
    <w:p w14:paraId="4E04951A">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二、结算方式</w:t>
      </w:r>
    </w:p>
    <w:p w14:paraId="12AF2B4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2.1结算方式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4040E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合同签订有效期内，甲方分批购买，按照甲方通知时间，乙方不晚于</w:t>
      </w:r>
      <w:r>
        <w:rPr>
          <w:rFonts w:hint="eastAsia" w:hAnsi="宋体" w:eastAsia="宋体" w:cs="宋体"/>
          <w:color w:val="auto"/>
          <w:sz w:val="24"/>
          <w:szCs w:val="24"/>
          <w:lang w:val="en-US" w:eastAsia="zh-CN"/>
        </w:rPr>
        <w:t>一</w:t>
      </w:r>
      <w:r>
        <w:rPr>
          <w:rFonts w:hint="eastAsia" w:ascii="宋体" w:hAnsi="宋体" w:eastAsia="宋体" w:cs="宋体"/>
          <w:color w:val="auto"/>
          <w:sz w:val="24"/>
          <w:szCs w:val="24"/>
        </w:rPr>
        <w:t>周内到货，乙方将单次全部货物运抵甲方项目现场，直至甲乙双方验收合格后，甲方支付单批购买货物的相应货款。</w:t>
      </w:r>
    </w:p>
    <w:p w14:paraId="73A34E4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2.2当采购数量与实际使用数量不一致时，乙方应根据实际使用量供货，合同的最终结算金额按实际使用量乘以成交单价进行计算。</w:t>
      </w:r>
    </w:p>
    <w:p w14:paraId="71D5E9B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2.3乙方指定账户信息：</w:t>
      </w:r>
    </w:p>
    <w:p w14:paraId="417F7914">
      <w:pPr>
        <w:pStyle w:val="14"/>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783880A2">
      <w:pPr>
        <w:pStyle w:val="14"/>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户  名：</w:t>
      </w:r>
    </w:p>
    <w:p w14:paraId="304BD470">
      <w:pPr>
        <w:pStyle w:val="14"/>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账  号：</w:t>
      </w:r>
    </w:p>
    <w:p w14:paraId="5796AA3F">
      <w:pPr>
        <w:pStyle w:val="14"/>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上述账户信息，如有变更，乙方应在变更前3日内通知甲方。否则，由此产生的后果由乙方承担。</w:t>
      </w:r>
    </w:p>
    <w:p w14:paraId="6F7EAC38">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三、交付方式、时间及地点</w:t>
      </w:r>
    </w:p>
    <w:p w14:paraId="09EFDF91">
      <w:pPr>
        <w:ind w:firstLine="480" w:firstLineChars="200"/>
        <w:rPr>
          <w:rFonts w:hint="eastAsia" w:ascii="宋体" w:hAnsi="宋体" w:eastAsia="宋体" w:cs="宋体"/>
          <w:color w:val="auto"/>
          <w:sz w:val="24"/>
          <w:szCs w:val="32"/>
          <w:u w:val="single"/>
        </w:rPr>
      </w:pPr>
      <w:bookmarkStart w:id="59" w:name="_Hlk196386093"/>
      <w:r>
        <w:rPr>
          <w:rFonts w:hint="eastAsia" w:ascii="宋体" w:hAnsi="宋体" w:eastAsia="宋体" w:cs="宋体"/>
          <w:color w:val="auto"/>
          <w:sz w:val="24"/>
        </w:rPr>
        <w:t>3.1</w:t>
      </w:r>
      <w:r>
        <w:rPr>
          <w:rFonts w:hint="eastAsia" w:ascii="宋体" w:hAnsi="宋体" w:eastAsia="宋体" w:cs="宋体"/>
          <w:color w:val="auto"/>
          <w:sz w:val="24"/>
          <w:lang w:val="zh-CN"/>
        </w:rPr>
        <w:t>交货期：</w:t>
      </w:r>
      <w:r>
        <w:rPr>
          <w:rFonts w:hint="eastAsia" w:ascii="宋体" w:hAnsi="宋体" w:eastAsia="宋体" w:cs="宋体"/>
          <w:color w:val="auto"/>
          <w:sz w:val="24"/>
        </w:rPr>
        <w:t>：</w:t>
      </w:r>
      <w:r>
        <w:rPr>
          <w:rFonts w:hint="eastAsia" w:ascii="宋体" w:hAnsi="宋体" w:eastAsia="宋体" w:cs="宋体"/>
          <w:bCs/>
          <w:color w:val="auto"/>
          <w:sz w:val="24"/>
          <w:u w:val="single"/>
        </w:rPr>
        <w:t>中标通知书发出之日起，</w:t>
      </w:r>
      <w:r>
        <w:rPr>
          <w:rFonts w:hint="eastAsia" w:ascii="宋体" w:hAnsi="宋体" w:eastAsia="宋体" w:cs="宋体"/>
          <w:bCs/>
          <w:color w:val="auto"/>
          <w:kern w:val="0"/>
          <w:sz w:val="24"/>
        </w:rPr>
        <w:t>半个月内完成备货，按照采购人要求的时间运抵现场，并安装、调试结束，验收合格，交付采购人使用</w:t>
      </w:r>
      <w:r>
        <w:rPr>
          <w:rFonts w:hint="eastAsia" w:ascii="宋体" w:hAnsi="宋体" w:eastAsia="宋体" w:cs="宋体"/>
          <w:color w:val="auto"/>
          <w:sz w:val="24"/>
          <w:szCs w:val="32"/>
          <w:u w:val="single"/>
        </w:rPr>
        <w:t>。</w:t>
      </w:r>
    </w:p>
    <w:p w14:paraId="3E2B738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3.2</w:t>
      </w:r>
      <w:r>
        <w:rPr>
          <w:rFonts w:hint="eastAsia" w:ascii="宋体" w:hAnsi="宋体" w:eastAsia="宋体" w:cs="宋体"/>
          <w:color w:val="auto"/>
          <w:sz w:val="24"/>
          <w:lang w:val="zh-CN"/>
        </w:rPr>
        <w:t>交货方式：</w:t>
      </w:r>
      <w:r>
        <w:rPr>
          <w:rFonts w:hint="eastAsia" w:ascii="宋体" w:hAnsi="宋体" w:eastAsia="宋体" w:cs="宋体"/>
          <w:color w:val="auto"/>
          <w:sz w:val="24"/>
          <w:szCs w:val="24"/>
          <w:u w:val="single"/>
        </w:rPr>
        <w:t>供应商在采购人指定时间、地点交货，并完成安装、调试。</w:t>
      </w:r>
    </w:p>
    <w:p w14:paraId="4374E897">
      <w:pPr>
        <w:pStyle w:val="14"/>
        <w:spacing w:line="360" w:lineRule="auto"/>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交货地点：</w:t>
      </w:r>
      <w:r>
        <w:rPr>
          <w:rFonts w:hint="eastAsia" w:ascii="宋体" w:hAnsi="宋体" w:eastAsia="宋体" w:cs="宋体"/>
          <w:color w:val="auto"/>
          <w:sz w:val="24"/>
          <w:szCs w:val="24"/>
          <w:u w:val="single"/>
          <w:lang w:val="zh-CN"/>
        </w:rPr>
        <w:t>南京医科大学常州校区指定地点。</w:t>
      </w:r>
    </w:p>
    <w:bookmarkEnd w:id="59"/>
    <w:p w14:paraId="21CCCB8A">
      <w:pPr>
        <w:pStyle w:val="14"/>
        <w:tabs>
          <w:tab w:val="left" w:pos="6516"/>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szCs w:val="24"/>
        </w:rPr>
        <w:t>四、</w:t>
      </w:r>
      <w:r>
        <w:rPr>
          <w:rFonts w:hint="eastAsia" w:ascii="宋体" w:hAnsi="宋体" w:eastAsia="宋体" w:cs="宋体"/>
          <w:b/>
          <w:color w:val="auto"/>
          <w:sz w:val="24"/>
        </w:rPr>
        <w:t>货物包装、发运及运输</w:t>
      </w:r>
      <w:r>
        <w:rPr>
          <w:rFonts w:hint="eastAsia" w:ascii="宋体" w:hAnsi="宋体" w:eastAsia="宋体" w:cs="宋体"/>
          <w:b/>
          <w:color w:val="auto"/>
          <w:sz w:val="24"/>
          <w:szCs w:val="24"/>
        </w:rPr>
        <w:tab/>
      </w:r>
    </w:p>
    <w:p w14:paraId="310428F3">
      <w:pPr>
        <w:pStyle w:val="14"/>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4.1 乙方应在货物发运前根据运输距离、防潮、防震、防锈和防破损装卸等要求进行相应的包装，以保证货物安全运达甲方指定地点。</w:t>
      </w:r>
    </w:p>
    <w:p w14:paraId="6FB8A19B">
      <w:pPr>
        <w:pStyle w:val="14"/>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4.2 使用说明书、质量检验证明书、随配附件和工具以及清单一并附于货物内。</w:t>
      </w:r>
    </w:p>
    <w:p w14:paraId="1C357027">
      <w:pPr>
        <w:pStyle w:val="14"/>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4.3 乙方在货物发运手续办理完毕后24小时内或货到甲方48小时前通知甲方，以准备接货。</w:t>
      </w:r>
    </w:p>
    <w:p w14:paraId="3991B00C">
      <w:pPr>
        <w:pStyle w:val="14"/>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4.4 货物在交付甲方前发生的风险均由乙方负责。</w:t>
      </w:r>
    </w:p>
    <w:p w14:paraId="5A9BF330">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五、质量保证及售后服务</w:t>
      </w:r>
    </w:p>
    <w:p w14:paraId="6D0597D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0271DAF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13BF35E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5.3上述货物的质保期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年。（自交货验收合格次日起计算），因人为因素出现的故障不在免费保修范围内。</w:t>
      </w:r>
    </w:p>
    <w:p w14:paraId="2AA61D0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5.4在质保期内，如在使用过程中发生质量问题，乙方在接到甲方通知后在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小时内响应，并在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小时内赶到甲方现场，免费予以排除故障、修复或者更换零部件。如未及时维修的，甲方委托他人维修，维修费从合同款中扣除或由乙方承担。</w:t>
      </w:r>
    </w:p>
    <w:p w14:paraId="58D84A5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5.5在质保期内，乙方应对货物出现的质量及安全问题负责处理解决并承担一切费用。</w:t>
      </w:r>
    </w:p>
    <w:p w14:paraId="5D99957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5.6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62CAAA01">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六、调试和验收</w:t>
      </w:r>
    </w:p>
    <w:p w14:paraId="2FAE075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6.1乙方交货前应对货物全面检查并对验收文件进行整理，列出清单提交甲方，检验的结果亦应随货物交甲方。</w:t>
      </w:r>
    </w:p>
    <w:p w14:paraId="1F0E3F94">
      <w:pPr>
        <w:pStyle w:val="14"/>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6.2甲方对乙方提供的货物在使用前进行调试时，乙方需负责安装并培训甲方的使用操作人员，并协助甲方一起调试，直到符合技术要求。</w:t>
      </w:r>
    </w:p>
    <w:p w14:paraId="6D0F1B0C">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6.3在安装、调试和验收过程中，如发现有漏件、缺件，乙方应无条件、无偿补齐，所发生的一切费用，视为已包含在投标时的投标报价中，且并不因此而影响交付甲方使用的时间。</w:t>
      </w:r>
    </w:p>
    <w:p w14:paraId="7554D614">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7C35E19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6.5设备、材料安装、调试结束，甲、乙双方派员共同验收，达到验收标准则验收合格。验收完毕后出具验收结果报告并经双方签字确认；验收相关费用由乙方承担。</w:t>
      </w:r>
    </w:p>
    <w:p w14:paraId="1EBD89AF">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060221DD">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七、技术资料</w:t>
      </w:r>
    </w:p>
    <w:p w14:paraId="357F82FC">
      <w:pPr>
        <w:pStyle w:val="14"/>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7.1乙方应按招标文件规定的时间向甲方提供使用货物的有关技术资料。</w:t>
      </w:r>
    </w:p>
    <w:p w14:paraId="42991B9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244FE21">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八、知识产权</w:t>
      </w:r>
    </w:p>
    <w:p w14:paraId="0850D27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FB0F5B9">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九、违约责任</w:t>
      </w:r>
    </w:p>
    <w:p w14:paraId="2C821836">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9.1甲方无正当理由拒收货物的，甲方向乙方偿付拒收货款总值的万分之五违约金。甲方未按合同规定的时间和要求向乙方提供相关安装条件，乙方交付时间顺延。</w:t>
      </w:r>
    </w:p>
    <w:p w14:paraId="73501569">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9.2甲方无故迟延支付货款的,甲方应按逾期付款总额每日万分之五向乙方支付违约金。</w:t>
      </w:r>
    </w:p>
    <w:p w14:paraId="75F1DE3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9.3乙方逾期交付货物的，乙方应按逾期交货总额每日万分之五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C156FBE">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9.4乙方供给甲方的设备、材料及乙方自己的施工用具，进入甲方工地现场后的保管，由乙方负责，乙方在甲方工地现场安装、调试、验收人员的安全、保险、食宿和交通由乙方全权负责。</w:t>
      </w:r>
    </w:p>
    <w:p w14:paraId="1EE32FC1">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9.5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DE6589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9.6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2844902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9.7本合同所有货物的制造及安装，都必须由乙方自己或投标文件中明确的单位承担，不得分包或者转包给其他单位，否则，甲方有权解除本合同，合同解除后，乙方还应向甲方支付合同总值5%的违约金。 </w:t>
      </w:r>
    </w:p>
    <w:p w14:paraId="29B89293">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9.8乙方履行义务不符合合同约定时，甲方有权扣减本合同总金额的10%的货款，尾款不足10%的，乙方应当补足。</w:t>
      </w:r>
    </w:p>
    <w:p w14:paraId="4ACC4DEE">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十、不可抗力事件处理</w:t>
      </w:r>
    </w:p>
    <w:p w14:paraId="6DCB0A9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10.1在合同有效期内，任何一方因不可抗力事件导致不能履行合同，则合同履行期可延长，其延长期与不可抗力影响期相同。</w:t>
      </w:r>
    </w:p>
    <w:p w14:paraId="5969CCF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10.2不可抗力事件发生后，应立即通知对方，并寄送有关权威机构出具的证明。</w:t>
      </w:r>
    </w:p>
    <w:p w14:paraId="4B17194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10.3不可抗力事件延续30天以上，双方应通过友好协商，确定是否继续履行合同。</w:t>
      </w:r>
    </w:p>
    <w:p w14:paraId="343360FD">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十一、诉讼</w:t>
      </w:r>
    </w:p>
    <w:p w14:paraId="4736E50A">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双方在执行合同中所发生的一切争议，应通过协商解决。如协商不成，双方均应向甲方所在地人民法院提起诉讼。</w:t>
      </w:r>
    </w:p>
    <w:p w14:paraId="4E1814DA">
      <w:pPr>
        <w:pStyle w:val="1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十二、合同生效及其它</w:t>
      </w:r>
    </w:p>
    <w:p w14:paraId="0F9F4ED0">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12.1招投标文件作为合同的附件，与本合同具有同等法律效力。合同经双方法定代表人或授权委托代表人签字、盖章后生效。</w:t>
      </w:r>
    </w:p>
    <w:p w14:paraId="50A71F8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12.2本合同未尽事宜，遵照《中华人民共和国民法典》有关条文执行。</w:t>
      </w:r>
    </w:p>
    <w:p w14:paraId="204D2862">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12.3本合同正本一式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份，具有同等法律效力。</w:t>
      </w:r>
    </w:p>
    <w:p w14:paraId="40CA28F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12.4其他：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019181">
      <w:pPr>
        <w:pStyle w:val="14"/>
        <w:spacing w:line="360" w:lineRule="auto"/>
        <w:ind w:firstLine="480" w:firstLineChars="200"/>
        <w:rPr>
          <w:rFonts w:hint="eastAsia" w:ascii="宋体" w:hAnsi="宋体" w:eastAsia="宋体" w:cs="宋体"/>
          <w:color w:val="auto"/>
          <w:sz w:val="24"/>
          <w:szCs w:val="24"/>
        </w:rPr>
      </w:pPr>
    </w:p>
    <w:p w14:paraId="6AF2F198">
      <w:pPr>
        <w:pStyle w:val="14"/>
        <w:spacing w:line="360" w:lineRule="auto"/>
        <w:ind w:firstLine="480" w:firstLineChars="200"/>
        <w:rPr>
          <w:rFonts w:hint="eastAsia" w:ascii="宋体" w:hAnsi="宋体" w:eastAsia="宋体" w:cs="宋体"/>
          <w:color w:val="auto"/>
          <w:sz w:val="24"/>
          <w:szCs w:val="24"/>
        </w:rPr>
      </w:pPr>
    </w:p>
    <w:p w14:paraId="78607F81">
      <w:pPr>
        <w:pStyle w:val="14"/>
        <w:spacing w:line="360" w:lineRule="auto"/>
        <w:ind w:firstLine="480" w:firstLineChars="200"/>
        <w:rPr>
          <w:rFonts w:hint="eastAsia" w:ascii="宋体" w:hAnsi="宋体" w:eastAsia="宋体" w:cs="宋体"/>
          <w:color w:val="auto"/>
          <w:sz w:val="24"/>
          <w:szCs w:val="24"/>
        </w:rPr>
      </w:pPr>
    </w:p>
    <w:p w14:paraId="510DA188">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（以下无正文，为签字盖章处）</w:t>
      </w:r>
    </w:p>
    <w:p w14:paraId="01D8080B">
      <w:pPr>
        <w:pStyle w:val="14"/>
        <w:spacing w:line="360" w:lineRule="auto"/>
        <w:ind w:firstLine="480" w:firstLineChars="200"/>
        <w:rPr>
          <w:rFonts w:hint="eastAsia" w:ascii="宋体" w:hAnsi="宋体" w:eastAsia="宋体" w:cs="宋体"/>
          <w:color w:val="auto"/>
          <w:sz w:val="24"/>
          <w:szCs w:val="24"/>
        </w:rPr>
      </w:pPr>
    </w:p>
    <w:p w14:paraId="00CA222B">
      <w:pPr>
        <w:pStyle w:val="14"/>
        <w:spacing w:line="360" w:lineRule="auto"/>
        <w:ind w:firstLine="480" w:firstLineChars="200"/>
        <w:rPr>
          <w:rFonts w:hint="eastAsia" w:ascii="宋体" w:hAnsi="宋体" w:eastAsia="宋体" w:cs="宋体"/>
          <w:color w:val="auto"/>
          <w:sz w:val="24"/>
          <w:szCs w:val="24"/>
        </w:rPr>
      </w:pPr>
    </w:p>
    <w:p w14:paraId="7BD4043D">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甲方：南京医科大学（盖章）                  乙方：（盖章）</w:t>
      </w:r>
    </w:p>
    <w:p w14:paraId="0A2D4F2C">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地址：南京市江宁区龙眠大道101号            地址：</w:t>
      </w:r>
    </w:p>
    <w:p w14:paraId="580C28C7">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法定代表人/授权代表：（签字）               法定代表人/授权代表：（签字）</w:t>
      </w:r>
      <w:bookmarkEnd w:id="58"/>
    </w:p>
    <w:p w14:paraId="776FE5A4">
      <w:pPr>
        <w:pStyle w:val="34"/>
        <w:ind w:firstLine="0"/>
        <w:rPr>
          <w:rFonts w:hint="eastAsia" w:ascii="宋体" w:hAnsi="宋体" w:eastAsia="宋体" w:cs="宋体"/>
          <w:color w:val="auto"/>
          <w:sz w:val="28"/>
          <w:szCs w:val="28"/>
        </w:rPr>
      </w:pPr>
    </w:p>
    <w:p w14:paraId="23AA0C7E">
      <w:pPr>
        <w:pStyle w:val="2"/>
        <w:pageBreakBefore/>
        <w:spacing w:line="360" w:lineRule="auto"/>
        <w:rPr>
          <w:rFonts w:asciiTheme="majorEastAsia" w:hAnsiTheme="majorEastAsia" w:eastAsiaTheme="majorEastAsia" w:cstheme="minorBidi"/>
          <w:b/>
          <w:color w:val="auto"/>
          <w:kern w:val="0"/>
          <w:sz w:val="36"/>
          <w:szCs w:val="36"/>
        </w:rPr>
      </w:pPr>
      <w:bookmarkStart w:id="60" w:name="_Toc14881"/>
      <w:r>
        <w:rPr>
          <w:rFonts w:hint="eastAsia" w:asciiTheme="majorEastAsia" w:hAnsiTheme="majorEastAsia" w:eastAsiaTheme="majorEastAsia" w:cstheme="minorBidi"/>
          <w:b/>
          <w:color w:val="auto"/>
          <w:kern w:val="0"/>
          <w:sz w:val="32"/>
          <w:szCs w:val="32"/>
        </w:rPr>
        <w:t>第六章  投标文件格式</w:t>
      </w:r>
      <w:bookmarkEnd w:id="60"/>
      <w:r>
        <w:rPr>
          <w:rFonts w:hint="eastAsia" w:asciiTheme="majorEastAsia" w:hAnsiTheme="majorEastAsia" w:eastAsiaTheme="majorEastAsia" w:cstheme="minorBidi"/>
          <w:b/>
          <w:color w:val="auto"/>
          <w:kern w:val="0"/>
          <w:sz w:val="36"/>
          <w:szCs w:val="36"/>
        </w:rPr>
        <w:t xml:space="preserve"> </w:t>
      </w:r>
    </w:p>
    <w:p w14:paraId="7EA44DD2">
      <w:pPr>
        <w:spacing w:line="360" w:lineRule="auto"/>
        <w:jc w:val="center"/>
        <w:rPr>
          <w:rFonts w:asciiTheme="majorEastAsia" w:hAnsiTheme="majorEastAsia" w:eastAsiaTheme="majorEastAsia"/>
          <w:b/>
          <w:color w:val="auto"/>
          <w:sz w:val="36"/>
          <w:szCs w:val="36"/>
        </w:rPr>
      </w:pPr>
      <w:bookmarkStart w:id="61" w:name="_Hlt26955039"/>
      <w:bookmarkEnd w:id="61"/>
      <w:bookmarkStart w:id="62" w:name="_Hlt26671244"/>
      <w:bookmarkEnd w:id="62"/>
      <w:bookmarkStart w:id="63" w:name="_Toc120614282"/>
      <w:bookmarkStart w:id="64" w:name="_Toc26554094"/>
      <w:bookmarkStart w:id="65" w:name="_Toc49090576"/>
    </w:p>
    <w:p w14:paraId="48F397CE">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130DCB3D">
      <w:pPr>
        <w:spacing w:line="360" w:lineRule="auto"/>
        <w:jc w:val="center"/>
        <w:rPr>
          <w:rFonts w:ascii="宋体" w:hAnsi="宋体" w:eastAsia="宋体" w:cs="宋体"/>
          <w:b/>
          <w:color w:val="auto"/>
          <w:sz w:val="24"/>
          <w:szCs w:val="24"/>
        </w:rPr>
      </w:pPr>
    </w:p>
    <w:p w14:paraId="4FD6EE01">
      <w:pPr>
        <w:spacing w:line="360" w:lineRule="auto"/>
        <w:jc w:val="center"/>
        <w:rPr>
          <w:rFonts w:ascii="宋体" w:hAnsi="宋体" w:eastAsia="宋体" w:cs="宋体"/>
          <w:b/>
          <w:color w:val="auto"/>
          <w:sz w:val="24"/>
          <w:szCs w:val="24"/>
        </w:rPr>
      </w:pPr>
    </w:p>
    <w:p w14:paraId="512104FB">
      <w:pPr>
        <w:spacing w:line="360" w:lineRule="auto"/>
        <w:jc w:val="center"/>
        <w:rPr>
          <w:rFonts w:ascii="宋体" w:hAnsi="宋体" w:eastAsia="宋体" w:cs="宋体"/>
          <w:b/>
          <w:color w:val="auto"/>
          <w:sz w:val="24"/>
          <w:szCs w:val="24"/>
        </w:rPr>
      </w:pPr>
    </w:p>
    <w:p w14:paraId="69D05881">
      <w:pPr>
        <w:spacing w:line="360" w:lineRule="auto"/>
        <w:jc w:val="center"/>
        <w:rPr>
          <w:rFonts w:ascii="宋体" w:hAnsi="宋体" w:eastAsia="宋体" w:cs="宋体"/>
          <w:b/>
          <w:color w:val="auto"/>
          <w:sz w:val="24"/>
          <w:szCs w:val="24"/>
        </w:rPr>
      </w:pPr>
    </w:p>
    <w:p w14:paraId="7C4F7383">
      <w:pPr>
        <w:spacing w:line="360" w:lineRule="auto"/>
        <w:jc w:val="center"/>
        <w:rPr>
          <w:rFonts w:ascii="宋体" w:hAnsi="宋体" w:eastAsia="宋体" w:cs="宋体"/>
          <w:b/>
          <w:color w:val="auto"/>
          <w:sz w:val="24"/>
          <w:szCs w:val="24"/>
        </w:rPr>
      </w:pPr>
    </w:p>
    <w:p w14:paraId="44F2F1D4">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3A836849">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1EABDC8E">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6BB1DF3E">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70BC6870">
      <w:pPr>
        <w:spacing w:line="360" w:lineRule="auto"/>
        <w:rPr>
          <w:rFonts w:ascii="微软雅黑" w:hAnsi="微软雅黑" w:cs="微软雅黑"/>
          <w:b/>
          <w:color w:val="auto"/>
          <w:sz w:val="28"/>
          <w:szCs w:val="28"/>
        </w:rPr>
      </w:pPr>
    </w:p>
    <w:p w14:paraId="427E89D5">
      <w:pPr>
        <w:spacing w:line="360" w:lineRule="auto"/>
        <w:rPr>
          <w:rFonts w:ascii="微软雅黑" w:hAnsi="微软雅黑" w:cs="微软雅黑"/>
          <w:b/>
          <w:color w:val="auto"/>
          <w:sz w:val="28"/>
          <w:szCs w:val="28"/>
        </w:rPr>
      </w:pPr>
    </w:p>
    <w:p w14:paraId="0DEECEF7">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12E3229">
      <w:pPr>
        <w:spacing w:line="360" w:lineRule="auto"/>
        <w:jc w:val="center"/>
        <w:rPr>
          <w:rFonts w:ascii="宋体" w:hAnsi="宋体" w:eastAsia="宋体" w:cs="宋体"/>
          <w:b/>
          <w:bCs/>
          <w:color w:val="auto"/>
          <w:sz w:val="24"/>
          <w:szCs w:val="24"/>
        </w:rPr>
      </w:pPr>
    </w:p>
    <w:p w14:paraId="1FE3A322">
      <w:pPr>
        <w:spacing w:line="360" w:lineRule="auto"/>
        <w:ind w:firstLine="480" w:firstLineChars="200"/>
        <w:rPr>
          <w:rFonts w:ascii="宋体" w:hAnsi="宋体" w:eastAsia="宋体" w:cs="宋体"/>
          <w:color w:val="auto"/>
          <w:sz w:val="24"/>
          <w:szCs w:val="24"/>
        </w:rPr>
      </w:pPr>
    </w:p>
    <w:p w14:paraId="5E7593B7">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AC26AE4">
      <w:pPr>
        <w:pStyle w:val="34"/>
        <w:ind w:firstLine="0"/>
        <w:jc w:val="center"/>
        <w:rPr>
          <w:rFonts w:ascii="宋体" w:hAnsi="宋体" w:cs="宋体"/>
          <w:b/>
          <w:bCs/>
          <w:color w:val="auto"/>
          <w:sz w:val="36"/>
          <w:szCs w:val="36"/>
        </w:rPr>
      </w:pPr>
    </w:p>
    <w:p w14:paraId="398CBA9C">
      <w:pPr>
        <w:pStyle w:val="34"/>
        <w:ind w:firstLine="0"/>
        <w:jc w:val="center"/>
        <w:rPr>
          <w:rFonts w:ascii="宋体" w:hAnsi="宋体" w:cs="宋体"/>
          <w:b/>
          <w:bCs/>
          <w:color w:val="auto"/>
          <w:sz w:val="36"/>
          <w:szCs w:val="36"/>
        </w:rPr>
      </w:pPr>
    </w:p>
    <w:p w14:paraId="38ABA67F">
      <w:pPr>
        <w:pStyle w:val="34"/>
        <w:ind w:firstLine="0"/>
        <w:jc w:val="center"/>
        <w:rPr>
          <w:rFonts w:ascii="宋体" w:hAnsi="宋体" w:cs="宋体"/>
          <w:b/>
          <w:bCs/>
          <w:color w:val="auto"/>
          <w:sz w:val="36"/>
          <w:szCs w:val="36"/>
        </w:rPr>
      </w:pPr>
    </w:p>
    <w:p w14:paraId="4EEF2C70">
      <w:pPr>
        <w:pStyle w:val="34"/>
        <w:ind w:firstLine="0"/>
        <w:jc w:val="center"/>
        <w:rPr>
          <w:rFonts w:ascii="宋体" w:hAnsi="宋体" w:cs="宋体"/>
          <w:b/>
          <w:bCs/>
          <w:color w:val="auto"/>
          <w:sz w:val="36"/>
          <w:szCs w:val="36"/>
        </w:rPr>
      </w:pPr>
    </w:p>
    <w:p w14:paraId="560746FC">
      <w:pPr>
        <w:pStyle w:val="34"/>
        <w:ind w:firstLine="0"/>
        <w:jc w:val="center"/>
        <w:rPr>
          <w:rFonts w:ascii="宋体" w:hAnsi="宋体" w:cs="宋体"/>
          <w:b/>
          <w:bCs/>
          <w:color w:val="auto"/>
          <w:sz w:val="36"/>
          <w:szCs w:val="36"/>
        </w:rPr>
      </w:pPr>
    </w:p>
    <w:p w14:paraId="528A03F9">
      <w:pPr>
        <w:pStyle w:val="34"/>
        <w:ind w:firstLine="0"/>
        <w:jc w:val="center"/>
        <w:rPr>
          <w:rFonts w:ascii="宋体" w:hAnsi="宋体" w:cs="宋体"/>
          <w:b/>
          <w:bCs/>
          <w:color w:val="auto"/>
          <w:sz w:val="36"/>
          <w:szCs w:val="36"/>
        </w:rPr>
      </w:pPr>
    </w:p>
    <w:p w14:paraId="2A4D536D">
      <w:pPr>
        <w:pStyle w:val="34"/>
        <w:ind w:firstLine="0"/>
        <w:jc w:val="center"/>
        <w:rPr>
          <w:rFonts w:ascii="宋体" w:hAnsi="宋体" w:cs="宋体"/>
          <w:b/>
          <w:bCs/>
          <w:color w:val="auto"/>
          <w:sz w:val="36"/>
          <w:szCs w:val="36"/>
        </w:rPr>
      </w:pPr>
    </w:p>
    <w:p w14:paraId="157F6ECA">
      <w:pPr>
        <w:pStyle w:val="34"/>
        <w:ind w:firstLine="0"/>
        <w:jc w:val="center"/>
        <w:rPr>
          <w:rFonts w:ascii="宋体" w:hAnsi="宋体" w:cs="宋体"/>
          <w:b/>
          <w:bCs/>
          <w:color w:val="auto"/>
          <w:sz w:val="36"/>
          <w:szCs w:val="36"/>
        </w:rPr>
      </w:pPr>
    </w:p>
    <w:p w14:paraId="310C6183">
      <w:pPr>
        <w:pStyle w:val="34"/>
        <w:ind w:firstLine="0"/>
        <w:jc w:val="center"/>
        <w:rPr>
          <w:rFonts w:ascii="宋体" w:hAnsi="宋体" w:cs="宋体"/>
          <w:b/>
          <w:bCs/>
          <w:color w:val="auto"/>
          <w:sz w:val="36"/>
          <w:szCs w:val="36"/>
        </w:rPr>
      </w:pPr>
    </w:p>
    <w:p w14:paraId="41C443FF">
      <w:pPr>
        <w:pStyle w:val="34"/>
        <w:ind w:firstLine="0"/>
        <w:jc w:val="center"/>
        <w:rPr>
          <w:rFonts w:ascii="宋体" w:hAnsi="宋体" w:cs="宋体"/>
          <w:b/>
          <w:bCs/>
          <w:color w:val="auto"/>
          <w:sz w:val="36"/>
          <w:szCs w:val="36"/>
        </w:rPr>
      </w:pPr>
    </w:p>
    <w:p w14:paraId="45CC2144">
      <w:pPr>
        <w:pStyle w:val="34"/>
        <w:ind w:firstLine="0"/>
        <w:jc w:val="center"/>
        <w:rPr>
          <w:rFonts w:ascii="宋体" w:hAnsi="宋体" w:cs="宋体"/>
          <w:b/>
          <w:bCs/>
          <w:color w:val="auto"/>
          <w:sz w:val="36"/>
          <w:szCs w:val="36"/>
        </w:rPr>
      </w:pPr>
    </w:p>
    <w:p w14:paraId="32AA9560">
      <w:pPr>
        <w:pStyle w:val="34"/>
        <w:ind w:firstLine="0"/>
        <w:jc w:val="center"/>
        <w:rPr>
          <w:rFonts w:ascii="宋体" w:hAnsi="宋体" w:cs="宋体"/>
          <w:b/>
          <w:bCs/>
          <w:color w:val="auto"/>
          <w:sz w:val="36"/>
          <w:szCs w:val="36"/>
        </w:rPr>
      </w:pPr>
    </w:p>
    <w:p w14:paraId="6F937B9D">
      <w:pPr>
        <w:pStyle w:val="34"/>
        <w:ind w:firstLine="0"/>
        <w:jc w:val="center"/>
        <w:rPr>
          <w:rFonts w:ascii="宋体" w:hAnsi="宋体" w:cs="宋体"/>
          <w:b/>
          <w:bCs/>
          <w:color w:val="auto"/>
          <w:sz w:val="36"/>
          <w:szCs w:val="36"/>
        </w:rPr>
      </w:pPr>
    </w:p>
    <w:p w14:paraId="7733538F">
      <w:pPr>
        <w:pStyle w:val="34"/>
        <w:ind w:firstLine="0"/>
        <w:jc w:val="center"/>
        <w:rPr>
          <w:rFonts w:ascii="宋体" w:hAnsi="宋体" w:cs="宋体"/>
          <w:b/>
          <w:bCs/>
          <w:color w:val="auto"/>
          <w:sz w:val="36"/>
          <w:szCs w:val="36"/>
        </w:rPr>
      </w:pPr>
    </w:p>
    <w:p w14:paraId="5A688BA6">
      <w:pPr>
        <w:pStyle w:val="34"/>
        <w:ind w:firstLine="0"/>
        <w:jc w:val="both"/>
        <w:rPr>
          <w:rFonts w:ascii="宋体" w:hAnsi="宋体" w:cs="宋体"/>
          <w:b/>
          <w:bCs/>
          <w:color w:val="auto"/>
        </w:rPr>
      </w:pPr>
    </w:p>
    <w:p w14:paraId="7D9FA5B7">
      <w:pPr>
        <w:pStyle w:val="34"/>
        <w:ind w:firstLine="0"/>
        <w:jc w:val="both"/>
        <w:rPr>
          <w:rFonts w:ascii="宋体" w:hAnsi="宋体" w:cs="宋体"/>
          <w:b/>
          <w:bCs/>
          <w:color w:val="auto"/>
        </w:rPr>
      </w:pPr>
    </w:p>
    <w:p w14:paraId="112D69FE">
      <w:pPr>
        <w:pStyle w:val="34"/>
        <w:ind w:firstLine="0"/>
        <w:jc w:val="both"/>
        <w:rPr>
          <w:rFonts w:ascii="宋体" w:hAnsi="宋体" w:cs="宋体"/>
          <w:b/>
          <w:bCs/>
          <w:color w:val="auto"/>
        </w:rPr>
      </w:pPr>
    </w:p>
    <w:p w14:paraId="768A5F92">
      <w:pPr>
        <w:pStyle w:val="34"/>
        <w:ind w:firstLine="0"/>
        <w:jc w:val="both"/>
        <w:rPr>
          <w:rFonts w:ascii="宋体" w:hAnsi="宋体" w:cs="宋体"/>
          <w:b/>
          <w:bCs/>
          <w:color w:val="auto"/>
        </w:rPr>
      </w:pPr>
      <w:r>
        <w:rPr>
          <w:rFonts w:hint="eastAsia" w:ascii="宋体" w:hAnsi="宋体" w:cs="宋体"/>
          <w:b/>
          <w:bCs/>
          <w:color w:val="auto"/>
        </w:rPr>
        <w:t>附件一</w:t>
      </w:r>
      <w:bookmarkStart w:id="66" w:name="_Toc517190894"/>
    </w:p>
    <w:p w14:paraId="3D3E5DEA">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66"/>
    </w:p>
    <w:p w14:paraId="6CB7E62D">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30F5ECAB">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88F7D3D">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1E9183EF">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3A48839E">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7C89C529">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291ECBD2">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0ED1A804">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69E8960E">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9C22C4C">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23DF3B20">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63456D98">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2993CC6B">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5DAE188C">
      <w:pPr>
        <w:pStyle w:val="34"/>
        <w:spacing w:before="0" w:after="0"/>
        <w:ind w:left="440" w:leftChars="200" w:firstLine="482" w:firstLineChars="200"/>
        <w:rPr>
          <w:rFonts w:ascii="宋体" w:hAnsi="宋体" w:cs="宋体"/>
          <w:b/>
          <w:color w:val="auto"/>
          <w:kern w:val="2"/>
          <w:u w:val="single"/>
        </w:rPr>
      </w:pPr>
    </w:p>
    <w:p w14:paraId="7ECA3FF5">
      <w:pPr>
        <w:pStyle w:val="34"/>
        <w:spacing w:before="0" w:after="0"/>
        <w:ind w:left="440" w:leftChars="200" w:firstLine="482" w:firstLineChars="200"/>
        <w:rPr>
          <w:rFonts w:ascii="宋体" w:hAnsi="宋体" w:cs="宋体"/>
          <w:b/>
          <w:color w:val="auto"/>
          <w:kern w:val="2"/>
          <w:u w:val="single"/>
        </w:rPr>
      </w:pPr>
    </w:p>
    <w:p w14:paraId="1BBE1823">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41E0207A">
      <w:pPr>
        <w:pStyle w:val="34"/>
        <w:spacing w:before="0" w:after="0"/>
        <w:rPr>
          <w:rFonts w:ascii="宋体" w:hAnsi="宋体" w:cs="宋体"/>
          <w:color w:val="auto"/>
          <w:kern w:val="2"/>
        </w:rPr>
      </w:pPr>
      <w:r>
        <w:rPr>
          <w:rFonts w:hint="eastAsia" w:ascii="宋体" w:hAnsi="宋体" w:cs="宋体"/>
          <w:color w:val="auto"/>
          <w:kern w:val="2"/>
        </w:rPr>
        <w:t>法定代表人（签字）：</w:t>
      </w:r>
    </w:p>
    <w:p w14:paraId="2C517DEC">
      <w:pPr>
        <w:pStyle w:val="34"/>
        <w:spacing w:before="0" w:after="0"/>
        <w:rPr>
          <w:rFonts w:ascii="宋体" w:hAnsi="宋体" w:cs="宋体"/>
          <w:color w:val="auto"/>
          <w:kern w:val="2"/>
        </w:rPr>
      </w:pPr>
      <w:r>
        <w:rPr>
          <w:rFonts w:hint="eastAsia" w:ascii="宋体" w:hAnsi="宋体" w:cs="宋体"/>
          <w:color w:val="auto"/>
          <w:kern w:val="2"/>
        </w:rPr>
        <w:t>投标人名称（公章）：</w:t>
      </w:r>
    </w:p>
    <w:p w14:paraId="1938AEBE">
      <w:pPr>
        <w:pStyle w:val="34"/>
        <w:spacing w:before="0" w:after="0"/>
        <w:ind w:left="440" w:leftChars="200" w:firstLine="3000" w:firstLineChars="1250"/>
        <w:rPr>
          <w:rFonts w:ascii="宋体" w:hAnsi="宋体" w:cs="宋体"/>
          <w:color w:val="auto"/>
          <w:kern w:val="2"/>
        </w:rPr>
      </w:pPr>
    </w:p>
    <w:p w14:paraId="6E8E5F30">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625EFEA1">
      <w:pPr>
        <w:pStyle w:val="34"/>
        <w:ind w:firstLine="0"/>
        <w:jc w:val="both"/>
        <w:rPr>
          <w:rFonts w:ascii="宋体" w:hAnsi="宋体" w:cs="宋体"/>
          <w:color w:val="auto"/>
        </w:rPr>
      </w:pPr>
      <w:r>
        <w:rPr>
          <w:rFonts w:hint="eastAsia" w:ascii="宋体" w:hAnsi="宋体" w:cs="宋体"/>
          <w:b/>
          <w:bCs/>
          <w:color w:val="auto"/>
        </w:rPr>
        <w:t>附件二</w:t>
      </w:r>
    </w:p>
    <w:p w14:paraId="16ECCFF1">
      <w:pPr>
        <w:pStyle w:val="34"/>
        <w:ind w:firstLine="0"/>
        <w:jc w:val="center"/>
        <w:rPr>
          <w:rFonts w:ascii="宋体" w:hAnsi="宋体" w:cs="宋体"/>
          <w:b/>
          <w:color w:val="auto"/>
          <w:sz w:val="28"/>
          <w:szCs w:val="28"/>
        </w:rPr>
      </w:pPr>
      <w:bookmarkStart w:id="67" w:name="_Toc517190895"/>
      <w:r>
        <w:rPr>
          <w:rFonts w:hint="eastAsia" w:ascii="宋体" w:hAnsi="宋体" w:cs="宋体"/>
          <w:b/>
          <w:color w:val="auto"/>
          <w:sz w:val="28"/>
          <w:szCs w:val="28"/>
        </w:rPr>
        <w:t>授权书</w:t>
      </w:r>
      <w:bookmarkEnd w:id="67"/>
    </w:p>
    <w:p w14:paraId="11DD2B2E">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E44D4E8">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5E1B502">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25C0C9F">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B315A09">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4285F3B">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FE14A94">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2BF1C23D">
      <w:pPr>
        <w:pStyle w:val="50"/>
        <w:spacing w:line="360" w:lineRule="auto"/>
        <w:ind w:firstLine="480"/>
        <w:jc w:val="right"/>
        <w:rPr>
          <w:rFonts w:ascii="宋体" w:hAnsi="宋体" w:cs="宋体"/>
          <w:color w:val="auto"/>
          <w:sz w:val="24"/>
          <w:szCs w:val="24"/>
        </w:rPr>
      </w:pPr>
    </w:p>
    <w:p w14:paraId="511E4670">
      <w:pPr>
        <w:pStyle w:val="50"/>
        <w:spacing w:line="360" w:lineRule="auto"/>
        <w:ind w:firstLine="480"/>
        <w:rPr>
          <w:rFonts w:ascii="宋体" w:hAnsi="宋体" w:cs="宋体"/>
          <w:color w:val="auto"/>
          <w:sz w:val="24"/>
          <w:szCs w:val="24"/>
        </w:rPr>
      </w:pPr>
    </w:p>
    <w:p w14:paraId="198E2DC2">
      <w:pPr>
        <w:pStyle w:val="50"/>
        <w:spacing w:line="360" w:lineRule="auto"/>
        <w:ind w:firstLine="480"/>
        <w:rPr>
          <w:rFonts w:ascii="宋体" w:hAnsi="宋体" w:cs="宋体"/>
          <w:color w:val="auto"/>
          <w:sz w:val="24"/>
          <w:szCs w:val="24"/>
        </w:rPr>
      </w:pPr>
    </w:p>
    <w:p w14:paraId="0C8D94BA">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5223E899">
      <w:pPr>
        <w:pStyle w:val="50"/>
        <w:spacing w:line="360" w:lineRule="auto"/>
        <w:ind w:firstLine="480"/>
        <w:rPr>
          <w:rFonts w:ascii="宋体" w:hAnsi="宋体" w:cs="宋体"/>
          <w:color w:val="auto"/>
          <w:sz w:val="24"/>
          <w:szCs w:val="24"/>
        </w:rPr>
      </w:pPr>
    </w:p>
    <w:p w14:paraId="428E4912">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18F1FCBA">
      <w:pPr>
        <w:pStyle w:val="50"/>
        <w:spacing w:line="360" w:lineRule="auto"/>
        <w:ind w:firstLine="480"/>
        <w:jc w:val="right"/>
        <w:rPr>
          <w:rFonts w:ascii="宋体" w:hAnsi="宋体" w:cs="宋体"/>
          <w:color w:val="auto"/>
          <w:sz w:val="24"/>
          <w:szCs w:val="24"/>
        </w:rPr>
      </w:pPr>
    </w:p>
    <w:p w14:paraId="5F24F97F">
      <w:pPr>
        <w:pStyle w:val="50"/>
        <w:spacing w:line="360" w:lineRule="auto"/>
        <w:ind w:firstLine="0" w:firstLineChars="0"/>
        <w:rPr>
          <w:rFonts w:ascii="宋体" w:hAnsi="宋体" w:cs="宋体"/>
          <w:color w:val="auto"/>
          <w:sz w:val="24"/>
          <w:szCs w:val="24"/>
        </w:rPr>
      </w:pPr>
    </w:p>
    <w:p w14:paraId="6A007E83">
      <w:pPr>
        <w:pStyle w:val="50"/>
        <w:spacing w:line="360" w:lineRule="auto"/>
        <w:ind w:firstLine="480"/>
        <w:jc w:val="right"/>
        <w:rPr>
          <w:rFonts w:ascii="宋体" w:hAnsi="宋体" w:cs="宋体"/>
          <w:color w:val="auto"/>
          <w:sz w:val="24"/>
          <w:szCs w:val="24"/>
        </w:rPr>
      </w:pPr>
    </w:p>
    <w:p w14:paraId="27B1337F">
      <w:pPr>
        <w:pStyle w:val="50"/>
        <w:spacing w:line="360" w:lineRule="auto"/>
        <w:ind w:firstLine="480"/>
        <w:jc w:val="right"/>
        <w:rPr>
          <w:rFonts w:ascii="宋体" w:hAnsi="宋体" w:cs="宋体"/>
          <w:color w:val="auto"/>
          <w:sz w:val="24"/>
          <w:szCs w:val="24"/>
        </w:rPr>
      </w:pPr>
    </w:p>
    <w:p w14:paraId="7CCD4333">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4B4E9BF1">
      <w:pPr>
        <w:pStyle w:val="5"/>
        <w:spacing w:line="360" w:lineRule="auto"/>
        <w:rPr>
          <w:rFonts w:ascii="宋体" w:hAnsi="宋体" w:eastAsia="宋体" w:cs="宋体"/>
          <w:color w:val="auto"/>
          <w:sz w:val="24"/>
          <w:szCs w:val="24"/>
        </w:rPr>
      </w:pPr>
      <w:bookmarkStart w:id="68" w:name="_Hlt26671380"/>
      <w:bookmarkEnd w:id="68"/>
      <w:bookmarkStart w:id="69" w:name="_Hlt26955070"/>
      <w:bookmarkEnd w:id="69"/>
      <w:bookmarkStart w:id="70" w:name="_格式3__银行出具的资信证明"/>
      <w:bookmarkEnd w:id="70"/>
    </w:p>
    <w:p w14:paraId="24B32769">
      <w:pPr>
        <w:pStyle w:val="3"/>
        <w:spacing w:line="360" w:lineRule="auto"/>
        <w:rPr>
          <w:rFonts w:ascii="宋体" w:hAnsi="宋体" w:eastAsia="宋体" w:cs="宋体"/>
          <w:color w:val="auto"/>
          <w:sz w:val="24"/>
          <w:szCs w:val="24"/>
        </w:rPr>
      </w:pPr>
    </w:p>
    <w:p w14:paraId="541E7110">
      <w:pPr>
        <w:rPr>
          <w:rFonts w:ascii="宋体" w:hAnsi="宋体" w:eastAsia="宋体" w:cs="宋体"/>
          <w:color w:val="auto"/>
          <w:sz w:val="24"/>
          <w:szCs w:val="24"/>
        </w:rPr>
      </w:pPr>
    </w:p>
    <w:p w14:paraId="2CD90618">
      <w:pPr>
        <w:pStyle w:val="11"/>
        <w:ind w:left="1540" w:right="1540"/>
        <w:rPr>
          <w:rFonts w:ascii="宋体" w:hAnsi="宋体" w:eastAsia="宋体" w:cs="宋体"/>
          <w:color w:val="auto"/>
          <w:sz w:val="24"/>
          <w:szCs w:val="24"/>
        </w:rPr>
      </w:pPr>
    </w:p>
    <w:p w14:paraId="5D171BF2">
      <w:pPr>
        <w:pStyle w:val="11"/>
        <w:ind w:left="1540" w:right="1540"/>
        <w:rPr>
          <w:rFonts w:ascii="宋体" w:hAnsi="宋体" w:eastAsia="宋体" w:cs="宋体"/>
          <w:color w:val="auto"/>
          <w:sz w:val="24"/>
          <w:szCs w:val="24"/>
        </w:rPr>
      </w:pPr>
    </w:p>
    <w:p w14:paraId="2B903EA6">
      <w:pPr>
        <w:pStyle w:val="11"/>
        <w:ind w:left="1540" w:right="1540"/>
        <w:rPr>
          <w:rFonts w:ascii="宋体" w:hAnsi="宋体" w:eastAsia="宋体" w:cs="宋体"/>
          <w:color w:val="auto"/>
          <w:sz w:val="24"/>
          <w:szCs w:val="24"/>
        </w:rPr>
      </w:pPr>
    </w:p>
    <w:p w14:paraId="16539173">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71" w:name="_Toc517190896"/>
    </w:p>
    <w:p w14:paraId="22B7FD95">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71"/>
    </w:p>
    <w:p w14:paraId="7DD7671E">
      <w:pPr>
        <w:spacing w:line="360" w:lineRule="auto"/>
        <w:ind w:firstLine="480"/>
        <w:rPr>
          <w:rFonts w:ascii="宋体" w:hAnsi="宋体" w:eastAsia="宋体" w:cs="宋体"/>
          <w:color w:val="auto"/>
          <w:sz w:val="24"/>
          <w:szCs w:val="24"/>
        </w:rPr>
      </w:pPr>
    </w:p>
    <w:p w14:paraId="5C3CE83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C4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5F7BE6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EA6B03F">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574FE7A4">
            <w:pPr>
              <w:pStyle w:val="8"/>
              <w:adjustRightInd w:val="0"/>
              <w:snapToGrid w:val="0"/>
              <w:spacing w:line="360" w:lineRule="auto"/>
              <w:rPr>
                <w:rFonts w:ascii="宋体" w:hAnsi="宋体" w:eastAsia="宋体" w:cs="宋体"/>
                <w:color w:val="auto"/>
                <w:sz w:val="24"/>
                <w:szCs w:val="24"/>
              </w:rPr>
            </w:pPr>
          </w:p>
          <w:p w14:paraId="7B980C34">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1644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CD040FD">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4210DAA1">
            <w:pPr>
              <w:pStyle w:val="8"/>
              <w:adjustRightInd w:val="0"/>
              <w:snapToGrid w:val="0"/>
              <w:spacing w:line="360" w:lineRule="auto"/>
              <w:ind w:firstLine="1560" w:firstLineChars="650"/>
              <w:rPr>
                <w:rFonts w:ascii="宋体" w:hAnsi="宋体" w:eastAsia="宋体" w:cs="宋体"/>
                <w:color w:val="auto"/>
                <w:sz w:val="24"/>
                <w:szCs w:val="24"/>
              </w:rPr>
            </w:pPr>
          </w:p>
        </w:tc>
      </w:tr>
      <w:tr w14:paraId="18F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A44869F">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794CEBC">
            <w:pPr>
              <w:pStyle w:val="8"/>
              <w:adjustRightInd w:val="0"/>
              <w:snapToGrid w:val="0"/>
              <w:spacing w:line="360" w:lineRule="auto"/>
              <w:ind w:firstLine="1560" w:firstLineChars="650"/>
              <w:rPr>
                <w:rFonts w:ascii="宋体" w:hAnsi="宋体" w:eastAsia="宋体" w:cs="宋体"/>
                <w:color w:val="auto"/>
                <w:sz w:val="24"/>
                <w:szCs w:val="24"/>
              </w:rPr>
            </w:pPr>
          </w:p>
        </w:tc>
      </w:tr>
      <w:tr w14:paraId="2359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B7D37F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08777F08">
            <w:pPr>
              <w:pStyle w:val="8"/>
              <w:adjustRightInd w:val="0"/>
              <w:snapToGrid w:val="0"/>
              <w:spacing w:line="360" w:lineRule="auto"/>
              <w:ind w:firstLine="1560" w:firstLineChars="650"/>
              <w:rPr>
                <w:rFonts w:ascii="宋体" w:hAnsi="宋体" w:eastAsia="宋体" w:cs="宋体"/>
                <w:color w:val="auto"/>
                <w:sz w:val="24"/>
                <w:szCs w:val="24"/>
              </w:rPr>
            </w:pPr>
          </w:p>
        </w:tc>
      </w:tr>
      <w:tr w14:paraId="7B0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E948B93">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EC3C4AE">
            <w:pPr>
              <w:pStyle w:val="8"/>
              <w:adjustRightInd w:val="0"/>
              <w:snapToGrid w:val="0"/>
              <w:spacing w:line="360" w:lineRule="auto"/>
              <w:ind w:firstLine="1560" w:firstLineChars="650"/>
              <w:rPr>
                <w:rFonts w:ascii="宋体" w:hAnsi="宋体" w:eastAsia="宋体" w:cs="宋体"/>
                <w:color w:val="auto"/>
                <w:sz w:val="24"/>
                <w:szCs w:val="24"/>
              </w:rPr>
            </w:pPr>
          </w:p>
        </w:tc>
      </w:tr>
    </w:tbl>
    <w:p w14:paraId="63C644AD">
      <w:pPr>
        <w:spacing w:line="360" w:lineRule="auto"/>
        <w:rPr>
          <w:rFonts w:ascii="宋体" w:hAnsi="宋体" w:eastAsia="宋体" w:cs="宋体"/>
          <w:color w:val="auto"/>
          <w:sz w:val="24"/>
          <w:szCs w:val="24"/>
        </w:rPr>
      </w:pPr>
    </w:p>
    <w:p w14:paraId="652FB62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12896CA">
      <w:pPr>
        <w:pStyle w:val="11"/>
        <w:ind w:left="1540" w:right="1540"/>
        <w:rPr>
          <w:color w:val="auto"/>
        </w:rPr>
      </w:pPr>
    </w:p>
    <w:p w14:paraId="73166B32">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135CB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F3B8DA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0218189E">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68161D7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A2858F1">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A8F3849">
      <w:pPr>
        <w:spacing w:line="360" w:lineRule="auto"/>
        <w:rPr>
          <w:rFonts w:ascii="宋体" w:hAnsi="宋体" w:eastAsia="宋体" w:cs="宋体"/>
          <w:b/>
          <w:bCs/>
          <w:color w:val="auto"/>
          <w:sz w:val="24"/>
          <w:szCs w:val="24"/>
        </w:rPr>
      </w:pPr>
    </w:p>
    <w:p w14:paraId="0D47CD4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1B1AB837">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51C0C50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42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B46CB6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554369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370101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829D6A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97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907C616">
            <w:pPr>
              <w:spacing w:line="360" w:lineRule="auto"/>
              <w:rPr>
                <w:rFonts w:ascii="宋体" w:hAnsi="宋体" w:eastAsia="宋体" w:cs="宋体"/>
                <w:color w:val="auto"/>
                <w:sz w:val="24"/>
                <w:szCs w:val="24"/>
              </w:rPr>
            </w:pPr>
          </w:p>
        </w:tc>
        <w:tc>
          <w:tcPr>
            <w:tcW w:w="1567" w:type="dxa"/>
            <w:vAlign w:val="center"/>
          </w:tcPr>
          <w:p w14:paraId="7318B9E2">
            <w:pPr>
              <w:spacing w:line="360" w:lineRule="auto"/>
              <w:rPr>
                <w:rFonts w:ascii="宋体" w:hAnsi="宋体" w:eastAsia="宋体" w:cs="宋体"/>
                <w:color w:val="auto"/>
                <w:sz w:val="24"/>
                <w:szCs w:val="24"/>
              </w:rPr>
            </w:pPr>
          </w:p>
        </w:tc>
        <w:tc>
          <w:tcPr>
            <w:tcW w:w="1442" w:type="dxa"/>
            <w:vAlign w:val="center"/>
          </w:tcPr>
          <w:p w14:paraId="27F4BCAF">
            <w:pPr>
              <w:spacing w:line="360" w:lineRule="auto"/>
              <w:rPr>
                <w:rFonts w:ascii="宋体" w:hAnsi="宋体" w:eastAsia="宋体" w:cs="宋体"/>
                <w:color w:val="auto"/>
                <w:sz w:val="24"/>
                <w:szCs w:val="24"/>
              </w:rPr>
            </w:pPr>
          </w:p>
        </w:tc>
        <w:tc>
          <w:tcPr>
            <w:tcW w:w="2781" w:type="dxa"/>
            <w:vAlign w:val="center"/>
          </w:tcPr>
          <w:p w14:paraId="648B4336">
            <w:pPr>
              <w:spacing w:line="360" w:lineRule="auto"/>
              <w:rPr>
                <w:rFonts w:ascii="宋体" w:hAnsi="宋体" w:eastAsia="宋体" w:cs="宋体"/>
                <w:color w:val="auto"/>
                <w:sz w:val="24"/>
                <w:szCs w:val="24"/>
              </w:rPr>
            </w:pPr>
          </w:p>
        </w:tc>
      </w:tr>
      <w:tr w14:paraId="171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6F4DF6D">
            <w:pPr>
              <w:spacing w:line="360" w:lineRule="auto"/>
              <w:rPr>
                <w:rFonts w:ascii="宋体" w:hAnsi="宋体" w:eastAsia="宋体" w:cs="宋体"/>
                <w:color w:val="auto"/>
                <w:sz w:val="24"/>
                <w:szCs w:val="24"/>
              </w:rPr>
            </w:pPr>
          </w:p>
        </w:tc>
        <w:tc>
          <w:tcPr>
            <w:tcW w:w="1567" w:type="dxa"/>
            <w:vAlign w:val="center"/>
          </w:tcPr>
          <w:p w14:paraId="5A9E823B">
            <w:pPr>
              <w:spacing w:line="360" w:lineRule="auto"/>
              <w:rPr>
                <w:rFonts w:ascii="宋体" w:hAnsi="宋体" w:eastAsia="宋体" w:cs="宋体"/>
                <w:color w:val="auto"/>
                <w:sz w:val="24"/>
                <w:szCs w:val="24"/>
              </w:rPr>
            </w:pPr>
          </w:p>
        </w:tc>
        <w:tc>
          <w:tcPr>
            <w:tcW w:w="1442" w:type="dxa"/>
            <w:vAlign w:val="center"/>
          </w:tcPr>
          <w:p w14:paraId="69696152">
            <w:pPr>
              <w:spacing w:line="360" w:lineRule="auto"/>
              <w:rPr>
                <w:rFonts w:ascii="宋体" w:hAnsi="宋体" w:eastAsia="宋体" w:cs="宋体"/>
                <w:color w:val="auto"/>
                <w:sz w:val="24"/>
                <w:szCs w:val="24"/>
              </w:rPr>
            </w:pPr>
          </w:p>
        </w:tc>
        <w:tc>
          <w:tcPr>
            <w:tcW w:w="2781" w:type="dxa"/>
            <w:vAlign w:val="center"/>
          </w:tcPr>
          <w:p w14:paraId="6EEBB8C9">
            <w:pPr>
              <w:spacing w:line="360" w:lineRule="auto"/>
              <w:rPr>
                <w:rFonts w:ascii="宋体" w:hAnsi="宋体" w:eastAsia="宋体" w:cs="宋体"/>
                <w:color w:val="auto"/>
                <w:sz w:val="24"/>
                <w:szCs w:val="24"/>
              </w:rPr>
            </w:pPr>
          </w:p>
        </w:tc>
      </w:tr>
      <w:tr w14:paraId="6111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A9E519F">
            <w:pPr>
              <w:spacing w:line="360" w:lineRule="auto"/>
              <w:rPr>
                <w:rFonts w:ascii="宋体" w:hAnsi="宋体" w:eastAsia="宋体" w:cs="宋体"/>
                <w:color w:val="auto"/>
                <w:sz w:val="24"/>
                <w:szCs w:val="24"/>
              </w:rPr>
            </w:pPr>
          </w:p>
        </w:tc>
        <w:tc>
          <w:tcPr>
            <w:tcW w:w="1567" w:type="dxa"/>
            <w:vAlign w:val="center"/>
          </w:tcPr>
          <w:p w14:paraId="70BCE2DC">
            <w:pPr>
              <w:spacing w:line="360" w:lineRule="auto"/>
              <w:rPr>
                <w:rFonts w:ascii="宋体" w:hAnsi="宋体" w:eastAsia="宋体" w:cs="宋体"/>
                <w:color w:val="auto"/>
                <w:sz w:val="24"/>
                <w:szCs w:val="24"/>
              </w:rPr>
            </w:pPr>
          </w:p>
        </w:tc>
        <w:tc>
          <w:tcPr>
            <w:tcW w:w="1442" w:type="dxa"/>
            <w:vAlign w:val="center"/>
          </w:tcPr>
          <w:p w14:paraId="0CD5DBCA">
            <w:pPr>
              <w:spacing w:line="360" w:lineRule="auto"/>
              <w:rPr>
                <w:rFonts w:ascii="宋体" w:hAnsi="宋体" w:eastAsia="宋体" w:cs="宋体"/>
                <w:color w:val="auto"/>
                <w:sz w:val="24"/>
                <w:szCs w:val="24"/>
              </w:rPr>
            </w:pPr>
          </w:p>
        </w:tc>
        <w:tc>
          <w:tcPr>
            <w:tcW w:w="2781" w:type="dxa"/>
            <w:vAlign w:val="center"/>
          </w:tcPr>
          <w:p w14:paraId="28715A39">
            <w:pPr>
              <w:spacing w:line="360" w:lineRule="auto"/>
              <w:rPr>
                <w:rFonts w:ascii="宋体" w:hAnsi="宋体" w:eastAsia="宋体" w:cs="宋体"/>
                <w:color w:val="auto"/>
                <w:sz w:val="24"/>
                <w:szCs w:val="24"/>
              </w:rPr>
            </w:pPr>
          </w:p>
        </w:tc>
      </w:tr>
      <w:tr w14:paraId="260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21C916E">
            <w:pPr>
              <w:spacing w:line="360" w:lineRule="auto"/>
              <w:rPr>
                <w:rFonts w:ascii="宋体" w:hAnsi="宋体" w:eastAsia="宋体" w:cs="宋体"/>
                <w:color w:val="auto"/>
                <w:sz w:val="24"/>
                <w:szCs w:val="24"/>
              </w:rPr>
            </w:pPr>
          </w:p>
        </w:tc>
        <w:tc>
          <w:tcPr>
            <w:tcW w:w="1567" w:type="dxa"/>
            <w:vAlign w:val="center"/>
          </w:tcPr>
          <w:p w14:paraId="6D606FF0">
            <w:pPr>
              <w:spacing w:line="360" w:lineRule="auto"/>
              <w:rPr>
                <w:rFonts w:ascii="宋体" w:hAnsi="宋体" w:eastAsia="宋体" w:cs="宋体"/>
                <w:color w:val="auto"/>
                <w:sz w:val="24"/>
                <w:szCs w:val="24"/>
              </w:rPr>
            </w:pPr>
          </w:p>
        </w:tc>
        <w:tc>
          <w:tcPr>
            <w:tcW w:w="1442" w:type="dxa"/>
            <w:vAlign w:val="center"/>
          </w:tcPr>
          <w:p w14:paraId="7FD69F64">
            <w:pPr>
              <w:spacing w:line="360" w:lineRule="auto"/>
              <w:rPr>
                <w:rFonts w:ascii="宋体" w:hAnsi="宋体" w:eastAsia="宋体" w:cs="宋体"/>
                <w:color w:val="auto"/>
                <w:sz w:val="24"/>
                <w:szCs w:val="24"/>
              </w:rPr>
            </w:pPr>
          </w:p>
        </w:tc>
        <w:tc>
          <w:tcPr>
            <w:tcW w:w="2781" w:type="dxa"/>
            <w:vAlign w:val="center"/>
          </w:tcPr>
          <w:p w14:paraId="3B9001A0">
            <w:pPr>
              <w:spacing w:line="360" w:lineRule="auto"/>
              <w:rPr>
                <w:rFonts w:ascii="宋体" w:hAnsi="宋体" w:eastAsia="宋体" w:cs="宋体"/>
                <w:color w:val="auto"/>
                <w:sz w:val="24"/>
                <w:szCs w:val="24"/>
              </w:rPr>
            </w:pPr>
          </w:p>
        </w:tc>
      </w:tr>
      <w:tr w14:paraId="35F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BE86CC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8493143">
            <w:pPr>
              <w:spacing w:line="360" w:lineRule="auto"/>
              <w:rPr>
                <w:rFonts w:ascii="宋体" w:hAnsi="宋体" w:eastAsia="宋体" w:cs="宋体"/>
                <w:color w:val="auto"/>
                <w:sz w:val="24"/>
                <w:szCs w:val="24"/>
              </w:rPr>
            </w:pPr>
          </w:p>
        </w:tc>
      </w:tr>
    </w:tbl>
    <w:p w14:paraId="55DE067C">
      <w:pPr>
        <w:spacing w:line="360" w:lineRule="auto"/>
        <w:rPr>
          <w:rFonts w:ascii="宋体" w:hAnsi="宋体" w:eastAsia="宋体" w:cs="宋体"/>
          <w:color w:val="auto"/>
          <w:sz w:val="24"/>
          <w:szCs w:val="24"/>
        </w:rPr>
      </w:pPr>
    </w:p>
    <w:p w14:paraId="7880812F">
      <w:pPr>
        <w:spacing w:line="360" w:lineRule="auto"/>
        <w:rPr>
          <w:rFonts w:ascii="宋体" w:hAnsi="宋体" w:eastAsia="宋体" w:cs="宋体"/>
          <w:color w:val="auto"/>
          <w:sz w:val="24"/>
          <w:szCs w:val="24"/>
        </w:rPr>
      </w:pPr>
    </w:p>
    <w:p w14:paraId="7FA2E4BE">
      <w:pPr>
        <w:spacing w:line="360" w:lineRule="auto"/>
        <w:rPr>
          <w:rFonts w:ascii="宋体" w:hAnsi="宋体" w:eastAsia="宋体" w:cs="宋体"/>
          <w:color w:val="auto"/>
          <w:sz w:val="24"/>
          <w:szCs w:val="24"/>
        </w:rPr>
      </w:pPr>
    </w:p>
    <w:p w14:paraId="61C0A1B3">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C902779">
      <w:pPr>
        <w:pStyle w:val="11"/>
        <w:ind w:left="1540" w:right="1540"/>
        <w:rPr>
          <w:color w:val="auto"/>
        </w:rPr>
      </w:pPr>
    </w:p>
    <w:p w14:paraId="3674852F">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177B799">
      <w:pPr>
        <w:spacing w:line="360" w:lineRule="auto"/>
        <w:jc w:val="center"/>
        <w:rPr>
          <w:rFonts w:ascii="宋体" w:hAnsi="宋体" w:eastAsia="宋体" w:cs="宋体"/>
          <w:color w:val="auto"/>
          <w:sz w:val="24"/>
          <w:szCs w:val="24"/>
        </w:rPr>
      </w:pPr>
    </w:p>
    <w:p w14:paraId="7B557B9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AAD8D96">
      <w:pPr>
        <w:spacing w:line="360" w:lineRule="auto"/>
        <w:rPr>
          <w:rFonts w:ascii="宋体" w:hAnsi="宋体" w:eastAsia="宋体" w:cs="宋体"/>
          <w:color w:val="auto"/>
          <w:sz w:val="24"/>
          <w:szCs w:val="24"/>
        </w:rPr>
      </w:pPr>
    </w:p>
    <w:p w14:paraId="58A1D678">
      <w:pPr>
        <w:spacing w:line="360" w:lineRule="auto"/>
        <w:rPr>
          <w:rFonts w:ascii="宋体" w:hAnsi="宋体" w:eastAsia="宋体" w:cs="宋体"/>
          <w:b/>
          <w:bCs/>
          <w:color w:val="auto"/>
          <w:sz w:val="24"/>
          <w:szCs w:val="24"/>
        </w:rPr>
      </w:pPr>
    </w:p>
    <w:p w14:paraId="114EEC8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6A5F91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743DE69">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18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B96BE5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4E61F9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78F837A">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3DC4505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20C7A58">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65C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AD4D1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7496B3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11BEFD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7EFA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1E9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43A143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C043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853E58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B8F69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26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A6EA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48F6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A69BFC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29E7A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8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4FABB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A57F8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F7ACC8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3F37E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DE8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8989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D3D3B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7155A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51AFDA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A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F8CB1E">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4F20C9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26FAFE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532CF808">
            <w:pPr>
              <w:spacing w:line="360" w:lineRule="auto"/>
              <w:rPr>
                <w:rFonts w:ascii="宋体" w:hAnsi="宋体" w:eastAsia="宋体" w:cs="宋体"/>
                <w:color w:val="auto"/>
                <w:sz w:val="24"/>
                <w:szCs w:val="24"/>
              </w:rPr>
            </w:pPr>
          </w:p>
        </w:tc>
      </w:tr>
      <w:tr w14:paraId="61B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CF5433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86AEE6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12CA058">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D6695CE">
            <w:pPr>
              <w:spacing w:line="360" w:lineRule="auto"/>
              <w:rPr>
                <w:rFonts w:ascii="宋体" w:hAnsi="宋体" w:eastAsia="宋体" w:cs="宋体"/>
                <w:color w:val="auto"/>
                <w:sz w:val="24"/>
                <w:szCs w:val="24"/>
              </w:rPr>
            </w:pPr>
          </w:p>
        </w:tc>
      </w:tr>
    </w:tbl>
    <w:p w14:paraId="064462B1">
      <w:pPr>
        <w:spacing w:line="360" w:lineRule="auto"/>
        <w:rPr>
          <w:rFonts w:ascii="宋体" w:hAnsi="宋体" w:eastAsia="宋体" w:cs="宋体"/>
          <w:color w:val="auto"/>
          <w:sz w:val="24"/>
          <w:szCs w:val="24"/>
        </w:rPr>
      </w:pPr>
    </w:p>
    <w:p w14:paraId="537151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CD570AA">
      <w:pPr>
        <w:spacing w:line="360" w:lineRule="auto"/>
        <w:rPr>
          <w:rFonts w:ascii="宋体" w:hAnsi="宋体" w:eastAsia="宋体" w:cs="宋体"/>
          <w:color w:val="auto"/>
          <w:sz w:val="24"/>
          <w:szCs w:val="24"/>
        </w:rPr>
      </w:pPr>
    </w:p>
    <w:p w14:paraId="7A69CD3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A652220">
      <w:pPr>
        <w:pStyle w:val="11"/>
        <w:ind w:left="1540" w:right="1540"/>
        <w:rPr>
          <w:color w:val="auto"/>
        </w:rPr>
      </w:pPr>
    </w:p>
    <w:p w14:paraId="2366948E">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56B2F6D">
      <w:pPr>
        <w:spacing w:line="360" w:lineRule="auto"/>
        <w:jc w:val="center"/>
        <w:rPr>
          <w:rFonts w:ascii="宋体" w:hAnsi="宋体" w:eastAsia="宋体" w:cs="宋体"/>
          <w:color w:val="auto"/>
          <w:sz w:val="24"/>
          <w:szCs w:val="24"/>
        </w:rPr>
      </w:pPr>
    </w:p>
    <w:p w14:paraId="4126770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3ADC69B">
      <w:pPr>
        <w:pStyle w:val="11"/>
        <w:ind w:left="1540" w:right="1540"/>
        <w:rPr>
          <w:color w:val="auto"/>
        </w:rPr>
      </w:pPr>
    </w:p>
    <w:p w14:paraId="53B177E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63"/>
      <w:bookmarkEnd w:id="64"/>
      <w:bookmarkEnd w:id="65"/>
      <w:bookmarkStart w:id="72" w:name="_Toc120614284"/>
      <w:r>
        <w:rPr>
          <w:rFonts w:hint="eastAsia" w:ascii="宋体" w:hAnsi="宋体" w:eastAsia="宋体" w:cs="宋体"/>
          <w:b/>
          <w:bCs/>
          <w:color w:val="auto"/>
          <w:sz w:val="24"/>
          <w:szCs w:val="24"/>
        </w:rPr>
        <w:t>六</w:t>
      </w:r>
    </w:p>
    <w:p w14:paraId="05E4D4A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40DC7298">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9A0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89CE56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A430EE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5FF774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37B0DCB">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111291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005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6907C2">
            <w:pPr>
              <w:spacing w:line="360" w:lineRule="auto"/>
              <w:jc w:val="center"/>
              <w:rPr>
                <w:rFonts w:ascii="宋体" w:hAnsi="宋体" w:eastAsia="宋体" w:cs="宋体"/>
                <w:color w:val="auto"/>
                <w:sz w:val="24"/>
                <w:szCs w:val="24"/>
              </w:rPr>
            </w:pPr>
          </w:p>
        </w:tc>
        <w:tc>
          <w:tcPr>
            <w:tcW w:w="2335" w:type="dxa"/>
          </w:tcPr>
          <w:p w14:paraId="08FB1614">
            <w:pPr>
              <w:spacing w:line="360" w:lineRule="auto"/>
              <w:jc w:val="center"/>
              <w:rPr>
                <w:rFonts w:ascii="宋体" w:hAnsi="宋体" w:eastAsia="宋体" w:cs="宋体"/>
                <w:color w:val="auto"/>
                <w:sz w:val="24"/>
                <w:szCs w:val="24"/>
              </w:rPr>
            </w:pPr>
          </w:p>
        </w:tc>
        <w:tc>
          <w:tcPr>
            <w:tcW w:w="2836" w:type="dxa"/>
          </w:tcPr>
          <w:p w14:paraId="28F17A20">
            <w:pPr>
              <w:spacing w:line="360" w:lineRule="auto"/>
              <w:jc w:val="center"/>
              <w:rPr>
                <w:rFonts w:ascii="宋体" w:hAnsi="宋体" w:eastAsia="宋体" w:cs="宋体"/>
                <w:color w:val="auto"/>
                <w:sz w:val="24"/>
                <w:szCs w:val="24"/>
              </w:rPr>
            </w:pPr>
          </w:p>
        </w:tc>
        <w:tc>
          <w:tcPr>
            <w:tcW w:w="2176" w:type="dxa"/>
          </w:tcPr>
          <w:p w14:paraId="1BEDD756">
            <w:pPr>
              <w:spacing w:line="360" w:lineRule="auto"/>
              <w:jc w:val="center"/>
              <w:rPr>
                <w:rFonts w:ascii="宋体" w:hAnsi="宋体" w:eastAsia="宋体" w:cs="宋体"/>
                <w:color w:val="auto"/>
                <w:sz w:val="24"/>
                <w:szCs w:val="24"/>
              </w:rPr>
            </w:pPr>
          </w:p>
        </w:tc>
      </w:tr>
      <w:tr w14:paraId="409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D9DEB78">
            <w:pPr>
              <w:spacing w:line="360" w:lineRule="auto"/>
              <w:jc w:val="center"/>
              <w:rPr>
                <w:rFonts w:ascii="宋体" w:hAnsi="宋体" w:eastAsia="宋体" w:cs="宋体"/>
                <w:color w:val="auto"/>
                <w:sz w:val="24"/>
                <w:szCs w:val="24"/>
              </w:rPr>
            </w:pPr>
          </w:p>
        </w:tc>
        <w:tc>
          <w:tcPr>
            <w:tcW w:w="2335" w:type="dxa"/>
          </w:tcPr>
          <w:p w14:paraId="2F1103CC">
            <w:pPr>
              <w:spacing w:line="360" w:lineRule="auto"/>
              <w:jc w:val="center"/>
              <w:rPr>
                <w:rFonts w:ascii="宋体" w:hAnsi="宋体" w:eastAsia="宋体" w:cs="宋体"/>
                <w:color w:val="auto"/>
                <w:sz w:val="24"/>
                <w:szCs w:val="24"/>
              </w:rPr>
            </w:pPr>
          </w:p>
        </w:tc>
        <w:tc>
          <w:tcPr>
            <w:tcW w:w="2836" w:type="dxa"/>
          </w:tcPr>
          <w:p w14:paraId="4A408A21">
            <w:pPr>
              <w:spacing w:line="360" w:lineRule="auto"/>
              <w:jc w:val="center"/>
              <w:rPr>
                <w:rFonts w:ascii="宋体" w:hAnsi="宋体" w:eastAsia="宋体" w:cs="宋体"/>
                <w:color w:val="auto"/>
                <w:sz w:val="24"/>
                <w:szCs w:val="24"/>
              </w:rPr>
            </w:pPr>
          </w:p>
        </w:tc>
        <w:tc>
          <w:tcPr>
            <w:tcW w:w="2176" w:type="dxa"/>
          </w:tcPr>
          <w:p w14:paraId="51148C33">
            <w:pPr>
              <w:spacing w:line="360" w:lineRule="auto"/>
              <w:jc w:val="center"/>
              <w:rPr>
                <w:rFonts w:ascii="宋体" w:hAnsi="宋体" w:eastAsia="宋体" w:cs="宋体"/>
                <w:color w:val="auto"/>
                <w:sz w:val="24"/>
                <w:szCs w:val="24"/>
              </w:rPr>
            </w:pPr>
          </w:p>
        </w:tc>
      </w:tr>
      <w:tr w14:paraId="5D4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3DC5A70">
            <w:pPr>
              <w:spacing w:line="360" w:lineRule="auto"/>
              <w:jc w:val="center"/>
              <w:rPr>
                <w:rFonts w:ascii="宋体" w:hAnsi="宋体" w:eastAsia="宋体" w:cs="宋体"/>
                <w:color w:val="auto"/>
                <w:sz w:val="24"/>
                <w:szCs w:val="24"/>
              </w:rPr>
            </w:pPr>
          </w:p>
        </w:tc>
        <w:tc>
          <w:tcPr>
            <w:tcW w:w="2335" w:type="dxa"/>
          </w:tcPr>
          <w:p w14:paraId="1F45A666">
            <w:pPr>
              <w:spacing w:line="360" w:lineRule="auto"/>
              <w:jc w:val="center"/>
              <w:rPr>
                <w:rFonts w:ascii="宋体" w:hAnsi="宋体" w:eastAsia="宋体" w:cs="宋体"/>
                <w:color w:val="auto"/>
                <w:sz w:val="24"/>
                <w:szCs w:val="24"/>
              </w:rPr>
            </w:pPr>
          </w:p>
        </w:tc>
        <w:tc>
          <w:tcPr>
            <w:tcW w:w="2836" w:type="dxa"/>
          </w:tcPr>
          <w:p w14:paraId="16BCD9F8">
            <w:pPr>
              <w:spacing w:line="360" w:lineRule="auto"/>
              <w:jc w:val="center"/>
              <w:rPr>
                <w:rFonts w:ascii="宋体" w:hAnsi="宋体" w:eastAsia="宋体" w:cs="宋体"/>
                <w:color w:val="auto"/>
                <w:sz w:val="24"/>
                <w:szCs w:val="24"/>
              </w:rPr>
            </w:pPr>
          </w:p>
        </w:tc>
        <w:tc>
          <w:tcPr>
            <w:tcW w:w="2176" w:type="dxa"/>
          </w:tcPr>
          <w:p w14:paraId="6884C07F">
            <w:pPr>
              <w:spacing w:line="360" w:lineRule="auto"/>
              <w:jc w:val="center"/>
              <w:rPr>
                <w:rFonts w:ascii="宋体" w:hAnsi="宋体" w:eastAsia="宋体" w:cs="宋体"/>
                <w:color w:val="auto"/>
                <w:sz w:val="24"/>
                <w:szCs w:val="24"/>
              </w:rPr>
            </w:pPr>
          </w:p>
        </w:tc>
      </w:tr>
      <w:tr w14:paraId="7D5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375FB4">
            <w:pPr>
              <w:spacing w:line="360" w:lineRule="auto"/>
              <w:jc w:val="center"/>
              <w:rPr>
                <w:rFonts w:ascii="宋体" w:hAnsi="宋体" w:eastAsia="宋体" w:cs="宋体"/>
                <w:color w:val="auto"/>
                <w:sz w:val="24"/>
                <w:szCs w:val="24"/>
              </w:rPr>
            </w:pPr>
          </w:p>
        </w:tc>
        <w:tc>
          <w:tcPr>
            <w:tcW w:w="2335" w:type="dxa"/>
          </w:tcPr>
          <w:p w14:paraId="1AD7657A">
            <w:pPr>
              <w:spacing w:line="360" w:lineRule="auto"/>
              <w:jc w:val="center"/>
              <w:rPr>
                <w:rFonts w:ascii="宋体" w:hAnsi="宋体" w:eastAsia="宋体" w:cs="宋体"/>
                <w:color w:val="auto"/>
                <w:sz w:val="24"/>
                <w:szCs w:val="24"/>
              </w:rPr>
            </w:pPr>
          </w:p>
        </w:tc>
        <w:tc>
          <w:tcPr>
            <w:tcW w:w="2836" w:type="dxa"/>
          </w:tcPr>
          <w:p w14:paraId="3433643E">
            <w:pPr>
              <w:spacing w:line="360" w:lineRule="auto"/>
              <w:jc w:val="center"/>
              <w:rPr>
                <w:rFonts w:ascii="宋体" w:hAnsi="宋体" w:eastAsia="宋体" w:cs="宋体"/>
                <w:color w:val="auto"/>
                <w:sz w:val="24"/>
                <w:szCs w:val="24"/>
              </w:rPr>
            </w:pPr>
          </w:p>
        </w:tc>
        <w:tc>
          <w:tcPr>
            <w:tcW w:w="2176" w:type="dxa"/>
          </w:tcPr>
          <w:p w14:paraId="08B2588B">
            <w:pPr>
              <w:spacing w:line="360" w:lineRule="auto"/>
              <w:jc w:val="center"/>
              <w:rPr>
                <w:rFonts w:ascii="宋体" w:hAnsi="宋体" w:eastAsia="宋体" w:cs="宋体"/>
                <w:color w:val="auto"/>
                <w:sz w:val="24"/>
                <w:szCs w:val="24"/>
              </w:rPr>
            </w:pPr>
          </w:p>
        </w:tc>
      </w:tr>
      <w:tr w14:paraId="73A7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F0EC74">
            <w:pPr>
              <w:spacing w:line="360" w:lineRule="auto"/>
              <w:jc w:val="center"/>
              <w:rPr>
                <w:rFonts w:ascii="宋体" w:hAnsi="宋体" w:eastAsia="宋体" w:cs="宋体"/>
                <w:color w:val="auto"/>
                <w:sz w:val="24"/>
                <w:szCs w:val="24"/>
              </w:rPr>
            </w:pPr>
          </w:p>
        </w:tc>
        <w:tc>
          <w:tcPr>
            <w:tcW w:w="2335" w:type="dxa"/>
          </w:tcPr>
          <w:p w14:paraId="590A4D10">
            <w:pPr>
              <w:spacing w:line="360" w:lineRule="auto"/>
              <w:jc w:val="center"/>
              <w:rPr>
                <w:rFonts w:ascii="宋体" w:hAnsi="宋体" w:eastAsia="宋体" w:cs="宋体"/>
                <w:color w:val="auto"/>
                <w:sz w:val="24"/>
                <w:szCs w:val="24"/>
              </w:rPr>
            </w:pPr>
          </w:p>
        </w:tc>
        <w:tc>
          <w:tcPr>
            <w:tcW w:w="2836" w:type="dxa"/>
          </w:tcPr>
          <w:p w14:paraId="33DA6E29">
            <w:pPr>
              <w:spacing w:line="360" w:lineRule="auto"/>
              <w:jc w:val="center"/>
              <w:rPr>
                <w:rFonts w:ascii="宋体" w:hAnsi="宋体" w:eastAsia="宋体" w:cs="宋体"/>
                <w:color w:val="auto"/>
                <w:sz w:val="24"/>
                <w:szCs w:val="24"/>
              </w:rPr>
            </w:pPr>
          </w:p>
        </w:tc>
        <w:tc>
          <w:tcPr>
            <w:tcW w:w="2176" w:type="dxa"/>
          </w:tcPr>
          <w:p w14:paraId="56C81671">
            <w:pPr>
              <w:spacing w:line="360" w:lineRule="auto"/>
              <w:jc w:val="center"/>
              <w:rPr>
                <w:rFonts w:ascii="宋体" w:hAnsi="宋体" w:eastAsia="宋体" w:cs="宋体"/>
                <w:color w:val="auto"/>
                <w:sz w:val="24"/>
                <w:szCs w:val="24"/>
              </w:rPr>
            </w:pPr>
          </w:p>
        </w:tc>
      </w:tr>
      <w:tr w14:paraId="2980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C4DBC64">
            <w:pPr>
              <w:spacing w:line="360" w:lineRule="auto"/>
              <w:jc w:val="center"/>
              <w:rPr>
                <w:rFonts w:ascii="宋体" w:hAnsi="宋体" w:eastAsia="宋体" w:cs="宋体"/>
                <w:color w:val="auto"/>
                <w:sz w:val="24"/>
                <w:szCs w:val="24"/>
              </w:rPr>
            </w:pPr>
          </w:p>
          <w:p w14:paraId="680695CE">
            <w:pPr>
              <w:spacing w:line="360" w:lineRule="auto"/>
              <w:jc w:val="center"/>
              <w:rPr>
                <w:rFonts w:ascii="宋体" w:hAnsi="宋体" w:eastAsia="宋体" w:cs="宋体"/>
                <w:color w:val="auto"/>
                <w:sz w:val="24"/>
                <w:szCs w:val="24"/>
              </w:rPr>
            </w:pPr>
          </w:p>
        </w:tc>
        <w:tc>
          <w:tcPr>
            <w:tcW w:w="2335" w:type="dxa"/>
          </w:tcPr>
          <w:p w14:paraId="01EB163C">
            <w:pPr>
              <w:spacing w:line="360" w:lineRule="auto"/>
              <w:jc w:val="center"/>
              <w:rPr>
                <w:rFonts w:ascii="宋体" w:hAnsi="宋体" w:eastAsia="宋体" w:cs="宋体"/>
                <w:color w:val="auto"/>
                <w:sz w:val="24"/>
                <w:szCs w:val="24"/>
              </w:rPr>
            </w:pPr>
          </w:p>
        </w:tc>
        <w:tc>
          <w:tcPr>
            <w:tcW w:w="2836" w:type="dxa"/>
          </w:tcPr>
          <w:p w14:paraId="29A16BCD">
            <w:pPr>
              <w:spacing w:line="360" w:lineRule="auto"/>
              <w:jc w:val="center"/>
              <w:rPr>
                <w:rFonts w:ascii="宋体" w:hAnsi="宋体" w:eastAsia="宋体" w:cs="宋体"/>
                <w:color w:val="auto"/>
                <w:sz w:val="24"/>
                <w:szCs w:val="24"/>
              </w:rPr>
            </w:pPr>
          </w:p>
        </w:tc>
        <w:tc>
          <w:tcPr>
            <w:tcW w:w="2176" w:type="dxa"/>
          </w:tcPr>
          <w:p w14:paraId="60385E4E">
            <w:pPr>
              <w:spacing w:line="360" w:lineRule="auto"/>
              <w:jc w:val="center"/>
              <w:rPr>
                <w:rFonts w:ascii="宋体" w:hAnsi="宋体" w:eastAsia="宋体" w:cs="宋体"/>
                <w:color w:val="auto"/>
                <w:sz w:val="24"/>
                <w:szCs w:val="24"/>
              </w:rPr>
            </w:pPr>
          </w:p>
        </w:tc>
      </w:tr>
      <w:tr w14:paraId="1D1A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FEEE6B6">
            <w:pPr>
              <w:spacing w:line="360" w:lineRule="auto"/>
              <w:jc w:val="center"/>
              <w:rPr>
                <w:rFonts w:ascii="宋体" w:hAnsi="宋体" w:eastAsia="宋体" w:cs="宋体"/>
                <w:color w:val="auto"/>
                <w:sz w:val="24"/>
                <w:szCs w:val="24"/>
              </w:rPr>
            </w:pPr>
          </w:p>
        </w:tc>
        <w:tc>
          <w:tcPr>
            <w:tcW w:w="2335" w:type="dxa"/>
          </w:tcPr>
          <w:p w14:paraId="68E93D69">
            <w:pPr>
              <w:spacing w:line="360" w:lineRule="auto"/>
              <w:jc w:val="center"/>
              <w:rPr>
                <w:rFonts w:ascii="宋体" w:hAnsi="宋体" w:eastAsia="宋体" w:cs="宋体"/>
                <w:color w:val="auto"/>
                <w:sz w:val="24"/>
                <w:szCs w:val="24"/>
              </w:rPr>
            </w:pPr>
          </w:p>
        </w:tc>
        <w:tc>
          <w:tcPr>
            <w:tcW w:w="2836" w:type="dxa"/>
          </w:tcPr>
          <w:p w14:paraId="146BD54E">
            <w:pPr>
              <w:spacing w:line="360" w:lineRule="auto"/>
              <w:jc w:val="center"/>
              <w:rPr>
                <w:rFonts w:ascii="宋体" w:hAnsi="宋体" w:eastAsia="宋体" w:cs="宋体"/>
                <w:color w:val="auto"/>
                <w:sz w:val="24"/>
                <w:szCs w:val="24"/>
              </w:rPr>
            </w:pPr>
          </w:p>
        </w:tc>
        <w:tc>
          <w:tcPr>
            <w:tcW w:w="2176" w:type="dxa"/>
          </w:tcPr>
          <w:p w14:paraId="0CB1AE0A">
            <w:pPr>
              <w:spacing w:line="360" w:lineRule="auto"/>
              <w:jc w:val="center"/>
              <w:rPr>
                <w:rFonts w:ascii="宋体" w:hAnsi="宋体" w:eastAsia="宋体" w:cs="宋体"/>
                <w:color w:val="auto"/>
                <w:sz w:val="24"/>
                <w:szCs w:val="24"/>
              </w:rPr>
            </w:pPr>
          </w:p>
        </w:tc>
      </w:tr>
      <w:tr w14:paraId="1AF8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4CEFEBD">
            <w:pPr>
              <w:spacing w:line="360" w:lineRule="auto"/>
              <w:jc w:val="center"/>
              <w:rPr>
                <w:rFonts w:ascii="宋体" w:hAnsi="宋体" w:eastAsia="宋体" w:cs="宋体"/>
                <w:color w:val="auto"/>
                <w:sz w:val="24"/>
                <w:szCs w:val="24"/>
              </w:rPr>
            </w:pPr>
          </w:p>
        </w:tc>
        <w:tc>
          <w:tcPr>
            <w:tcW w:w="2335" w:type="dxa"/>
          </w:tcPr>
          <w:p w14:paraId="4CFCF006">
            <w:pPr>
              <w:spacing w:line="360" w:lineRule="auto"/>
              <w:jc w:val="center"/>
              <w:rPr>
                <w:rFonts w:ascii="宋体" w:hAnsi="宋体" w:eastAsia="宋体" w:cs="宋体"/>
                <w:color w:val="auto"/>
                <w:sz w:val="24"/>
                <w:szCs w:val="24"/>
              </w:rPr>
            </w:pPr>
          </w:p>
        </w:tc>
        <w:tc>
          <w:tcPr>
            <w:tcW w:w="2836" w:type="dxa"/>
          </w:tcPr>
          <w:p w14:paraId="65A754B7">
            <w:pPr>
              <w:spacing w:line="360" w:lineRule="auto"/>
              <w:jc w:val="center"/>
              <w:rPr>
                <w:rFonts w:ascii="宋体" w:hAnsi="宋体" w:eastAsia="宋体" w:cs="宋体"/>
                <w:color w:val="auto"/>
                <w:sz w:val="24"/>
                <w:szCs w:val="24"/>
              </w:rPr>
            </w:pPr>
          </w:p>
        </w:tc>
        <w:tc>
          <w:tcPr>
            <w:tcW w:w="2176" w:type="dxa"/>
          </w:tcPr>
          <w:p w14:paraId="753E0F50">
            <w:pPr>
              <w:spacing w:line="360" w:lineRule="auto"/>
              <w:jc w:val="center"/>
              <w:rPr>
                <w:rFonts w:ascii="宋体" w:hAnsi="宋体" w:eastAsia="宋体" w:cs="宋体"/>
                <w:color w:val="auto"/>
                <w:sz w:val="24"/>
                <w:szCs w:val="24"/>
              </w:rPr>
            </w:pPr>
          </w:p>
        </w:tc>
      </w:tr>
    </w:tbl>
    <w:p w14:paraId="3983CA30">
      <w:pPr>
        <w:spacing w:line="360" w:lineRule="auto"/>
        <w:rPr>
          <w:rFonts w:ascii="宋体" w:hAnsi="宋体" w:eastAsia="宋体" w:cs="宋体"/>
          <w:color w:val="auto"/>
          <w:sz w:val="24"/>
          <w:szCs w:val="24"/>
        </w:rPr>
      </w:pPr>
    </w:p>
    <w:p w14:paraId="2BC11581">
      <w:pPr>
        <w:spacing w:line="360" w:lineRule="auto"/>
        <w:rPr>
          <w:rFonts w:ascii="宋体" w:hAnsi="宋体" w:eastAsia="宋体" w:cs="宋体"/>
          <w:color w:val="auto"/>
          <w:sz w:val="24"/>
          <w:szCs w:val="24"/>
        </w:rPr>
      </w:pPr>
    </w:p>
    <w:p w14:paraId="4B682BA7">
      <w:pPr>
        <w:spacing w:line="360" w:lineRule="auto"/>
        <w:rPr>
          <w:rFonts w:ascii="宋体" w:hAnsi="宋体" w:eastAsia="宋体" w:cs="宋体"/>
          <w:color w:val="auto"/>
          <w:sz w:val="24"/>
          <w:szCs w:val="24"/>
        </w:rPr>
      </w:pPr>
    </w:p>
    <w:p w14:paraId="315EB1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EC9EF63">
      <w:pPr>
        <w:pStyle w:val="11"/>
        <w:ind w:left="1540" w:right="1540"/>
        <w:rPr>
          <w:color w:val="auto"/>
        </w:rPr>
      </w:pPr>
    </w:p>
    <w:p w14:paraId="25617C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A75B984">
      <w:pPr>
        <w:spacing w:line="360" w:lineRule="auto"/>
        <w:rPr>
          <w:rFonts w:ascii="宋体" w:hAnsi="宋体" w:eastAsia="宋体" w:cs="宋体"/>
          <w:color w:val="auto"/>
          <w:sz w:val="24"/>
          <w:szCs w:val="24"/>
        </w:rPr>
      </w:pPr>
    </w:p>
    <w:p w14:paraId="38E49F3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2C679D">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4D33D18">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5F3A86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81072E7">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494FF23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748D829">
      <w:pPr>
        <w:spacing w:line="360" w:lineRule="auto"/>
        <w:ind w:firstLine="480" w:firstLineChars="200"/>
        <w:rPr>
          <w:rFonts w:ascii="宋体" w:hAnsi="宋体" w:eastAsia="宋体" w:cs="宋体"/>
          <w:color w:val="auto"/>
          <w:sz w:val="24"/>
          <w:szCs w:val="24"/>
        </w:rPr>
      </w:pPr>
    </w:p>
    <w:p w14:paraId="40D9C533">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23C98A1">
      <w:pPr>
        <w:pStyle w:val="11"/>
        <w:ind w:left="1540" w:right="1540"/>
        <w:rPr>
          <w:rFonts w:ascii="宋体" w:hAnsi="宋体" w:eastAsia="宋体" w:cs="宋体"/>
          <w:color w:val="auto"/>
          <w:sz w:val="24"/>
          <w:szCs w:val="24"/>
        </w:rPr>
      </w:pPr>
    </w:p>
    <w:p w14:paraId="56A72B68">
      <w:pPr>
        <w:pStyle w:val="11"/>
        <w:ind w:left="1540" w:right="1540"/>
        <w:rPr>
          <w:rFonts w:ascii="宋体" w:hAnsi="宋体" w:eastAsia="宋体" w:cs="宋体"/>
          <w:color w:val="auto"/>
          <w:sz w:val="24"/>
          <w:szCs w:val="24"/>
        </w:rPr>
      </w:pPr>
    </w:p>
    <w:p w14:paraId="726A0AA4">
      <w:pPr>
        <w:pStyle w:val="11"/>
        <w:ind w:left="1540" w:right="1540"/>
        <w:rPr>
          <w:rFonts w:ascii="宋体" w:hAnsi="宋体" w:eastAsia="宋体" w:cs="宋体"/>
          <w:color w:val="auto"/>
          <w:sz w:val="24"/>
          <w:szCs w:val="24"/>
        </w:rPr>
      </w:pPr>
    </w:p>
    <w:p w14:paraId="353C1838">
      <w:pPr>
        <w:spacing w:line="360" w:lineRule="auto"/>
        <w:rPr>
          <w:rFonts w:ascii="宋体" w:hAnsi="宋体" w:eastAsia="宋体" w:cs="宋体"/>
          <w:color w:val="auto"/>
          <w:sz w:val="24"/>
          <w:szCs w:val="24"/>
        </w:rPr>
      </w:pPr>
    </w:p>
    <w:p w14:paraId="6A9D796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3DA1F92">
      <w:pPr>
        <w:pStyle w:val="11"/>
        <w:ind w:left="1540" w:right="1540"/>
        <w:rPr>
          <w:color w:val="auto"/>
        </w:rPr>
      </w:pPr>
    </w:p>
    <w:p w14:paraId="2F58B05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2AC0DF8">
      <w:pPr>
        <w:spacing w:line="360" w:lineRule="auto"/>
        <w:rPr>
          <w:rFonts w:ascii="宋体" w:hAnsi="宋体" w:eastAsia="宋体" w:cs="宋体"/>
          <w:color w:val="auto"/>
          <w:sz w:val="24"/>
          <w:szCs w:val="24"/>
        </w:rPr>
      </w:pPr>
    </w:p>
    <w:p w14:paraId="54A2B182">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7FF1914">
      <w:pPr>
        <w:pStyle w:val="5"/>
        <w:spacing w:line="360" w:lineRule="auto"/>
        <w:rPr>
          <w:rFonts w:ascii="宋体" w:hAnsi="宋体" w:eastAsia="宋体" w:cs="宋体"/>
          <w:color w:val="auto"/>
          <w:sz w:val="24"/>
          <w:szCs w:val="24"/>
        </w:rPr>
      </w:pPr>
    </w:p>
    <w:bookmarkEnd w:id="72"/>
    <w:p w14:paraId="3AA84906">
      <w:pPr>
        <w:pStyle w:val="34"/>
        <w:ind w:firstLine="0"/>
        <w:rPr>
          <w:rFonts w:ascii="宋体" w:hAnsi="宋体" w:cs="宋体"/>
          <w:color w:val="auto"/>
        </w:rPr>
      </w:pPr>
    </w:p>
    <w:p w14:paraId="37FE7D02">
      <w:pPr>
        <w:pStyle w:val="34"/>
        <w:ind w:firstLine="0"/>
        <w:rPr>
          <w:rFonts w:ascii="宋体" w:hAnsi="宋体" w:cs="宋体"/>
          <w:color w:val="auto"/>
        </w:rPr>
      </w:pPr>
    </w:p>
    <w:p w14:paraId="4102EBDC">
      <w:pPr>
        <w:pStyle w:val="34"/>
        <w:ind w:firstLine="0"/>
        <w:rPr>
          <w:rFonts w:ascii="宋体" w:hAnsi="宋体" w:cs="宋体"/>
          <w:color w:val="auto"/>
        </w:rPr>
      </w:pPr>
    </w:p>
    <w:p w14:paraId="62FD14E0">
      <w:pPr>
        <w:autoSpaceDE w:val="0"/>
        <w:autoSpaceDN w:val="0"/>
        <w:spacing w:after="0" w:line="360" w:lineRule="auto"/>
        <w:rPr>
          <w:rFonts w:ascii="Arial" w:hAnsi="Arial" w:eastAsia="宋体" w:cs="Arial"/>
          <w:b/>
          <w:color w:val="auto"/>
          <w:sz w:val="24"/>
          <w:szCs w:val="24"/>
        </w:rPr>
      </w:pPr>
      <w:bookmarkStart w:id="73"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AB7B5C4">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28EB82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3A2B74E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023EC77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A24C4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60079A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383FEB2">
      <w:pPr>
        <w:spacing w:line="360" w:lineRule="auto"/>
        <w:rPr>
          <w:rFonts w:ascii="宋体" w:hAnsi="宋体" w:eastAsia="宋体" w:cs="宋体"/>
          <w:color w:val="auto"/>
          <w:sz w:val="24"/>
          <w:szCs w:val="24"/>
        </w:rPr>
      </w:pPr>
    </w:p>
    <w:p w14:paraId="0FA68E48">
      <w:pPr>
        <w:spacing w:line="360" w:lineRule="auto"/>
        <w:rPr>
          <w:rFonts w:ascii="宋体" w:hAnsi="宋体" w:eastAsia="宋体" w:cs="宋体"/>
          <w:color w:val="auto"/>
          <w:sz w:val="24"/>
          <w:szCs w:val="24"/>
        </w:rPr>
      </w:pPr>
    </w:p>
    <w:p w14:paraId="5E4D9B98">
      <w:pPr>
        <w:spacing w:line="360" w:lineRule="auto"/>
        <w:rPr>
          <w:rFonts w:ascii="宋体" w:hAnsi="宋体" w:eastAsia="宋体" w:cs="宋体"/>
          <w:color w:val="auto"/>
          <w:sz w:val="24"/>
          <w:szCs w:val="24"/>
        </w:rPr>
      </w:pPr>
    </w:p>
    <w:p w14:paraId="73B95DD2">
      <w:pPr>
        <w:spacing w:line="360" w:lineRule="auto"/>
        <w:rPr>
          <w:rFonts w:ascii="宋体" w:hAnsi="宋体" w:eastAsia="宋体" w:cs="宋体"/>
          <w:color w:val="auto"/>
          <w:sz w:val="24"/>
          <w:szCs w:val="24"/>
        </w:rPr>
      </w:pPr>
    </w:p>
    <w:p w14:paraId="3A683F41">
      <w:pPr>
        <w:spacing w:line="360" w:lineRule="auto"/>
        <w:rPr>
          <w:rFonts w:ascii="宋体" w:hAnsi="宋体" w:eastAsia="宋体" w:cs="宋体"/>
          <w:color w:val="auto"/>
          <w:sz w:val="24"/>
          <w:szCs w:val="24"/>
        </w:rPr>
      </w:pPr>
    </w:p>
    <w:p w14:paraId="29C42F9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042FE66">
      <w:pPr>
        <w:pStyle w:val="11"/>
        <w:ind w:left="1540" w:right="1540"/>
        <w:rPr>
          <w:color w:val="auto"/>
        </w:rPr>
      </w:pPr>
    </w:p>
    <w:p w14:paraId="3D1D2DE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6F76EF0">
      <w:pPr>
        <w:spacing w:line="360" w:lineRule="auto"/>
        <w:rPr>
          <w:rFonts w:ascii="宋体" w:hAnsi="宋体" w:eastAsia="宋体" w:cs="宋体"/>
          <w:color w:val="auto"/>
          <w:sz w:val="24"/>
          <w:szCs w:val="24"/>
        </w:rPr>
      </w:pPr>
    </w:p>
    <w:p w14:paraId="0300EAC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7BCF9A9">
      <w:pPr>
        <w:spacing w:line="360" w:lineRule="auto"/>
        <w:rPr>
          <w:rFonts w:ascii="宋体" w:hAnsi="宋体" w:eastAsia="宋体" w:cs="宋体"/>
          <w:color w:val="auto"/>
          <w:sz w:val="24"/>
          <w:szCs w:val="24"/>
        </w:rPr>
      </w:pPr>
    </w:p>
    <w:p w14:paraId="4D040551">
      <w:pPr>
        <w:spacing w:line="460" w:lineRule="exact"/>
        <w:ind w:firstLine="492"/>
        <w:rPr>
          <w:rFonts w:ascii="宋体" w:hAnsi="宋体" w:eastAsia="宋体" w:cs="宋体"/>
          <w:color w:val="auto"/>
          <w:sz w:val="24"/>
          <w:szCs w:val="24"/>
        </w:rPr>
      </w:pPr>
    </w:p>
    <w:p w14:paraId="1C7A9350">
      <w:pPr>
        <w:spacing w:line="460" w:lineRule="exact"/>
        <w:ind w:firstLine="492"/>
        <w:rPr>
          <w:rFonts w:ascii="宋体" w:hAnsi="宋体" w:eastAsia="宋体" w:cs="宋体"/>
          <w:color w:val="auto"/>
          <w:sz w:val="24"/>
          <w:szCs w:val="24"/>
        </w:rPr>
      </w:pPr>
    </w:p>
    <w:p w14:paraId="1107C19F">
      <w:pPr>
        <w:autoSpaceDE w:val="0"/>
        <w:autoSpaceDN w:val="0"/>
        <w:spacing w:after="0" w:line="360" w:lineRule="auto"/>
        <w:rPr>
          <w:rFonts w:ascii="Arial" w:hAnsi="Arial" w:eastAsia="宋体" w:cs="Arial"/>
          <w:b/>
          <w:color w:val="auto"/>
          <w:sz w:val="24"/>
          <w:szCs w:val="24"/>
        </w:rPr>
      </w:pPr>
    </w:p>
    <w:p w14:paraId="0CAD987E">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5A223662">
      <w:pPr>
        <w:spacing w:line="360" w:lineRule="auto"/>
        <w:jc w:val="center"/>
        <w:rPr>
          <w:rFonts w:ascii="宋体" w:hAnsi="宋体" w:eastAsia="宋体" w:cs="宋体"/>
          <w:b/>
          <w:color w:val="auto"/>
          <w:sz w:val="28"/>
          <w:szCs w:val="28"/>
        </w:rPr>
      </w:pPr>
      <w:bookmarkStart w:id="74" w:name="_Toc7690"/>
      <w:bookmarkStart w:id="75" w:name="_Toc896"/>
      <w:r>
        <w:rPr>
          <w:rFonts w:hint="eastAsia" w:ascii="宋体" w:hAnsi="宋体" w:eastAsia="宋体" w:cs="宋体"/>
          <w:b/>
          <w:color w:val="auto"/>
          <w:sz w:val="28"/>
          <w:szCs w:val="28"/>
        </w:rPr>
        <w:t>中小企业声明函（货物）</w:t>
      </w:r>
      <w:bookmarkEnd w:id="74"/>
      <w:bookmarkEnd w:id="75"/>
    </w:p>
    <w:p w14:paraId="53D9F68D">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68C015D">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321C0C2">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116E91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B0A723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68D64FC">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02C30577">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A02CA8F">
      <w:pPr>
        <w:pStyle w:val="8"/>
        <w:adjustRightInd w:val="0"/>
        <w:snapToGrid w:val="0"/>
        <w:spacing w:line="360" w:lineRule="auto"/>
        <w:ind w:firstLine="480" w:firstLineChars="200"/>
        <w:rPr>
          <w:rFonts w:ascii="宋体" w:hAnsi="宋体" w:eastAsia="宋体" w:cs="宋体"/>
          <w:snapToGrid w:val="0"/>
          <w:color w:val="auto"/>
          <w:sz w:val="24"/>
          <w:szCs w:val="24"/>
        </w:rPr>
      </w:pPr>
    </w:p>
    <w:p w14:paraId="750DA9E7">
      <w:pPr>
        <w:pStyle w:val="8"/>
        <w:adjustRightInd w:val="0"/>
        <w:snapToGrid w:val="0"/>
        <w:spacing w:line="300" w:lineRule="auto"/>
        <w:rPr>
          <w:rFonts w:ascii="宋体" w:hAnsi="宋体" w:eastAsia="宋体" w:cs="宋体"/>
          <w:snapToGrid w:val="0"/>
          <w:color w:val="auto"/>
          <w:sz w:val="24"/>
          <w:szCs w:val="24"/>
        </w:rPr>
      </w:pPr>
    </w:p>
    <w:p w14:paraId="449B9D4E">
      <w:pPr>
        <w:spacing w:line="360" w:lineRule="auto"/>
        <w:ind w:left="5500" w:leftChars="2500"/>
        <w:rPr>
          <w:rFonts w:ascii="宋体" w:hAnsi="宋体" w:eastAsia="宋体" w:cs="宋体"/>
          <w:color w:val="auto"/>
          <w:sz w:val="24"/>
          <w:szCs w:val="24"/>
        </w:rPr>
      </w:pPr>
    </w:p>
    <w:p w14:paraId="4E4BFA1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5E0C1B4">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56A0DF81">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73"/>
      <w:r>
        <w:rPr>
          <w:rFonts w:hint="eastAsia" w:ascii="宋体" w:hAnsi="宋体" w:eastAsia="宋体" w:cs="宋体"/>
          <w:color w:val="auto"/>
          <w:sz w:val="24"/>
          <w:szCs w:val="24"/>
        </w:rPr>
        <w:t xml:space="preserve">  年  月  日</w:t>
      </w:r>
    </w:p>
    <w:p w14:paraId="1BB022AA">
      <w:pPr>
        <w:pStyle w:val="34"/>
        <w:ind w:firstLine="0"/>
        <w:rPr>
          <w:rFonts w:ascii="宋体" w:hAnsi="宋体" w:cs="宋体"/>
          <w:color w:val="auto"/>
        </w:rPr>
      </w:pPr>
      <w:r>
        <w:rPr>
          <w:rFonts w:hint="eastAsia" w:ascii="宋体" w:hAnsi="宋体" w:cs="宋体"/>
          <w:color w:val="auto"/>
        </w:rPr>
        <w:br w:type="page"/>
      </w:r>
    </w:p>
    <w:p w14:paraId="6390B3B2">
      <w:pPr>
        <w:pStyle w:val="34"/>
        <w:ind w:firstLine="0"/>
        <w:rPr>
          <w:rFonts w:ascii="宋体" w:hAnsi="宋体" w:cs="宋体"/>
          <w:color w:val="auto"/>
        </w:rPr>
      </w:pPr>
      <w:r>
        <w:rPr>
          <w:rFonts w:cs="Arial"/>
          <w:b/>
          <w:color w:val="auto"/>
        </w:rPr>
        <w:t>附件</w:t>
      </w:r>
      <w:r>
        <w:rPr>
          <w:rFonts w:hint="eastAsia" w:cs="Arial"/>
          <w:b/>
          <w:color w:val="auto"/>
        </w:rPr>
        <w:t>十</w:t>
      </w:r>
    </w:p>
    <w:p w14:paraId="0E589948">
      <w:pPr>
        <w:spacing w:line="360" w:lineRule="auto"/>
        <w:jc w:val="center"/>
        <w:rPr>
          <w:rFonts w:ascii="宋体" w:hAnsi="宋体" w:eastAsia="宋体" w:cs="宋体"/>
          <w:b/>
          <w:color w:val="auto"/>
          <w:sz w:val="28"/>
          <w:szCs w:val="28"/>
        </w:rPr>
      </w:pPr>
      <w:bookmarkStart w:id="76" w:name="_Toc1046"/>
      <w:bookmarkStart w:id="77" w:name="_Toc4019"/>
      <w:r>
        <w:rPr>
          <w:rFonts w:hint="eastAsia" w:ascii="宋体" w:hAnsi="宋体" w:eastAsia="宋体" w:cs="宋体"/>
          <w:b/>
          <w:color w:val="auto"/>
          <w:sz w:val="28"/>
          <w:szCs w:val="28"/>
        </w:rPr>
        <w:t>残疾人福利性单位声明函</w:t>
      </w:r>
      <w:bookmarkEnd w:id="76"/>
      <w:bookmarkEnd w:id="77"/>
    </w:p>
    <w:p w14:paraId="475CE461">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8" w:name="_Hlk60666078"/>
      <w:r>
        <w:rPr>
          <w:rFonts w:hint="eastAsia" w:ascii="宋体" w:hAnsi="宋体" w:eastAsia="宋体" w:cs="宋体"/>
          <w:snapToGrid w:val="0"/>
          <w:color w:val="auto"/>
          <w:sz w:val="24"/>
          <w:szCs w:val="24"/>
          <w:u w:val="single"/>
        </w:rPr>
        <w:t xml:space="preserve"> [采购人名称] </w:t>
      </w:r>
      <w:bookmarkEnd w:id="78"/>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9" w:name="_Hlk60666088"/>
      <w:r>
        <w:rPr>
          <w:rFonts w:hint="eastAsia" w:ascii="宋体" w:hAnsi="宋体" w:eastAsia="宋体" w:cs="宋体"/>
          <w:snapToGrid w:val="0"/>
          <w:color w:val="auto"/>
          <w:sz w:val="24"/>
          <w:szCs w:val="24"/>
          <w:u w:val="single"/>
        </w:rPr>
        <w:t xml:space="preserve"> [项目编号] </w:t>
      </w:r>
      <w:bookmarkEnd w:id="7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80" w:name="_Hlk60666094"/>
      <w:r>
        <w:rPr>
          <w:rFonts w:hint="eastAsia" w:ascii="宋体" w:hAnsi="宋体" w:eastAsia="宋体" w:cs="宋体"/>
          <w:snapToGrid w:val="0"/>
          <w:color w:val="auto"/>
          <w:sz w:val="24"/>
          <w:szCs w:val="24"/>
          <w:u w:val="single"/>
        </w:rPr>
        <w:t>[项目名称]</w:t>
      </w:r>
      <w:bookmarkEnd w:id="80"/>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81" w:name="_Hlk60666108"/>
      <w:r>
        <w:rPr>
          <w:rFonts w:hint="eastAsia" w:ascii="宋体" w:hAnsi="宋体" w:eastAsia="宋体" w:cs="宋体"/>
          <w:color w:val="auto"/>
          <w:sz w:val="24"/>
          <w:szCs w:val="24"/>
          <w:u w:val="single"/>
        </w:rPr>
        <w:t xml:space="preserve">  [残疾人福利性单位名称]  </w:t>
      </w:r>
      <w:bookmarkEnd w:id="81"/>
      <w:r>
        <w:rPr>
          <w:rFonts w:hint="eastAsia" w:ascii="宋体" w:hAnsi="宋体" w:eastAsia="宋体" w:cs="宋体"/>
          <w:color w:val="auto"/>
          <w:sz w:val="24"/>
          <w:szCs w:val="24"/>
        </w:rPr>
        <w:t>制造的货物（不包括使用非残疾人福利性单位注册商标的货物）。</w:t>
      </w:r>
    </w:p>
    <w:p w14:paraId="2065B75A">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F97522B">
      <w:pPr>
        <w:spacing w:before="48" w:beforeLines="20" w:line="360" w:lineRule="auto"/>
        <w:ind w:firstLine="480" w:firstLineChars="200"/>
        <w:rPr>
          <w:rFonts w:ascii="宋体" w:hAnsi="宋体" w:eastAsia="宋体" w:cs="宋体"/>
          <w:color w:val="auto"/>
          <w:sz w:val="24"/>
          <w:szCs w:val="24"/>
        </w:rPr>
      </w:pPr>
    </w:p>
    <w:p w14:paraId="0CBF4051">
      <w:pPr>
        <w:spacing w:line="588" w:lineRule="exact"/>
        <w:ind w:firstLine="480" w:firstLineChars="200"/>
        <w:rPr>
          <w:rFonts w:ascii="宋体" w:hAnsi="宋体" w:eastAsia="宋体" w:cs="宋体"/>
          <w:b/>
          <w:bCs/>
          <w:color w:val="auto"/>
          <w:sz w:val="24"/>
          <w:szCs w:val="24"/>
        </w:rPr>
      </w:pPr>
      <w:bookmarkStart w:id="82" w:name="_Hlk60666116"/>
      <w:r>
        <w:rPr>
          <w:rFonts w:hint="eastAsia" w:ascii="宋体" w:hAnsi="宋体" w:eastAsia="宋体" w:cs="宋体"/>
          <w:snapToGrid w:val="0"/>
          <w:color w:val="auto"/>
          <w:sz w:val="24"/>
          <w:szCs w:val="24"/>
        </w:rPr>
        <w:t xml:space="preserve"> </w:t>
      </w:r>
    </w:p>
    <w:bookmarkEnd w:id="82"/>
    <w:p w14:paraId="4F306ABB">
      <w:pPr>
        <w:spacing w:line="588" w:lineRule="exact"/>
        <w:ind w:firstLine="504" w:firstLineChars="200"/>
        <w:rPr>
          <w:rFonts w:ascii="宋体" w:hAnsi="宋体" w:eastAsia="宋体" w:cs="宋体"/>
          <w:color w:val="auto"/>
          <w:spacing w:val="6"/>
          <w:sz w:val="24"/>
          <w:szCs w:val="24"/>
        </w:rPr>
      </w:pPr>
    </w:p>
    <w:p w14:paraId="608C693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E83DE6">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138294F4">
      <w:pPr>
        <w:spacing w:line="360" w:lineRule="auto"/>
        <w:ind w:left="5500" w:leftChars="2500"/>
        <w:rPr>
          <w:rFonts w:ascii="宋体" w:hAnsi="宋体" w:eastAsia="宋体" w:cs="宋体"/>
          <w:color w:val="auto"/>
          <w:sz w:val="24"/>
          <w:szCs w:val="24"/>
        </w:rPr>
      </w:pPr>
    </w:p>
    <w:p w14:paraId="783DFC06">
      <w:pPr>
        <w:spacing w:line="360" w:lineRule="auto"/>
        <w:ind w:left="5500" w:leftChars="2500"/>
        <w:rPr>
          <w:rFonts w:ascii="宋体" w:hAnsi="宋体" w:eastAsia="宋体" w:cs="宋体"/>
          <w:color w:val="auto"/>
          <w:sz w:val="24"/>
          <w:szCs w:val="24"/>
        </w:rPr>
      </w:pPr>
    </w:p>
    <w:p w14:paraId="62A2D171">
      <w:pPr>
        <w:spacing w:line="360" w:lineRule="auto"/>
        <w:ind w:left="5500" w:leftChars="2500"/>
        <w:rPr>
          <w:rFonts w:ascii="宋体" w:hAnsi="宋体" w:eastAsia="宋体" w:cs="宋体"/>
          <w:color w:val="auto"/>
          <w:sz w:val="24"/>
          <w:szCs w:val="24"/>
        </w:rPr>
      </w:pPr>
    </w:p>
    <w:p w14:paraId="1CC8534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1DDD145">
      <w:pPr>
        <w:spacing w:line="320" w:lineRule="exact"/>
        <w:rPr>
          <w:rFonts w:ascii="宋体" w:hAnsi="宋体" w:eastAsia="宋体" w:cs="宋体"/>
          <w:color w:val="auto"/>
          <w:sz w:val="24"/>
          <w:szCs w:val="24"/>
        </w:rPr>
      </w:pPr>
    </w:p>
    <w:p w14:paraId="7F0DD9C3">
      <w:pPr>
        <w:pStyle w:val="34"/>
        <w:ind w:firstLine="0"/>
        <w:rPr>
          <w:rFonts w:ascii="宋体" w:hAnsi="宋体" w:cs="宋体"/>
          <w:color w:val="auto"/>
        </w:rPr>
      </w:pPr>
    </w:p>
    <w:p w14:paraId="23AC7079">
      <w:pPr>
        <w:pStyle w:val="34"/>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7043">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17</w:t>
    </w:r>
    <w:r>
      <w:rPr>
        <w:rFonts w:ascii="宋体" w:hAnsi="宋体"/>
      </w:rPr>
      <w:fldChar w:fldCharType="end"/>
    </w:r>
  </w:p>
  <w:p w14:paraId="7B46D2F4">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4078">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25E91A8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CA14">
    <w:pPr>
      <w:pStyle w:val="16"/>
    </w:pPr>
  </w:p>
  <w:p w14:paraId="431E4DA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89D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B471FE"/>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356A1"/>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61144B"/>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38485A"/>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7C6E9C"/>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2E6CCF"/>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1974C0"/>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B55C49"/>
    <w:rsid w:val="3F2F6B8F"/>
    <w:rsid w:val="3F635767"/>
    <w:rsid w:val="3F694AB8"/>
    <w:rsid w:val="3F7A2500"/>
    <w:rsid w:val="3FEA0D08"/>
    <w:rsid w:val="3FEC36DF"/>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42894"/>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3A772C"/>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BF6CF1"/>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2236"/>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AF64E0"/>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6"/>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7"/>
    <w:autoRedefine/>
    <w:qFormat/>
    <w:uiPriority w:val="99"/>
    <w:rPr>
      <w:rFonts w:ascii="Tahoma" w:hAnsi="Tahoma"/>
      <w:sz w:val="18"/>
      <w:szCs w:val="18"/>
    </w:rPr>
  </w:style>
  <w:style w:type="character" w:customStyle="1" w:styleId="31">
    <w:name w:val="页脚 字符"/>
    <w:basedOn w:val="26"/>
    <w:link w:val="16"/>
    <w:autoRedefine/>
    <w:qFormat/>
    <w:uiPriority w:val="99"/>
    <w:rPr>
      <w:rFonts w:ascii="Tahoma" w:hAnsi="Tahoma"/>
      <w:sz w:val="18"/>
      <w:szCs w:val="18"/>
    </w:rPr>
  </w:style>
  <w:style w:type="character" w:customStyle="1" w:styleId="32">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6">
    <w:name w:val="标题 4 字符"/>
    <w:basedOn w:val="26"/>
    <w:link w:val="6"/>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5"/>
    <w:autoRedefine/>
    <w:qFormat/>
    <w:uiPriority w:val="0"/>
    <w:rPr>
      <w:kern w:val="2"/>
      <w:sz w:val="21"/>
      <w:szCs w:val="21"/>
    </w:rPr>
  </w:style>
  <w:style w:type="character" w:customStyle="1" w:styleId="42">
    <w:name w:val="标题 字符"/>
    <w:basedOn w:val="26"/>
    <w:link w:val="21"/>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6"/>
    <w:link w:val="14"/>
    <w:autoRedefine/>
    <w:semiHidden/>
    <w:qFormat/>
    <w:uiPriority w:val="99"/>
    <w:rPr>
      <w:rFonts w:ascii="宋体" w:hAnsi="Courier New" w:eastAsia="宋体" w:cs="Courier New"/>
      <w:sz w:val="21"/>
      <w:szCs w:val="21"/>
    </w:rPr>
  </w:style>
  <w:style w:type="character" w:customStyle="1" w:styleId="46">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8"/>
    <w:autoRedefine/>
    <w:semiHidden/>
    <w:qFormat/>
    <w:uiPriority w:val="99"/>
    <w:rPr>
      <w:rFonts w:ascii="Tahoma" w:hAnsi="Tahoma"/>
    </w:rPr>
  </w:style>
  <w:style w:type="character" w:customStyle="1" w:styleId="52">
    <w:name w:val="批注框文本 字符"/>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7"/>
    <w:autoRedefine/>
    <w:qFormat/>
    <w:uiPriority w:val="0"/>
    <w:rPr>
      <w:rFonts w:ascii="Tahoma" w:hAnsi="Tahoma" w:eastAsia="微软雅黑" w:cstheme="minorBidi"/>
      <w:sz w:val="22"/>
      <w:szCs w:val="22"/>
    </w:rPr>
  </w:style>
  <w:style w:type="character" w:customStyle="1" w:styleId="56">
    <w:name w:val="批注主题 字符"/>
    <w:basedOn w:val="55"/>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10193</Words>
  <Characters>10728</Characters>
  <Lines>130</Lines>
  <Paragraphs>36</Paragraphs>
  <TotalTime>8</TotalTime>
  <ScaleCrop>false</ScaleCrop>
  <LinksUpToDate>false</LinksUpToDate>
  <CharactersWithSpaces>11001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2025-10-22T06:48:42Z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F39E61BA357D42F9A784FEA202E13393_13</vt:lpwstr>
  </property>
  <property fmtid="{D5CDD505-2E9C-101B-9397-08002B2CF9AE}" pid="4" name="KSOTemplateDocerSaveRecord">
    <vt:lpwstr>eyJoZGlkIjoiNDA2ZTNhZmZhOGM3N2I4M2NlMTM1ODI4MGYxNjNiOWQiLCJ1c2VySWQiOiI2NDMzMDE5MTYifQ==</vt:lpwstr>
  </property>
</Properties>
</file>