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bookmark53"/>
      <w:bookmarkStart w:id="1" w:name="bookmark54"/>
      <w:bookmarkStart w:id="2" w:name="bookmark52"/>
      <w:r>
        <w:rPr>
          <w:rFonts w:hint="eastAsia" w:cs="宋体"/>
          <w:b/>
          <w:bCs/>
          <w:sz w:val="36"/>
          <w:szCs w:val="32"/>
          <w:lang w:eastAsia="zh-CN"/>
        </w:rPr>
        <w:t>南京医科大学膜片钳记录系统采购</w:t>
      </w:r>
      <w:r>
        <w:rPr>
          <w:rFonts w:hint="eastAsia" w:cs="宋体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NJDCX-202207131330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南京医科大学膜片钳记录系统采购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、中标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信息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成都泰盟仪器有限公司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供应商地址：四川省成都经济技术开发区(龙泉驿区)南二路309号11栋5层503号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金额：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人民币498000元整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交货期限：90日历天。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  <w:t>主要标的信息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</w:p>
    <w:tbl>
      <w:tblPr>
        <w:tblStyle w:val="8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973"/>
        <w:gridCol w:w="1488"/>
        <w:gridCol w:w="1687"/>
        <w:gridCol w:w="111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产地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膜片钳放大器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Sutter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IPA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美国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正置显微镜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尼康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FN1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日本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双臂电动显微操作移动器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Sutter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MPC-325-2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美国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隔离器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AMPI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ISO-Flex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以色列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CCD相机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DAGE-MTI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IR-2000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美国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97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X-Y移动平台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Sutter</w:t>
            </w:r>
          </w:p>
        </w:tc>
        <w:tc>
          <w:tcPr>
            <w:tcW w:w="1687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MT-500</w:t>
            </w:r>
          </w:p>
        </w:tc>
        <w:tc>
          <w:tcPr>
            <w:tcW w:w="1113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美国</w:t>
            </w:r>
          </w:p>
        </w:tc>
        <w:tc>
          <w:tcPr>
            <w:tcW w:w="850" w:type="dxa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  <w:t>评审专家名单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孙立萍、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杨培红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谢莉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肖俊荣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马腾飞（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采购人）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80" w:leftChars="0"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：无。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凡对本次公告内容提出询问，请按以下方式联系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1、项目联系方式：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</w:rPr>
        <w:t>025-52639995转8009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采购代理机构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地址：南京市秦淮区光华东街6号世界之窗创意产业园15号楼4楼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instrText xml:space="preserve"> HYPERLINK "mailto:njdcx_gczx@163.com" </w:instrTex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njdcx_gczx@163.com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3、采购单位：南京医科大学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联系人：吕老师        联系电话：025-86868572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地址：南京市江宁区龙眠大道101号</w:t>
      </w:r>
    </w:p>
    <w:p>
      <w:pPr>
        <w:ind w:firstLine="480" w:firstLineChars="200"/>
        <w:rPr>
          <w:rFonts w:hint="eastAsia" w:ascii="宋体" w:hAnsi="宋体" w:eastAsia="宋体" w:cs="宋体"/>
          <w:sz w:val="28"/>
          <w:szCs w:val="28"/>
        </w:rPr>
      </w:pPr>
      <w:bookmarkStart w:id="3" w:name="bookmark59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各有关当事人对结果持有异议的，可以在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中标结果公示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发布之日起七个工作日内，以书面形式向南京达琛鑫工程咨询有限公司提出质疑，逾期将不再受理。</w:t>
      </w:r>
    </w:p>
    <w:p>
      <w:pPr>
        <w:pStyle w:val="12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p>
      <w:pPr>
        <w:pStyle w:val="12"/>
        <w:rPr>
          <w:rFonts w:hint="eastAsia" w:ascii="宋体" w:hAnsi="宋体" w:eastAsia="宋体" w:cs="宋体"/>
          <w:sz w:val="28"/>
          <w:szCs w:val="28"/>
        </w:rPr>
      </w:pPr>
      <w:bookmarkStart w:id="4" w:name="_GoBack"/>
      <w:bookmarkEnd w:id="4"/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FE41E"/>
    <w:multiLevelType w:val="singleLevel"/>
    <w:tmpl w:val="A98FE4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FA7C65"/>
    <w:multiLevelType w:val="singleLevel"/>
    <w:tmpl w:val="44FA7C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2MyYTNmZjE0NjJlYzA2ZTJkZjVjMWE5ZTY4MjYifQ=="/>
  </w:docVars>
  <w:rsids>
    <w:rsidRoot w:val="00000000"/>
    <w:rsid w:val="050A5A72"/>
    <w:rsid w:val="091737E2"/>
    <w:rsid w:val="0ABE134D"/>
    <w:rsid w:val="0BBC0D77"/>
    <w:rsid w:val="0C1919F8"/>
    <w:rsid w:val="0F0E6E0E"/>
    <w:rsid w:val="10C976B8"/>
    <w:rsid w:val="17063353"/>
    <w:rsid w:val="19376C4B"/>
    <w:rsid w:val="1CFE340E"/>
    <w:rsid w:val="1DBE02D7"/>
    <w:rsid w:val="1E9629D7"/>
    <w:rsid w:val="213B4FB3"/>
    <w:rsid w:val="22D31FF9"/>
    <w:rsid w:val="255B4BEF"/>
    <w:rsid w:val="277E5337"/>
    <w:rsid w:val="28527D7F"/>
    <w:rsid w:val="287467CC"/>
    <w:rsid w:val="2B0E51E8"/>
    <w:rsid w:val="2E097327"/>
    <w:rsid w:val="2EC54721"/>
    <w:rsid w:val="30FD4782"/>
    <w:rsid w:val="33134E71"/>
    <w:rsid w:val="34097549"/>
    <w:rsid w:val="346301A9"/>
    <w:rsid w:val="36857A34"/>
    <w:rsid w:val="370F7E63"/>
    <w:rsid w:val="374475E5"/>
    <w:rsid w:val="38284985"/>
    <w:rsid w:val="39977363"/>
    <w:rsid w:val="39D543B8"/>
    <w:rsid w:val="3B734AD3"/>
    <w:rsid w:val="3D640D9B"/>
    <w:rsid w:val="404D51C8"/>
    <w:rsid w:val="414C567A"/>
    <w:rsid w:val="422F10F6"/>
    <w:rsid w:val="43A61854"/>
    <w:rsid w:val="44815D09"/>
    <w:rsid w:val="45982428"/>
    <w:rsid w:val="45AF6099"/>
    <w:rsid w:val="4885336C"/>
    <w:rsid w:val="48FE16BC"/>
    <w:rsid w:val="493E1B18"/>
    <w:rsid w:val="4C6D5DCE"/>
    <w:rsid w:val="53D51980"/>
    <w:rsid w:val="547F39EC"/>
    <w:rsid w:val="556413BA"/>
    <w:rsid w:val="586C625F"/>
    <w:rsid w:val="58CE50A2"/>
    <w:rsid w:val="598C737A"/>
    <w:rsid w:val="5B1819D8"/>
    <w:rsid w:val="5C281D7A"/>
    <w:rsid w:val="5C692874"/>
    <w:rsid w:val="5CBB1589"/>
    <w:rsid w:val="611D1B9E"/>
    <w:rsid w:val="61C26E81"/>
    <w:rsid w:val="64BB7D9D"/>
    <w:rsid w:val="69191B40"/>
    <w:rsid w:val="6B862490"/>
    <w:rsid w:val="6C553651"/>
    <w:rsid w:val="6FCF2F31"/>
    <w:rsid w:val="717F6088"/>
    <w:rsid w:val="71AA097B"/>
    <w:rsid w:val="73C14143"/>
    <w:rsid w:val="740D2F20"/>
    <w:rsid w:val="75B60D4D"/>
    <w:rsid w:val="78756F24"/>
    <w:rsid w:val="78AB7915"/>
    <w:rsid w:val="7A5F071D"/>
    <w:rsid w:val="7DB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报告正文"/>
    <w:basedOn w:val="1"/>
    <w:qFormat/>
    <w:uiPriority w:val="0"/>
    <w:pPr>
      <w:adjustRightInd w:val="0"/>
      <w:snapToGrid w:val="0"/>
      <w:ind w:firstLine="560" w:firstLineChars="200"/>
    </w:pPr>
    <w:rPr>
      <w:kern w:val="0"/>
      <w:szCs w:val="20"/>
      <w:lang w:val="zh-CN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650</Characters>
  <Lines>0</Lines>
  <Paragraphs>0</Paragraphs>
  <TotalTime>0</TotalTime>
  <ScaleCrop>false</ScaleCrop>
  <LinksUpToDate>false</LinksUpToDate>
  <CharactersWithSpaces>669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舒舒</cp:lastModifiedBy>
  <dcterms:modified xsi:type="dcterms:W3CDTF">2022-09-14T01:14:42Z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FC796280F4EC473985A619E65612290A</vt:lpwstr>
  </property>
</Properties>
</file>