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560E2">
      <w:pPr>
        <w:pStyle w:val="6"/>
        <w:numPr>
          <w:numId w:val="0"/>
        </w:numPr>
        <w:spacing w:line="240" w:lineRule="auto"/>
        <w:ind w:right="0" w:rightChars="0"/>
        <w:jc w:val="center"/>
        <w:rPr>
          <w:b/>
          <w:color w:val="auto"/>
          <w:sz w:val="32"/>
          <w:highlight w:val="none"/>
        </w:rPr>
      </w:pPr>
      <w:bookmarkStart w:id="1" w:name="_GoBack"/>
      <w:r>
        <w:rPr>
          <w:rFonts w:hint="eastAsia"/>
          <w:b/>
          <w:color w:val="auto"/>
          <w:sz w:val="32"/>
          <w:highlight w:val="none"/>
        </w:rPr>
        <w:t>南京医科大学2026-2027年度节能监管平台系统维保服务招标公告</w:t>
      </w:r>
    </w:p>
    <w:bookmarkEnd w:id="1"/>
    <w:p w14:paraId="6BF2FEFD">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auto"/>
          <w:sz w:val="21"/>
          <w:szCs w:val="21"/>
          <w:highlight w:val="none"/>
        </w:rPr>
      </w:pPr>
      <w:bookmarkStart w:id="0" w:name="_TOC_250004"/>
      <w:bookmarkEnd w:id="0"/>
      <w:r>
        <w:rPr>
          <w:rFonts w:hint="eastAsia"/>
          <w:b/>
          <w:bCs/>
          <w:color w:val="auto"/>
          <w:sz w:val="21"/>
          <w:szCs w:val="21"/>
          <w:highlight w:val="none"/>
        </w:rPr>
        <w:t>项目概况</w:t>
      </w:r>
    </w:p>
    <w:p w14:paraId="6CF6CC80">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auto"/>
          <w:sz w:val="21"/>
          <w:szCs w:val="21"/>
          <w:highlight w:val="none"/>
        </w:rPr>
      </w:pPr>
      <w:r>
        <w:rPr>
          <w:rFonts w:hint="eastAsia"/>
          <w:color w:val="auto"/>
          <w:sz w:val="21"/>
          <w:szCs w:val="21"/>
          <w:highlight w:val="none"/>
          <w:u w:val="single"/>
          <w:lang w:eastAsia="zh-CN"/>
        </w:rPr>
        <w:t>南京医科大学2026-2027年度节能监管平台系统维保服务</w:t>
      </w:r>
      <w:r>
        <w:rPr>
          <w:rFonts w:hint="eastAsia"/>
          <w:color w:val="auto"/>
          <w:sz w:val="21"/>
          <w:szCs w:val="21"/>
          <w:highlight w:val="none"/>
        </w:rPr>
        <w:t>招标项目的潜在投标人应在</w:t>
      </w:r>
      <w:r>
        <w:rPr>
          <w:rFonts w:hint="eastAsia"/>
          <w:color w:val="auto"/>
          <w:sz w:val="21"/>
          <w:szCs w:val="21"/>
          <w:highlight w:val="none"/>
          <w:u w:val="single"/>
        </w:rPr>
        <w:t>南京市中山路99号12楼1212室</w:t>
      </w:r>
      <w:r>
        <w:rPr>
          <w:rFonts w:hint="eastAsia"/>
          <w:color w:val="auto"/>
          <w:sz w:val="21"/>
          <w:szCs w:val="21"/>
          <w:highlight w:val="none"/>
        </w:rPr>
        <w:t>获取招标文件，并于</w:t>
      </w:r>
      <w:r>
        <w:rPr>
          <w:rFonts w:hint="eastAsia"/>
          <w:color w:val="auto"/>
          <w:sz w:val="21"/>
          <w:szCs w:val="21"/>
          <w:highlight w:val="none"/>
          <w:u w:val="single"/>
        </w:rPr>
        <w:t>2025年</w:t>
      </w:r>
      <w:r>
        <w:rPr>
          <w:rFonts w:hint="eastAsia"/>
          <w:color w:val="auto"/>
          <w:sz w:val="21"/>
          <w:szCs w:val="21"/>
          <w:highlight w:val="none"/>
          <w:u w:val="single"/>
          <w:lang w:val="en-US" w:eastAsia="zh-CN"/>
        </w:rPr>
        <w:t>12</w:t>
      </w:r>
      <w:r>
        <w:rPr>
          <w:rFonts w:hint="eastAsia"/>
          <w:color w:val="auto"/>
          <w:sz w:val="21"/>
          <w:szCs w:val="21"/>
          <w:highlight w:val="none"/>
          <w:u w:val="single"/>
        </w:rPr>
        <w:t>月</w:t>
      </w:r>
      <w:r>
        <w:rPr>
          <w:rFonts w:hint="eastAsia"/>
          <w:color w:val="auto"/>
          <w:sz w:val="21"/>
          <w:szCs w:val="21"/>
          <w:highlight w:val="none"/>
          <w:u w:val="single"/>
          <w:lang w:val="en-US" w:eastAsia="zh-CN"/>
        </w:rPr>
        <w:t>23</w:t>
      </w:r>
      <w:r>
        <w:rPr>
          <w:rFonts w:hint="eastAsia"/>
          <w:color w:val="auto"/>
          <w:sz w:val="21"/>
          <w:szCs w:val="21"/>
          <w:highlight w:val="none"/>
          <w:u w:val="single"/>
        </w:rPr>
        <w:t>日</w:t>
      </w:r>
      <w:r>
        <w:rPr>
          <w:rFonts w:hint="eastAsia"/>
          <w:color w:val="auto"/>
          <w:sz w:val="21"/>
          <w:szCs w:val="21"/>
          <w:highlight w:val="none"/>
          <w:u w:val="single"/>
          <w:lang w:val="en-US" w:eastAsia="zh-CN"/>
        </w:rPr>
        <w:t>9</w:t>
      </w:r>
      <w:r>
        <w:rPr>
          <w:rFonts w:hint="eastAsia"/>
          <w:color w:val="auto"/>
          <w:sz w:val="21"/>
          <w:szCs w:val="21"/>
          <w:highlight w:val="none"/>
          <w:u w:val="single"/>
        </w:rPr>
        <w:t>点</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rPr>
        <w:t>（北京时间）前递交投标文件。</w:t>
      </w:r>
    </w:p>
    <w:p w14:paraId="4ED37CFB">
      <w:pPr>
        <w:pStyle w:val="3"/>
        <w:spacing w:before="264" w:line="360" w:lineRule="exact"/>
        <w:ind w:right="676"/>
        <w:rPr>
          <w:rFonts w:hint="eastAsia"/>
          <w:b/>
          <w:color w:val="auto"/>
          <w:highlight w:val="none"/>
        </w:rPr>
      </w:pPr>
      <w:r>
        <w:rPr>
          <w:rFonts w:hint="eastAsia"/>
          <w:b/>
          <w:color w:val="auto"/>
          <w:highlight w:val="none"/>
        </w:rPr>
        <w:t>一、项目基本情况</w:t>
      </w:r>
    </w:p>
    <w:p w14:paraId="5448874C">
      <w:pPr>
        <w:pStyle w:val="7"/>
        <w:spacing w:line="360" w:lineRule="exact"/>
        <w:ind w:left="0" w:right="1121"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项目编号：SNZX-20250615</w:t>
      </w:r>
    </w:p>
    <w:p w14:paraId="05900275">
      <w:pPr>
        <w:pStyle w:val="7"/>
        <w:spacing w:line="360" w:lineRule="exact"/>
        <w:ind w:left="0" w:right="1121" w:firstLine="420" w:firstLineChars="20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项目名称：</w:t>
      </w:r>
      <w:r>
        <w:rPr>
          <w:rFonts w:hint="eastAsia" w:ascii="宋体" w:hAnsi="宋体" w:eastAsia="宋体" w:cs="宋体"/>
          <w:b w:val="0"/>
          <w:bCs w:val="0"/>
          <w:color w:val="auto"/>
          <w:highlight w:val="none"/>
          <w:lang w:eastAsia="zh-CN"/>
        </w:rPr>
        <w:t>南京医科大学2026-2027年度节能监管平台系统维保服务</w:t>
      </w:r>
    </w:p>
    <w:p w14:paraId="6DFF08F8">
      <w:pPr>
        <w:pStyle w:val="7"/>
        <w:spacing w:line="360" w:lineRule="exact"/>
        <w:ind w:left="0" w:right="1121"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采购方式：公开招标</w:t>
      </w:r>
    </w:p>
    <w:p w14:paraId="37EB9B22">
      <w:pPr>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项目预算：</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万元/年</w:t>
      </w:r>
      <w:r>
        <w:rPr>
          <w:rFonts w:hint="eastAsia" w:ascii="宋体" w:hAnsi="宋体" w:eastAsia="宋体" w:cs="宋体"/>
          <w:b w:val="0"/>
          <w:bCs w:val="0"/>
          <w:color w:val="auto"/>
          <w:sz w:val="21"/>
          <w:szCs w:val="21"/>
          <w:highlight w:val="none"/>
          <w:lang w:eastAsia="zh-CN"/>
        </w:rPr>
        <w:t>，此预算仅为日常维修保养预算，有偿维保材料按实计取</w:t>
      </w:r>
    </w:p>
    <w:p w14:paraId="46345DC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b w:val="0"/>
          <w:bCs w:val="0"/>
          <w:color w:val="auto"/>
          <w:sz w:val="21"/>
          <w:szCs w:val="21"/>
          <w:highlight w:val="none"/>
          <w:lang w:eastAsia="zh-CN"/>
        </w:rPr>
        <w:t>日常维修保养：</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有偿</w:t>
      </w:r>
      <w:r>
        <w:rPr>
          <w:rFonts w:hint="eastAsia" w:ascii="宋体" w:hAnsi="宋体" w:eastAsia="宋体" w:cs="宋体"/>
          <w:b w:val="0"/>
          <w:bCs w:val="0"/>
          <w:color w:val="auto"/>
          <w:sz w:val="21"/>
          <w:szCs w:val="21"/>
          <w:highlight w:val="none"/>
          <w:lang w:eastAsia="zh-CN"/>
        </w:rPr>
        <w:t>维修保养（单价合计）：</w:t>
      </w:r>
      <w:r>
        <w:rPr>
          <w:rFonts w:hint="eastAsia" w:ascii="宋体" w:hAnsi="宋体" w:eastAsia="宋体" w:cs="宋体"/>
          <w:b w:val="0"/>
          <w:bCs w:val="0"/>
          <w:color w:val="auto"/>
          <w:sz w:val="21"/>
          <w:szCs w:val="21"/>
          <w:highlight w:val="none"/>
          <w:lang w:val="en-US" w:eastAsia="zh-CN"/>
        </w:rPr>
        <w:t>24.69万元，</w:t>
      </w:r>
      <w:r>
        <w:rPr>
          <w:rFonts w:hint="eastAsia" w:ascii="宋体" w:hAnsi="宋体" w:eastAsia="宋体" w:cs="宋体"/>
          <w:b w:val="0"/>
          <w:bCs w:val="0"/>
          <w:color w:val="auto"/>
          <w:sz w:val="21"/>
          <w:szCs w:val="21"/>
          <w:highlight w:val="none"/>
          <w:lang w:eastAsia="zh-CN"/>
        </w:rPr>
        <w:t>有偿维修保养材</w:t>
      </w:r>
      <w:r>
        <w:rPr>
          <w:rFonts w:hint="eastAsia" w:ascii="宋体" w:hAnsi="宋体" w:eastAsia="宋体" w:cs="宋体"/>
          <w:color w:val="auto"/>
          <w:szCs w:val="21"/>
          <w:highlight w:val="none"/>
        </w:rPr>
        <w:t>料</w:t>
      </w:r>
      <w:r>
        <w:rPr>
          <w:rFonts w:hint="eastAsia" w:ascii="宋体" w:hAnsi="宋体" w:eastAsia="宋体" w:cs="宋体"/>
          <w:color w:val="auto"/>
          <w:szCs w:val="21"/>
          <w:highlight w:val="none"/>
          <w:lang w:eastAsia="zh-CN"/>
        </w:rPr>
        <w:t>单项限价详见下表，</w:t>
      </w:r>
      <w:r>
        <w:rPr>
          <w:rFonts w:hint="eastAsia" w:ascii="宋体" w:hAnsi="宋体" w:eastAsia="宋体" w:cs="宋体"/>
          <w:color w:val="auto"/>
          <w:sz w:val="21"/>
          <w:szCs w:val="21"/>
          <w:highlight w:val="none"/>
        </w:rPr>
        <w:t>投标报价超过最高限价</w:t>
      </w:r>
      <w:r>
        <w:rPr>
          <w:rFonts w:hint="eastAsia" w:ascii="宋体" w:hAnsi="宋体" w:eastAsia="宋体" w:cs="宋体"/>
          <w:color w:val="auto"/>
          <w:sz w:val="21"/>
          <w:szCs w:val="21"/>
          <w:highlight w:val="none"/>
          <w:lang w:eastAsia="zh-CN"/>
        </w:rPr>
        <w:t>或单项限价</w:t>
      </w:r>
      <w:r>
        <w:rPr>
          <w:rFonts w:hint="eastAsia" w:ascii="宋体" w:hAnsi="宋体" w:eastAsia="宋体" w:cs="宋体"/>
          <w:color w:val="auto"/>
          <w:sz w:val="21"/>
          <w:szCs w:val="21"/>
          <w:highlight w:val="none"/>
        </w:rPr>
        <w:t xml:space="preserve">的为无效投标。 </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1369"/>
        <w:gridCol w:w="2582"/>
        <w:gridCol w:w="1863"/>
        <w:gridCol w:w="733"/>
        <w:gridCol w:w="1350"/>
      </w:tblGrid>
      <w:tr w14:paraId="6B98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50E8AC0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803" w:type="pct"/>
            <w:vMerge w:val="restart"/>
            <w:tcBorders>
              <w:top w:val="single" w:color="000000" w:sz="4" w:space="0"/>
              <w:left w:val="single" w:color="000000" w:sz="4" w:space="0"/>
              <w:right w:val="single" w:color="auto" w:sz="4" w:space="0"/>
            </w:tcBorders>
            <w:noWrap w:val="0"/>
            <w:vAlign w:val="center"/>
          </w:tcPr>
          <w:p w14:paraId="425F25A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608" w:type="pct"/>
            <w:gridSpan w:val="2"/>
            <w:tcBorders>
              <w:top w:val="single" w:color="000000" w:sz="4" w:space="0"/>
              <w:left w:val="single" w:color="auto" w:sz="4" w:space="0"/>
              <w:bottom w:val="single" w:color="000000" w:sz="4" w:space="0"/>
              <w:right w:val="single" w:color="000000" w:sz="4" w:space="0"/>
            </w:tcBorders>
            <w:noWrap w:val="0"/>
            <w:vAlign w:val="center"/>
          </w:tcPr>
          <w:p w14:paraId="4FE1771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现有设备信息</w:t>
            </w: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18FAC27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79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930ED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最高限价（元）</w:t>
            </w:r>
          </w:p>
        </w:tc>
      </w:tr>
      <w:tr w14:paraId="6767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0544F">
            <w:pPr>
              <w:jc w:val="center"/>
              <w:rPr>
                <w:rFonts w:hint="eastAsia" w:ascii="宋体" w:hAnsi="宋体" w:eastAsia="宋体" w:cs="宋体"/>
                <w:b/>
                <w:bCs/>
                <w:i w:val="0"/>
                <w:iCs w:val="0"/>
                <w:color w:val="auto"/>
                <w:sz w:val="20"/>
                <w:szCs w:val="20"/>
                <w:highlight w:val="none"/>
                <w:u w:val="none"/>
              </w:rPr>
            </w:pPr>
          </w:p>
        </w:tc>
        <w:tc>
          <w:tcPr>
            <w:tcW w:w="803" w:type="pct"/>
            <w:vMerge w:val="continue"/>
            <w:tcBorders>
              <w:left w:val="single" w:color="000000" w:sz="4" w:space="0"/>
              <w:bottom w:val="single" w:color="000000" w:sz="4" w:space="0"/>
              <w:right w:val="single" w:color="auto" w:sz="4" w:space="0"/>
            </w:tcBorders>
            <w:noWrap w:val="0"/>
            <w:vAlign w:val="center"/>
          </w:tcPr>
          <w:p w14:paraId="18943FF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p>
        </w:tc>
        <w:tc>
          <w:tcPr>
            <w:tcW w:w="1515" w:type="pct"/>
            <w:tcBorders>
              <w:top w:val="single" w:color="000000" w:sz="4" w:space="0"/>
              <w:left w:val="single" w:color="auto" w:sz="4" w:space="0"/>
              <w:bottom w:val="single" w:color="000000" w:sz="4" w:space="0"/>
              <w:right w:val="single" w:color="000000" w:sz="4" w:space="0"/>
            </w:tcBorders>
            <w:noWrap w:val="0"/>
            <w:vAlign w:val="center"/>
          </w:tcPr>
          <w:p w14:paraId="2E9FF4C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A42CDA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CBBB0">
            <w:pPr>
              <w:jc w:val="center"/>
              <w:rPr>
                <w:rFonts w:hint="eastAsia" w:ascii="宋体" w:hAnsi="宋体" w:eastAsia="宋体" w:cs="宋体"/>
                <w:b/>
                <w:bCs/>
                <w:i w:val="0"/>
                <w:iCs w:val="0"/>
                <w:color w:val="auto"/>
                <w:sz w:val="20"/>
                <w:szCs w:val="20"/>
                <w:highlight w:val="none"/>
                <w:u w:val="none"/>
              </w:rPr>
            </w:pPr>
          </w:p>
        </w:tc>
        <w:tc>
          <w:tcPr>
            <w:tcW w:w="7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4099A">
            <w:pPr>
              <w:jc w:val="center"/>
              <w:rPr>
                <w:rFonts w:hint="eastAsia" w:ascii="宋体" w:hAnsi="宋体" w:eastAsia="宋体" w:cs="宋体"/>
                <w:b/>
                <w:bCs/>
                <w:i w:val="0"/>
                <w:iCs w:val="0"/>
                <w:color w:val="auto"/>
                <w:sz w:val="20"/>
                <w:szCs w:val="20"/>
                <w:highlight w:val="none"/>
                <w:u w:val="none"/>
              </w:rPr>
            </w:pPr>
          </w:p>
        </w:tc>
      </w:tr>
      <w:tr w14:paraId="44FA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262D7D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4E524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三相多功能电力监控终端</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582EE6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3×1.5（6）A或3×3（6）A</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EF39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江苏联宏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612F5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1280E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2250</w:t>
            </w:r>
          </w:p>
        </w:tc>
      </w:tr>
      <w:tr w14:paraId="5044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29EF25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D5FB4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三相多功能电力监控终端</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71DFD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3×10（40）A或3×15（60）A</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0B943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江苏联宏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F86B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65086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2850</w:t>
            </w:r>
          </w:p>
        </w:tc>
      </w:tr>
      <w:tr w14:paraId="02BB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38067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2D25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网络控制器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35B20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i.LON SmartServer 2.0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2FB4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Echelon</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F95E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1E9A84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16000</w:t>
            </w:r>
          </w:p>
        </w:tc>
      </w:tr>
      <w:tr w14:paraId="3C1E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5FEC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AD3D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11E05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DN300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0C37F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5B19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46E17B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19600</w:t>
            </w:r>
          </w:p>
        </w:tc>
      </w:tr>
      <w:tr w14:paraId="773A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77EDE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DA801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1C3A58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DN150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93C4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BC522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67483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7200</w:t>
            </w:r>
          </w:p>
        </w:tc>
      </w:tr>
      <w:tr w14:paraId="60A1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59BAA4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3535E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04B27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DN100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B49F1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57A9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6C4979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6700</w:t>
            </w:r>
          </w:p>
        </w:tc>
      </w:tr>
      <w:tr w14:paraId="7148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1CFEB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609C33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744C2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DN80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FB8D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A0D4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0C440B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4800</w:t>
            </w:r>
          </w:p>
        </w:tc>
      </w:tr>
      <w:tr w14:paraId="1516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2A411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4B22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33687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DN50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0C050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EFA4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5E519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3600</w:t>
            </w:r>
          </w:p>
        </w:tc>
      </w:tr>
      <w:tr w14:paraId="7B6B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62046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975F1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5F5CC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ABC6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0FC2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1BE7D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2300</w:t>
            </w:r>
          </w:p>
        </w:tc>
      </w:tr>
      <w:tr w14:paraId="247F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1593E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D1F9A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智能水表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695135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DN25</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7B017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真兰</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A03DA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67A929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1100</w:t>
            </w:r>
          </w:p>
        </w:tc>
      </w:tr>
      <w:tr w14:paraId="075F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B689F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10F8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水管压力传感器</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1AE1A6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QBE2002-P16</w:t>
            </w:r>
          </w:p>
        </w:tc>
        <w:tc>
          <w:tcPr>
            <w:tcW w:w="1092" w:type="pct"/>
            <w:tcBorders>
              <w:top w:val="single" w:color="000000" w:sz="4" w:space="0"/>
              <w:left w:val="single" w:color="000000" w:sz="4" w:space="0"/>
              <w:bottom w:val="single" w:color="000000" w:sz="4" w:space="0"/>
              <w:right w:val="single" w:color="000000" w:sz="4" w:space="0"/>
            </w:tcBorders>
            <w:noWrap/>
            <w:vAlign w:val="center"/>
          </w:tcPr>
          <w:p w14:paraId="1774A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55A4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6989AF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2100</w:t>
            </w:r>
          </w:p>
        </w:tc>
      </w:tr>
      <w:tr w14:paraId="1828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243FC1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6F88A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压差传感器</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7C811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QBE61.3-DP2</w:t>
            </w:r>
          </w:p>
        </w:tc>
        <w:tc>
          <w:tcPr>
            <w:tcW w:w="1092" w:type="pct"/>
            <w:tcBorders>
              <w:top w:val="single" w:color="000000" w:sz="4" w:space="0"/>
              <w:left w:val="single" w:color="000000" w:sz="4" w:space="0"/>
              <w:bottom w:val="single" w:color="000000" w:sz="4" w:space="0"/>
              <w:right w:val="single" w:color="000000" w:sz="4" w:space="0"/>
            </w:tcBorders>
            <w:noWrap/>
            <w:vAlign w:val="center"/>
          </w:tcPr>
          <w:p w14:paraId="782551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883DE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2DAFBD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5900</w:t>
            </w:r>
          </w:p>
        </w:tc>
      </w:tr>
      <w:tr w14:paraId="7D42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4A16F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4B060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压差平衡阀</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32FAF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VKF42.200+SQL321B150</w:t>
            </w:r>
          </w:p>
        </w:tc>
        <w:tc>
          <w:tcPr>
            <w:tcW w:w="1092" w:type="pct"/>
            <w:tcBorders>
              <w:top w:val="single" w:color="000000" w:sz="4" w:space="0"/>
              <w:left w:val="single" w:color="000000" w:sz="4" w:space="0"/>
              <w:bottom w:val="single" w:color="000000" w:sz="4" w:space="0"/>
              <w:right w:val="single" w:color="000000" w:sz="4" w:space="0"/>
            </w:tcBorders>
            <w:noWrap/>
            <w:vAlign w:val="center"/>
          </w:tcPr>
          <w:p w14:paraId="747D4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699BA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2220B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11800</w:t>
            </w:r>
          </w:p>
        </w:tc>
      </w:tr>
      <w:tr w14:paraId="343D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73B8D5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3AC60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压差平衡阀</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42C3F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VKF42.250+SQL321B270</w:t>
            </w:r>
          </w:p>
        </w:tc>
        <w:tc>
          <w:tcPr>
            <w:tcW w:w="1092" w:type="pct"/>
            <w:tcBorders>
              <w:top w:val="single" w:color="000000" w:sz="4" w:space="0"/>
              <w:left w:val="single" w:color="000000" w:sz="4" w:space="0"/>
              <w:bottom w:val="single" w:color="000000" w:sz="4" w:space="0"/>
              <w:right w:val="single" w:color="000000" w:sz="4" w:space="0"/>
            </w:tcBorders>
            <w:noWrap/>
            <w:vAlign w:val="center"/>
          </w:tcPr>
          <w:p w14:paraId="01D02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AD16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22F7E1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11700</w:t>
            </w:r>
          </w:p>
        </w:tc>
      </w:tr>
      <w:tr w14:paraId="16F3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16089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EF6F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风管温度传感器</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2B4DC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QAM2120.600</w:t>
            </w:r>
          </w:p>
        </w:tc>
        <w:tc>
          <w:tcPr>
            <w:tcW w:w="1092" w:type="pct"/>
            <w:tcBorders>
              <w:top w:val="single" w:color="000000" w:sz="4" w:space="0"/>
              <w:left w:val="single" w:color="000000" w:sz="4" w:space="0"/>
              <w:bottom w:val="single" w:color="000000" w:sz="4" w:space="0"/>
              <w:right w:val="single" w:color="000000" w:sz="4" w:space="0"/>
            </w:tcBorders>
            <w:noWrap/>
            <w:vAlign w:val="center"/>
          </w:tcPr>
          <w:p w14:paraId="7904D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38860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14247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w:t>
            </w:r>
          </w:p>
        </w:tc>
      </w:tr>
      <w:tr w14:paraId="4FD4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271F0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34B60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风机盘管控制器</w:t>
            </w:r>
          </w:p>
        </w:tc>
        <w:tc>
          <w:tcPr>
            <w:tcW w:w="1515" w:type="pct"/>
            <w:tcBorders>
              <w:top w:val="single" w:color="000000" w:sz="4" w:space="0"/>
              <w:left w:val="single" w:color="000000" w:sz="4" w:space="0"/>
              <w:bottom w:val="single" w:color="000000" w:sz="4" w:space="0"/>
              <w:right w:val="single" w:color="000000" w:sz="4" w:space="0"/>
            </w:tcBorders>
            <w:noWrap/>
            <w:vAlign w:val="center"/>
          </w:tcPr>
          <w:p w14:paraId="6710AD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LH-TC100A</w:t>
            </w:r>
          </w:p>
        </w:tc>
        <w:tc>
          <w:tcPr>
            <w:tcW w:w="1092" w:type="pct"/>
            <w:tcBorders>
              <w:top w:val="single" w:color="000000" w:sz="4" w:space="0"/>
              <w:left w:val="single" w:color="000000" w:sz="4" w:space="0"/>
              <w:bottom w:val="single" w:color="000000" w:sz="4" w:space="0"/>
              <w:right w:val="single" w:color="000000" w:sz="4" w:space="0"/>
            </w:tcBorders>
            <w:noWrap/>
            <w:vAlign w:val="center"/>
          </w:tcPr>
          <w:p w14:paraId="7E468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江苏联宏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3BD8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6294E4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w:t>
            </w:r>
          </w:p>
        </w:tc>
      </w:tr>
      <w:tr w14:paraId="124A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11F2F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530CBE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1F0AF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18.5kW变频器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7D0C9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FA08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78DB6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8400</w:t>
            </w:r>
          </w:p>
        </w:tc>
      </w:tr>
      <w:tr w14:paraId="45AD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55122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73C0EA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52E84B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22kW变频器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2490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E260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076CE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14:paraId="569D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16458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972B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05AB93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30kW变频器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1C3F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08A7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7563EB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11200</w:t>
            </w:r>
          </w:p>
        </w:tc>
      </w:tr>
      <w:tr w14:paraId="1086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416DC7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5A232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6EB821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37kW变频器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720F4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9ED0D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29403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12900</w:t>
            </w:r>
          </w:p>
        </w:tc>
      </w:tr>
      <w:tr w14:paraId="1F91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1DFA8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6002DC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2EFB3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45kW变频器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071A1B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EFEE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511E93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15300</w:t>
            </w:r>
          </w:p>
        </w:tc>
      </w:tr>
      <w:tr w14:paraId="2766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992B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26CA3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1F4C8C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55kW变频器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B2A7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E864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03EA9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19500</w:t>
            </w:r>
          </w:p>
        </w:tc>
      </w:tr>
      <w:tr w14:paraId="24E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71D54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02B0E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437D4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75kW变频器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00652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56470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5543E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24800</w:t>
            </w:r>
          </w:p>
        </w:tc>
      </w:tr>
      <w:tr w14:paraId="17F7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0331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464306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47CA2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4kW变频器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04120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946B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36AD7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w:t>
            </w:r>
          </w:p>
        </w:tc>
      </w:tr>
      <w:tr w14:paraId="50AF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7A67DF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4D4DF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25033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5.5kW变频器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E71F6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B818E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38488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3600</w:t>
            </w:r>
          </w:p>
        </w:tc>
      </w:tr>
      <w:tr w14:paraId="1F3F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0DD82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59FAF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49CF0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7.5kW变频器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57CCD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B6C7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2B4A60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r>
      <w:tr w14:paraId="490B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7BF4D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325F03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487C93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11kW变频器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156C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D4AD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26FFD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4900</w:t>
            </w:r>
          </w:p>
        </w:tc>
      </w:tr>
      <w:tr w14:paraId="1E03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74960A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5E6241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变频器</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7AF7F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 15kW变频器</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C5B2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ED42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029AA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4900</w:t>
            </w:r>
          </w:p>
        </w:tc>
      </w:tr>
      <w:tr w14:paraId="5293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64D09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79ACC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空调接口网关</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33438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KCC-MBGate-s</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1F679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东芝</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E180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7A411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12500</w:t>
            </w:r>
          </w:p>
        </w:tc>
      </w:tr>
      <w:tr w14:paraId="351D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3F1B23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13634E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空调接口网关</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3425BF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CCM18</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188A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美的</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D905B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0E0F4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6500</w:t>
            </w:r>
          </w:p>
        </w:tc>
      </w:tr>
      <w:tr w14:paraId="2F46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4BDF2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803" w:type="pct"/>
            <w:tcBorders>
              <w:top w:val="single" w:color="000000" w:sz="4" w:space="0"/>
              <w:left w:val="single" w:color="000000" w:sz="4" w:space="0"/>
              <w:bottom w:val="single" w:color="000000" w:sz="4" w:space="0"/>
              <w:right w:val="single" w:color="000000" w:sz="4" w:space="0"/>
            </w:tcBorders>
            <w:noWrap w:val="0"/>
            <w:vAlign w:val="center"/>
          </w:tcPr>
          <w:p w14:paraId="73F1E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可编程网关</w:t>
            </w:r>
          </w:p>
        </w:tc>
        <w:tc>
          <w:tcPr>
            <w:tcW w:w="1515" w:type="pct"/>
            <w:tcBorders>
              <w:top w:val="single" w:color="000000" w:sz="4" w:space="0"/>
              <w:left w:val="single" w:color="000000" w:sz="4" w:space="0"/>
              <w:bottom w:val="single" w:color="000000" w:sz="4" w:space="0"/>
              <w:right w:val="single" w:color="000000" w:sz="4" w:space="0"/>
            </w:tcBorders>
            <w:noWrap w:val="0"/>
            <w:vAlign w:val="center"/>
          </w:tcPr>
          <w:p w14:paraId="74C40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LH-GW100B</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466957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联宏</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56338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台</w:t>
            </w:r>
          </w:p>
        </w:tc>
        <w:tc>
          <w:tcPr>
            <w:tcW w:w="792" w:type="pct"/>
            <w:tcBorders>
              <w:top w:val="single" w:color="000000" w:sz="4" w:space="0"/>
              <w:left w:val="single" w:color="000000" w:sz="4" w:space="0"/>
              <w:bottom w:val="single" w:color="000000" w:sz="4" w:space="0"/>
              <w:right w:val="single" w:color="000000" w:sz="4" w:space="0"/>
            </w:tcBorders>
            <w:noWrap w:val="0"/>
            <w:vAlign w:val="center"/>
          </w:tcPr>
          <w:p w14:paraId="45072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bidi="ar"/>
              </w:rPr>
            </w:pPr>
            <w:r>
              <w:rPr>
                <w:rFonts w:hint="eastAsia" w:ascii="宋体" w:hAnsi="宋体" w:eastAsia="宋体" w:cs="宋体"/>
                <w:i w:val="0"/>
                <w:iCs w:val="0"/>
                <w:color w:val="auto"/>
                <w:kern w:val="0"/>
                <w:sz w:val="20"/>
                <w:szCs w:val="20"/>
                <w:highlight w:val="none"/>
                <w:u w:val="none"/>
                <w:lang w:val="en-US" w:eastAsia="zh-CN" w:bidi="ar"/>
              </w:rPr>
              <w:t>4500</w:t>
            </w:r>
          </w:p>
        </w:tc>
      </w:tr>
    </w:tbl>
    <w:p w14:paraId="4D1D1915">
      <w:pPr>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南京医科大学2026-2027年度节能监管平台系统维保服务内容包括但不限于：</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基础运维服务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南京医科大学节能监管平台系统维保服务项目包括相关的网络设备、服务器、工控机、采集设备、报警设备、水电表、传感器、变频器、阀门、线路管道等相关设施设备，以及相关软件的维保服务。2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适用性调整与应用深化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系统的定期巡检服务、适应性调整、功能深化等工作。3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开发工作后续服务项目中涉及的软件升级优化，包括但不限于Bug修改、后续开发配合服务。具体内容详见招标文件。</w:t>
      </w:r>
    </w:p>
    <w:p w14:paraId="11EB505D">
      <w:pPr>
        <w:spacing w:line="36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合同履行期限（服务期）：本项目服务期限为</w:t>
      </w:r>
      <w:r>
        <w:rPr>
          <w:rFonts w:hint="eastAsia" w:ascii="宋体" w:hAnsi="宋体" w:eastAsia="宋体" w:cs="宋体"/>
          <w:color w:val="auto"/>
          <w:sz w:val="21"/>
          <w:szCs w:val="21"/>
          <w:highlight w:val="none"/>
          <w:lang w:val="en-US" w:eastAsia="zh-CN"/>
        </w:rPr>
        <w:t>2026年1月13日-2028年1月12日</w:t>
      </w:r>
      <w:r>
        <w:rPr>
          <w:rFonts w:hint="eastAsia" w:ascii="宋体" w:hAnsi="宋体" w:eastAsia="宋体" w:cs="宋体"/>
          <w:color w:val="auto"/>
          <w:sz w:val="21"/>
          <w:szCs w:val="21"/>
          <w:highlight w:val="none"/>
        </w:rPr>
        <w:t>，合同一年一签。如第二年采购人项目预算落实且供应商上一年度服务符合采购人检查考核要求,则双方可续签下一年服务合同，以此类推。</w:t>
      </w:r>
    </w:p>
    <w:p w14:paraId="6ED4EA6D">
      <w:pPr>
        <w:pStyle w:val="7"/>
        <w:spacing w:line="360" w:lineRule="exact"/>
        <w:ind w:left="0" w:right="1121" w:firstLine="420" w:firstLineChars="200"/>
        <w:rPr>
          <w:rFonts w:hint="eastAsia" w:eastAsia="宋体"/>
          <w:b w:val="0"/>
          <w:color w:val="auto"/>
          <w:highlight w:val="none"/>
        </w:rPr>
      </w:pPr>
      <w:r>
        <w:rPr>
          <w:rFonts w:hint="eastAsia" w:eastAsia="宋体"/>
          <w:b w:val="0"/>
          <w:color w:val="auto"/>
          <w:highlight w:val="none"/>
        </w:rPr>
        <w:t>本项目(是/否)接受联合体投标:不接受联合体</w:t>
      </w:r>
    </w:p>
    <w:p w14:paraId="7E1A6FF0">
      <w:pPr>
        <w:pStyle w:val="6"/>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二、申请人的资格要求：</w:t>
      </w:r>
    </w:p>
    <w:p w14:paraId="77E1A721">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（一）满足《中华人民共和国政府采购法》第二十二条规定；</w:t>
      </w:r>
    </w:p>
    <w:p w14:paraId="257EDF34">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（1）具有独立承担民事责任的能力（提供法人或者其他组织的营业执照；供应商为自然人的提供其身份证，提供相关证明材料复印件并加盖公章）；</w:t>
      </w:r>
    </w:p>
    <w:p w14:paraId="563CDCF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（2）具有良好的商业信誉和健全的财务会计制度（提供2024年度审计报告，或投标截止时间前六个月内银行出具的资信证明）；</w:t>
      </w:r>
    </w:p>
    <w:p w14:paraId="23DF569E">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2D52B25D">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29D99CCC">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（5）参加政府采购活动前三年内，在经营活动中没有重大违法记录（提供承诺书原件）；</w:t>
      </w:r>
    </w:p>
    <w:p w14:paraId="28178B00">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（6）法律、行政法规规定的其他条件，提供相关证明材料：无。</w:t>
      </w:r>
    </w:p>
    <w:p w14:paraId="4A38F636">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注:(1)第5条所称重大违法记录，是指投标人因违法经营受到刑事处罚或者责令停产停业、吊销许可证或者执照、较大数额罚款等行政处罚。</w:t>
      </w:r>
    </w:p>
    <w:p w14:paraId="659E14CF">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(2)投标人在参加政府采购活动前3年内因违法经营被禁止在一定期限内参加政府采购活动，期限届满的，可以参加政府采购活动。</w:t>
      </w:r>
    </w:p>
    <w:p w14:paraId="61634075">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14DB6297">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（三）本项目的特定资格要求：无</w:t>
      </w:r>
    </w:p>
    <w:p w14:paraId="3CE4D4F3">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（四）拒绝下述供应商参加本次采购活动：</w:t>
      </w:r>
    </w:p>
    <w:p w14:paraId="3DAF13AE">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（1）供应商单位负责人为同一人或者存在直接控股、管理关系的不同供应商，不得参加同一合同项下的采购活动。</w:t>
      </w:r>
    </w:p>
    <w:p w14:paraId="3A55D90A">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（2）凡为采购项目提供整体设计、规范编制或者项目管理、监理、检测等服务的供应商，不得再参加本项目的采购活动。</w:t>
      </w:r>
    </w:p>
    <w:p w14:paraId="7040AD3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1A6422AD">
      <w:pPr>
        <w:spacing w:line="360" w:lineRule="exact"/>
        <w:ind w:firstLine="420" w:firstLineChars="200"/>
        <w:rPr>
          <w:color w:val="auto"/>
          <w:sz w:val="21"/>
          <w:szCs w:val="21"/>
          <w:highlight w:val="none"/>
        </w:rPr>
      </w:pPr>
      <w:r>
        <w:rPr>
          <w:rFonts w:hint="eastAsia" w:ascii="宋体" w:hAnsi="宋体" w:eastAsia="宋体" w:cs="宋体"/>
          <w:color w:val="auto"/>
          <w:sz w:val="21"/>
          <w:szCs w:val="21"/>
          <w:highlight w:val="none"/>
          <w:lang w:val="en-US" w:eastAsia="zh-CN"/>
        </w:rPr>
        <w:t>（五)本项目不接受进口产品投标。（注：本文件所称进口产品是指通过中国海关报关验放进入中国境内且产自关境外的产品）</w:t>
      </w:r>
    </w:p>
    <w:p w14:paraId="1B42E7B8">
      <w:pPr>
        <w:pStyle w:val="6"/>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三、获取招标文件</w:t>
      </w:r>
    </w:p>
    <w:p w14:paraId="4ED63E90">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1、时间：2025年12月3日上午09:00至2025年12月9日下午17:00</w:t>
      </w:r>
    </w:p>
    <w:p w14:paraId="7978EDD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2、获取方式：</w:t>
      </w:r>
    </w:p>
    <w:p w14:paraId="0F68B430">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（1）获取方式：本项目获取网址为：</w:t>
      </w:r>
      <w:r>
        <w:rPr>
          <w:rFonts w:hint="eastAsia" w:ascii="宋体" w:hAnsi="宋体" w:eastAsia="宋体" w:cs="宋体"/>
          <w:color w:val="auto"/>
          <w:sz w:val="21"/>
          <w:szCs w:val="21"/>
          <w:highlight w:val="none"/>
          <w:lang w:val="en-US" w:eastAsia="zh-CN"/>
        </w:rPr>
        <w:t>https://njsnzx.cn/#/detail?id=2588</w:t>
      </w:r>
      <w:r>
        <w:rPr>
          <w:rFonts w:hint="eastAsia" w:ascii="宋体" w:hAnsi="宋体" w:eastAsia="宋体" w:cs="宋体"/>
          <w:color w:val="auto"/>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76517AE">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售价：￥500元，本公告包含的招标文件售价总和。</w:t>
      </w:r>
    </w:p>
    <w:p w14:paraId="79044FDB">
      <w:pPr>
        <w:spacing w:line="360" w:lineRule="exact"/>
        <w:ind w:firstLine="420" w:firstLineChars="200"/>
        <w:rPr>
          <w:rFonts w:hint="eastAsia"/>
          <w:color w:val="auto"/>
          <w:sz w:val="21"/>
          <w:szCs w:val="21"/>
          <w:highlight w:val="none"/>
        </w:rPr>
      </w:pPr>
      <w:r>
        <w:rPr>
          <w:rFonts w:hint="eastAsia"/>
          <w:color w:val="auto"/>
          <w:sz w:val="21"/>
          <w:szCs w:val="21"/>
          <w:highlight w:val="none"/>
        </w:rPr>
        <w:t>2.北京时间，法定节假日除外；未按照上述要求合法获取招标（采购）文件的，招标（采购）人将不予受理其投标（响应）。</w:t>
      </w:r>
    </w:p>
    <w:p w14:paraId="352A9118">
      <w:pPr>
        <w:pStyle w:val="6"/>
        <w:tabs>
          <w:tab w:val="left" w:pos="1640"/>
        </w:tabs>
        <w:spacing w:line="360" w:lineRule="exact"/>
        <w:ind w:left="0" w:right="677" w:firstLine="0"/>
        <w:rPr>
          <w:rFonts w:hint="eastAsia"/>
          <w:b/>
          <w:color w:val="auto"/>
          <w:sz w:val="21"/>
          <w:szCs w:val="21"/>
          <w:highlight w:val="none"/>
        </w:rPr>
      </w:pPr>
      <w:r>
        <w:rPr>
          <w:rFonts w:hint="eastAsia"/>
          <w:b/>
          <w:color w:val="auto"/>
          <w:sz w:val="21"/>
          <w:szCs w:val="21"/>
          <w:highlight w:val="none"/>
        </w:rPr>
        <w:t>四、提交投标文件截止时间、开标时间和地点</w:t>
      </w:r>
    </w:p>
    <w:p w14:paraId="02F8E440">
      <w:pPr>
        <w:spacing w:line="360" w:lineRule="exact"/>
        <w:ind w:firstLine="420" w:firstLineChars="200"/>
        <w:rPr>
          <w:rFonts w:hint="eastAsia"/>
          <w:color w:val="auto"/>
          <w:sz w:val="21"/>
          <w:szCs w:val="21"/>
          <w:highlight w:val="none"/>
        </w:rPr>
      </w:pPr>
      <w:r>
        <w:rPr>
          <w:rFonts w:hint="eastAsia"/>
          <w:color w:val="auto"/>
          <w:sz w:val="21"/>
          <w:szCs w:val="21"/>
          <w:highlight w:val="none"/>
        </w:rPr>
        <w:t>投标文件接收截止时间（开标时间）：</w:t>
      </w:r>
      <w:r>
        <w:rPr>
          <w:rFonts w:hint="eastAsia"/>
          <w:color w:val="auto"/>
          <w:sz w:val="21"/>
          <w:szCs w:val="21"/>
          <w:highlight w:val="none"/>
          <w:u w:val="single"/>
        </w:rPr>
        <w:t>2025年</w:t>
      </w:r>
      <w:r>
        <w:rPr>
          <w:rFonts w:hint="eastAsia"/>
          <w:color w:val="auto"/>
          <w:sz w:val="21"/>
          <w:szCs w:val="21"/>
          <w:highlight w:val="none"/>
          <w:u w:val="single"/>
          <w:lang w:val="en-US" w:eastAsia="zh-CN"/>
        </w:rPr>
        <w:t>12</w:t>
      </w:r>
      <w:r>
        <w:rPr>
          <w:rFonts w:hint="eastAsia"/>
          <w:color w:val="auto"/>
          <w:sz w:val="21"/>
          <w:szCs w:val="21"/>
          <w:highlight w:val="none"/>
          <w:u w:val="single"/>
        </w:rPr>
        <w:t>月</w:t>
      </w:r>
      <w:r>
        <w:rPr>
          <w:rFonts w:hint="eastAsia"/>
          <w:color w:val="auto"/>
          <w:sz w:val="21"/>
          <w:szCs w:val="21"/>
          <w:highlight w:val="none"/>
          <w:u w:val="single"/>
          <w:lang w:val="en-US" w:eastAsia="zh-CN"/>
        </w:rPr>
        <w:t>23</w:t>
      </w:r>
      <w:r>
        <w:rPr>
          <w:rFonts w:hint="eastAsia"/>
          <w:color w:val="auto"/>
          <w:sz w:val="21"/>
          <w:szCs w:val="21"/>
          <w:highlight w:val="none"/>
          <w:u w:val="single"/>
        </w:rPr>
        <w:t>日</w:t>
      </w:r>
      <w:r>
        <w:rPr>
          <w:rFonts w:hint="eastAsia"/>
          <w:color w:val="auto"/>
          <w:sz w:val="21"/>
          <w:szCs w:val="21"/>
          <w:highlight w:val="none"/>
          <w:u w:val="single"/>
          <w:lang w:val="en-US" w:eastAsia="zh-CN"/>
        </w:rPr>
        <w:t xml:space="preserve">9 </w:t>
      </w:r>
      <w:r>
        <w:rPr>
          <w:rFonts w:hint="eastAsia"/>
          <w:color w:val="auto"/>
          <w:sz w:val="21"/>
          <w:szCs w:val="21"/>
          <w:highlight w:val="none"/>
          <w:u w:val="single"/>
        </w:rPr>
        <w:t>点</w:t>
      </w:r>
      <w:r>
        <w:rPr>
          <w:rFonts w:hint="eastAsia"/>
          <w:color w:val="auto"/>
          <w:sz w:val="21"/>
          <w:szCs w:val="21"/>
          <w:highlight w:val="none"/>
          <w:u w:val="single"/>
          <w:lang w:val="en-US" w:eastAsia="zh-CN"/>
        </w:rPr>
        <w:t>30</w:t>
      </w:r>
      <w:r>
        <w:rPr>
          <w:rFonts w:hint="eastAsia"/>
          <w:color w:val="auto"/>
          <w:sz w:val="21"/>
          <w:szCs w:val="21"/>
          <w:highlight w:val="none"/>
          <w:u w:val="single"/>
        </w:rPr>
        <w:t>分</w:t>
      </w:r>
      <w:r>
        <w:rPr>
          <w:rFonts w:hint="eastAsia"/>
          <w:color w:val="auto"/>
          <w:sz w:val="21"/>
          <w:szCs w:val="21"/>
          <w:highlight w:val="none"/>
        </w:rPr>
        <w:t>（北京时间）</w:t>
      </w:r>
    </w:p>
    <w:p w14:paraId="3FF2319B">
      <w:pPr>
        <w:spacing w:line="360" w:lineRule="exact"/>
        <w:ind w:firstLine="420" w:firstLineChars="200"/>
        <w:rPr>
          <w:rFonts w:hint="eastAsia"/>
          <w:color w:val="auto"/>
          <w:sz w:val="21"/>
          <w:szCs w:val="21"/>
          <w:highlight w:val="none"/>
        </w:rPr>
      </w:pPr>
      <w:r>
        <w:rPr>
          <w:rFonts w:hint="eastAsia"/>
          <w:color w:val="auto"/>
          <w:sz w:val="21"/>
          <w:szCs w:val="21"/>
          <w:highlight w:val="none"/>
        </w:rPr>
        <w:t>投标文件接收地点：</w:t>
      </w:r>
      <w:r>
        <w:rPr>
          <w:rFonts w:hint="eastAsia"/>
          <w:color w:val="auto"/>
          <w:sz w:val="21"/>
          <w:szCs w:val="21"/>
          <w:highlight w:val="none"/>
        </w:rPr>
        <w:fldChar w:fldCharType="begin"/>
      </w:r>
      <w:r>
        <w:rPr>
          <w:rFonts w:hint="eastAsia"/>
          <w:color w:val="auto"/>
          <w:sz w:val="21"/>
          <w:szCs w:val="21"/>
          <w:highlight w:val="none"/>
        </w:rPr>
        <w:instrText xml:space="preserve"> AUTOTEXT  input103 \* MERGEFORMAT </w:instrText>
      </w:r>
      <w:r>
        <w:rPr>
          <w:rFonts w:hint="eastAsia"/>
          <w:color w:val="auto"/>
          <w:sz w:val="21"/>
          <w:szCs w:val="21"/>
          <w:highlight w:val="none"/>
        </w:rPr>
        <w:fldChar w:fldCharType="separate"/>
      </w:r>
      <w:r>
        <w:rPr>
          <w:rFonts w:hint="eastAsia"/>
          <w:color w:val="auto"/>
          <w:sz w:val="21"/>
          <w:szCs w:val="21"/>
          <w:highlight w:val="none"/>
        </w:rPr>
        <w:t>南京市中山路99号12楼1212室</w:t>
      </w:r>
      <w:r>
        <w:rPr>
          <w:rFonts w:hint="eastAsia"/>
          <w:color w:val="auto"/>
          <w:sz w:val="21"/>
          <w:szCs w:val="21"/>
          <w:highlight w:val="none"/>
        </w:rPr>
        <w:fldChar w:fldCharType="end"/>
      </w:r>
    </w:p>
    <w:p w14:paraId="6BA0E552">
      <w:pPr>
        <w:pStyle w:val="7"/>
        <w:spacing w:line="360" w:lineRule="exact"/>
        <w:ind w:left="0" w:right="1279"/>
        <w:jc w:val="both"/>
        <w:rPr>
          <w:rFonts w:hint="eastAsia"/>
          <w:color w:val="auto"/>
          <w:highlight w:val="none"/>
        </w:rPr>
      </w:pPr>
      <w:r>
        <w:rPr>
          <w:rFonts w:hint="eastAsia"/>
          <w:color w:val="auto"/>
          <w:highlight w:val="none"/>
        </w:rPr>
        <w:t>五、公告期限</w:t>
      </w:r>
    </w:p>
    <w:p w14:paraId="15E6CC4A">
      <w:pPr>
        <w:spacing w:line="360" w:lineRule="exact"/>
        <w:ind w:firstLine="420" w:firstLineChars="200"/>
        <w:rPr>
          <w:rFonts w:hint="eastAsia"/>
          <w:color w:val="auto"/>
          <w:sz w:val="21"/>
          <w:szCs w:val="21"/>
          <w:highlight w:val="none"/>
        </w:rPr>
      </w:pPr>
      <w:r>
        <w:rPr>
          <w:rFonts w:hint="eastAsia"/>
          <w:color w:val="auto"/>
          <w:sz w:val="21"/>
          <w:szCs w:val="21"/>
          <w:highlight w:val="none"/>
        </w:rPr>
        <w:t>自本公告发布之日起5个工作日。</w:t>
      </w:r>
    </w:p>
    <w:p w14:paraId="583202DA">
      <w:pPr>
        <w:pStyle w:val="7"/>
        <w:spacing w:line="360" w:lineRule="exact"/>
        <w:ind w:left="0" w:right="1279"/>
        <w:jc w:val="both"/>
        <w:rPr>
          <w:rFonts w:hint="eastAsia"/>
          <w:color w:val="auto"/>
          <w:highlight w:val="none"/>
        </w:rPr>
      </w:pPr>
      <w:r>
        <w:rPr>
          <w:rFonts w:hint="eastAsia"/>
          <w:color w:val="auto"/>
          <w:highlight w:val="none"/>
        </w:rPr>
        <w:t>六、其他补充事宜</w:t>
      </w:r>
    </w:p>
    <w:p w14:paraId="5C456680">
      <w:pPr>
        <w:spacing w:line="360" w:lineRule="exact"/>
        <w:ind w:firstLine="420" w:firstLineChars="200"/>
        <w:rPr>
          <w:rFonts w:hint="eastAsia"/>
          <w:color w:val="auto"/>
          <w:sz w:val="21"/>
          <w:szCs w:val="21"/>
          <w:highlight w:val="none"/>
        </w:rPr>
      </w:pPr>
      <w:r>
        <w:rPr>
          <w:rFonts w:hint="eastAsia"/>
          <w:color w:val="auto"/>
          <w:sz w:val="21"/>
          <w:szCs w:val="21"/>
          <w:highlight w:val="none"/>
        </w:rPr>
        <w:t>1.本项目标的所属行业：其他未列明行业。</w:t>
      </w:r>
    </w:p>
    <w:p w14:paraId="4A589EBC">
      <w:pPr>
        <w:spacing w:line="360" w:lineRule="exact"/>
        <w:ind w:firstLine="420" w:firstLineChars="200"/>
        <w:rPr>
          <w:rFonts w:hint="eastAsia"/>
          <w:color w:val="auto"/>
          <w:sz w:val="21"/>
          <w:szCs w:val="21"/>
          <w:highlight w:val="none"/>
        </w:rPr>
      </w:pPr>
      <w:r>
        <w:rPr>
          <w:rFonts w:hint="eastAsia"/>
          <w:color w:val="auto"/>
          <w:sz w:val="21"/>
          <w:szCs w:val="21"/>
          <w:highlight w:val="none"/>
        </w:rPr>
        <w:t>2.本项目（是/否）专门面向中小企业：否。</w:t>
      </w:r>
    </w:p>
    <w:p w14:paraId="2CFE2285">
      <w:pPr>
        <w:spacing w:line="360" w:lineRule="exact"/>
        <w:ind w:firstLine="420" w:firstLineChars="200"/>
        <w:rPr>
          <w:rFonts w:hint="eastAsia"/>
          <w:color w:val="auto"/>
          <w:sz w:val="21"/>
          <w:szCs w:val="21"/>
          <w:highlight w:val="none"/>
        </w:rPr>
      </w:pPr>
      <w:r>
        <w:rPr>
          <w:rFonts w:hint="eastAsia"/>
          <w:color w:val="auto"/>
          <w:sz w:val="21"/>
          <w:szCs w:val="21"/>
          <w:highlight w:val="none"/>
        </w:rPr>
        <w:t>3.本项目中标后（是/否）允许转包、分包：否。</w:t>
      </w:r>
    </w:p>
    <w:p w14:paraId="67EF039C">
      <w:pPr>
        <w:spacing w:line="360" w:lineRule="exact"/>
        <w:ind w:firstLine="420" w:firstLineChars="200"/>
        <w:rPr>
          <w:rFonts w:hint="eastAsia"/>
          <w:color w:val="auto"/>
          <w:sz w:val="21"/>
          <w:szCs w:val="21"/>
          <w:highlight w:val="none"/>
        </w:rPr>
      </w:pPr>
      <w:r>
        <w:rPr>
          <w:rFonts w:hint="eastAsia"/>
          <w:color w:val="auto"/>
          <w:sz w:val="21"/>
          <w:szCs w:val="21"/>
          <w:highlight w:val="none"/>
        </w:rPr>
        <w:t>4.投标人应当从采购代理机构合法获得采购项目的招标文件。</w:t>
      </w:r>
    </w:p>
    <w:p w14:paraId="067D5CF4">
      <w:pPr>
        <w:spacing w:line="360" w:lineRule="exact"/>
        <w:ind w:firstLine="420" w:firstLineChars="200"/>
        <w:rPr>
          <w:rFonts w:hint="eastAsia"/>
          <w:color w:val="auto"/>
          <w:sz w:val="21"/>
          <w:szCs w:val="21"/>
          <w:highlight w:val="none"/>
        </w:rPr>
      </w:pPr>
      <w:r>
        <w:rPr>
          <w:rFonts w:hint="eastAsia"/>
          <w:color w:val="auto"/>
          <w:sz w:val="21"/>
          <w:szCs w:val="21"/>
          <w:highlight w:val="none"/>
        </w:rPr>
        <w:t>5.公告发布媒体</w:t>
      </w:r>
    </w:p>
    <w:p w14:paraId="6800CD72">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（1）本采购公告在南京医科大学（https://sjfwc.njmu.edu.cn/zbgg/list.htm）公示发布，敬请各投标人关注；</w:t>
      </w:r>
    </w:p>
    <w:p w14:paraId="722E4929">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（2）若有关本次采购存在变动或修改，敬请各投标人及时关注南京医科大学（https://sjfwc.njmu.edu.cn/zbgg/list.htm）发布的关于本项目的信息更正公告。</w:t>
      </w:r>
    </w:p>
    <w:p w14:paraId="7573A4F0">
      <w:pPr>
        <w:spacing w:line="360" w:lineRule="exact"/>
        <w:ind w:firstLine="420" w:firstLineChars="200"/>
        <w:rPr>
          <w:rFonts w:hint="eastAsia"/>
          <w:color w:val="auto"/>
          <w:sz w:val="21"/>
          <w:szCs w:val="21"/>
          <w:highlight w:val="none"/>
        </w:rPr>
      </w:pPr>
      <w:r>
        <w:rPr>
          <w:rFonts w:hint="eastAsia"/>
          <w:color w:val="auto"/>
          <w:sz w:val="21"/>
          <w:szCs w:val="21"/>
          <w:highlight w:val="none"/>
        </w:rPr>
        <w:t>6.集中考察或答疑：</w:t>
      </w:r>
    </w:p>
    <w:p w14:paraId="19719D9B">
      <w:pPr>
        <w:spacing w:line="360" w:lineRule="exact"/>
        <w:ind w:firstLine="420" w:firstLineChars="200"/>
        <w:rPr>
          <w:rFonts w:hint="eastAsia"/>
          <w:color w:val="auto"/>
          <w:sz w:val="21"/>
          <w:szCs w:val="21"/>
          <w:highlight w:val="none"/>
        </w:rPr>
      </w:pPr>
      <w:r>
        <w:rPr>
          <w:rFonts w:hint="eastAsia"/>
          <w:color w:val="auto"/>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1605722C">
      <w:pPr>
        <w:spacing w:line="360" w:lineRule="exact"/>
        <w:ind w:firstLine="420" w:firstLineChars="200"/>
        <w:rPr>
          <w:rFonts w:hint="eastAsia"/>
          <w:color w:val="auto"/>
          <w:sz w:val="21"/>
          <w:szCs w:val="21"/>
          <w:highlight w:val="none"/>
        </w:rPr>
      </w:pPr>
      <w:r>
        <w:rPr>
          <w:rFonts w:hint="eastAsia"/>
          <w:color w:val="auto"/>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5823E6A2">
      <w:pPr>
        <w:spacing w:line="360" w:lineRule="exact"/>
        <w:ind w:firstLine="420" w:firstLineChars="200"/>
        <w:rPr>
          <w:rFonts w:hint="eastAsia"/>
          <w:color w:val="auto"/>
          <w:sz w:val="21"/>
          <w:szCs w:val="21"/>
          <w:highlight w:val="none"/>
        </w:rPr>
      </w:pPr>
      <w:r>
        <w:rPr>
          <w:rFonts w:hint="eastAsia"/>
          <w:color w:val="auto"/>
          <w:sz w:val="21"/>
          <w:szCs w:val="21"/>
          <w:highlight w:val="none"/>
        </w:rPr>
        <w:t xml:space="preserve">8.采购项目需要落实的政府采购政策： </w:t>
      </w:r>
    </w:p>
    <w:p w14:paraId="37702D26">
      <w:pPr>
        <w:spacing w:line="360" w:lineRule="exact"/>
        <w:ind w:firstLine="420" w:firstLineChars="200"/>
        <w:rPr>
          <w:rFonts w:hint="eastAsia"/>
          <w:color w:val="auto"/>
          <w:sz w:val="21"/>
          <w:szCs w:val="21"/>
          <w:highlight w:val="none"/>
        </w:rPr>
      </w:pPr>
      <w:r>
        <w:rPr>
          <w:rFonts w:hint="eastAsia"/>
          <w:color w:val="auto"/>
          <w:sz w:val="21"/>
          <w:szCs w:val="21"/>
          <w:highlight w:val="none"/>
        </w:rPr>
        <w:t>（1）政府采购促进中小企业发展</w:t>
      </w:r>
    </w:p>
    <w:p w14:paraId="6F356121">
      <w:pPr>
        <w:spacing w:line="360" w:lineRule="exact"/>
        <w:ind w:firstLine="420" w:firstLineChars="200"/>
        <w:rPr>
          <w:rFonts w:hint="eastAsia"/>
          <w:color w:val="auto"/>
          <w:sz w:val="21"/>
          <w:szCs w:val="21"/>
          <w:highlight w:val="none"/>
        </w:rPr>
      </w:pPr>
      <w:r>
        <w:rPr>
          <w:rFonts w:hint="eastAsia"/>
          <w:color w:val="auto"/>
          <w:sz w:val="21"/>
          <w:szCs w:val="21"/>
          <w:highlight w:val="none"/>
        </w:rPr>
        <w:t>（2）政府采购支持监狱企业发展</w:t>
      </w:r>
    </w:p>
    <w:p w14:paraId="78577AAC">
      <w:pPr>
        <w:spacing w:line="360" w:lineRule="exact"/>
        <w:ind w:firstLine="420" w:firstLineChars="200"/>
        <w:rPr>
          <w:rFonts w:hint="eastAsia"/>
          <w:color w:val="auto"/>
          <w:sz w:val="21"/>
          <w:szCs w:val="21"/>
          <w:highlight w:val="none"/>
        </w:rPr>
      </w:pPr>
      <w:r>
        <w:rPr>
          <w:rFonts w:hint="eastAsia"/>
          <w:color w:val="auto"/>
          <w:sz w:val="21"/>
          <w:szCs w:val="21"/>
          <w:highlight w:val="none"/>
        </w:rPr>
        <w:t>（3）政府采购促进残疾人就业</w:t>
      </w:r>
    </w:p>
    <w:p w14:paraId="4B1FCC55">
      <w:pPr>
        <w:spacing w:line="360" w:lineRule="exact"/>
        <w:ind w:firstLine="420" w:firstLineChars="200"/>
        <w:rPr>
          <w:rFonts w:hint="eastAsia"/>
          <w:color w:val="auto"/>
          <w:sz w:val="21"/>
          <w:szCs w:val="21"/>
          <w:highlight w:val="none"/>
        </w:rPr>
      </w:pPr>
      <w:r>
        <w:rPr>
          <w:rFonts w:hint="eastAsia"/>
          <w:color w:val="auto"/>
          <w:sz w:val="21"/>
          <w:szCs w:val="21"/>
          <w:highlight w:val="none"/>
        </w:rPr>
        <w:t>（4）政府采购鼓励采购节能环保产品</w:t>
      </w:r>
    </w:p>
    <w:p w14:paraId="54EDEFC3">
      <w:pPr>
        <w:pStyle w:val="8"/>
        <w:spacing w:line="360" w:lineRule="exact"/>
        <w:ind w:left="0"/>
        <w:rPr>
          <w:rFonts w:hint="eastAsia"/>
          <w:b/>
          <w:color w:val="auto"/>
          <w:sz w:val="21"/>
          <w:szCs w:val="21"/>
          <w:highlight w:val="none"/>
        </w:rPr>
      </w:pPr>
      <w:r>
        <w:rPr>
          <w:rFonts w:hint="eastAsia"/>
          <w:b/>
          <w:color w:val="auto"/>
          <w:sz w:val="21"/>
          <w:szCs w:val="21"/>
          <w:highlight w:val="none"/>
        </w:rPr>
        <w:t>七、对本次招标提出询问，请按以下方式联系。</w:t>
      </w:r>
    </w:p>
    <w:p w14:paraId="6BF473BE">
      <w:pPr>
        <w:spacing w:line="360" w:lineRule="exact"/>
        <w:ind w:firstLine="420" w:firstLineChars="200"/>
        <w:rPr>
          <w:rFonts w:hint="eastAsia"/>
          <w:color w:val="auto"/>
          <w:sz w:val="21"/>
          <w:szCs w:val="21"/>
          <w:highlight w:val="none"/>
        </w:rPr>
      </w:pPr>
      <w:r>
        <w:rPr>
          <w:rFonts w:hint="eastAsia"/>
          <w:color w:val="auto"/>
          <w:sz w:val="21"/>
          <w:szCs w:val="21"/>
          <w:highlight w:val="none"/>
        </w:rPr>
        <w:t>1.采购人信息：</w:t>
      </w:r>
    </w:p>
    <w:p w14:paraId="676EC976">
      <w:pPr>
        <w:spacing w:line="360" w:lineRule="exact"/>
        <w:ind w:firstLine="420" w:firstLineChars="200"/>
        <w:rPr>
          <w:rFonts w:hint="eastAsia"/>
          <w:color w:val="auto"/>
          <w:sz w:val="21"/>
          <w:szCs w:val="21"/>
          <w:highlight w:val="none"/>
        </w:rPr>
      </w:pPr>
      <w:r>
        <w:rPr>
          <w:rFonts w:hint="eastAsia"/>
          <w:color w:val="auto"/>
          <w:sz w:val="21"/>
          <w:szCs w:val="21"/>
          <w:highlight w:val="none"/>
        </w:rPr>
        <w:t>单位名称：南京医科大学</w:t>
      </w:r>
    </w:p>
    <w:p w14:paraId="31317771">
      <w:pPr>
        <w:spacing w:line="360" w:lineRule="exact"/>
        <w:ind w:firstLine="420" w:firstLineChars="200"/>
        <w:rPr>
          <w:rFonts w:hint="eastAsia"/>
          <w:color w:val="auto"/>
          <w:sz w:val="21"/>
          <w:szCs w:val="21"/>
          <w:highlight w:val="none"/>
        </w:rPr>
      </w:pPr>
      <w:r>
        <w:rPr>
          <w:rFonts w:hint="eastAsia"/>
          <w:color w:val="auto"/>
          <w:sz w:val="21"/>
          <w:szCs w:val="21"/>
          <w:highlight w:val="none"/>
        </w:rPr>
        <w:t>单位地址：南京市江宁区龙眠大道101号</w:t>
      </w:r>
    </w:p>
    <w:p w14:paraId="5121C474">
      <w:pPr>
        <w:spacing w:line="360" w:lineRule="exact"/>
        <w:ind w:firstLine="420" w:firstLineChars="200"/>
        <w:rPr>
          <w:rFonts w:hint="eastAsia"/>
          <w:color w:val="auto"/>
          <w:sz w:val="21"/>
          <w:szCs w:val="21"/>
          <w:highlight w:val="none"/>
        </w:rPr>
      </w:pPr>
      <w:r>
        <w:rPr>
          <w:rFonts w:hint="eastAsia"/>
          <w:color w:val="auto"/>
          <w:sz w:val="21"/>
          <w:szCs w:val="21"/>
          <w:highlight w:val="none"/>
        </w:rPr>
        <w:t>联系人：</w:t>
      </w:r>
      <w:r>
        <w:rPr>
          <w:rFonts w:hint="eastAsia"/>
          <w:color w:val="auto"/>
          <w:sz w:val="21"/>
          <w:szCs w:val="21"/>
          <w:highlight w:val="none"/>
          <w:lang w:val="en-US" w:eastAsia="zh-CN"/>
        </w:rPr>
        <w:t>陈</w:t>
      </w:r>
      <w:r>
        <w:rPr>
          <w:rFonts w:hint="eastAsia"/>
          <w:color w:val="auto"/>
          <w:sz w:val="21"/>
          <w:szCs w:val="21"/>
          <w:highlight w:val="none"/>
        </w:rPr>
        <w:t>老师</w:t>
      </w:r>
    </w:p>
    <w:p w14:paraId="09FDAE78">
      <w:pPr>
        <w:spacing w:line="360" w:lineRule="exact"/>
        <w:ind w:firstLine="420" w:firstLineChars="200"/>
        <w:rPr>
          <w:rFonts w:hint="eastAsia"/>
          <w:color w:val="auto"/>
          <w:sz w:val="21"/>
          <w:szCs w:val="21"/>
          <w:highlight w:val="none"/>
        </w:rPr>
      </w:pPr>
      <w:r>
        <w:rPr>
          <w:rFonts w:hint="eastAsia"/>
          <w:color w:val="auto"/>
          <w:sz w:val="21"/>
          <w:szCs w:val="21"/>
          <w:highlight w:val="none"/>
        </w:rPr>
        <w:t>联系方式：025-86869249</w:t>
      </w:r>
    </w:p>
    <w:p w14:paraId="33E7AE25">
      <w:pPr>
        <w:spacing w:line="360" w:lineRule="exact"/>
        <w:ind w:firstLine="420" w:firstLineChars="200"/>
        <w:rPr>
          <w:rFonts w:hint="eastAsia"/>
          <w:color w:val="auto"/>
          <w:sz w:val="21"/>
          <w:szCs w:val="21"/>
          <w:highlight w:val="none"/>
        </w:rPr>
      </w:pPr>
      <w:r>
        <w:rPr>
          <w:rFonts w:hint="eastAsia"/>
          <w:color w:val="auto"/>
          <w:sz w:val="21"/>
          <w:szCs w:val="21"/>
          <w:highlight w:val="none"/>
        </w:rPr>
        <w:t>2.采购代理机构信息：</w:t>
      </w:r>
    </w:p>
    <w:p w14:paraId="0E25AB9D">
      <w:pPr>
        <w:spacing w:line="360" w:lineRule="exact"/>
        <w:ind w:firstLine="420" w:firstLineChars="200"/>
        <w:rPr>
          <w:rFonts w:hint="eastAsia"/>
          <w:color w:val="auto"/>
          <w:sz w:val="21"/>
          <w:szCs w:val="21"/>
          <w:highlight w:val="none"/>
        </w:rPr>
      </w:pPr>
      <w:r>
        <w:rPr>
          <w:rFonts w:hint="eastAsia"/>
          <w:color w:val="auto"/>
          <w:sz w:val="21"/>
          <w:szCs w:val="21"/>
          <w:highlight w:val="none"/>
        </w:rPr>
        <w:t>单位名称：南京苏宁工程咨询有限公司</w:t>
      </w:r>
    </w:p>
    <w:p w14:paraId="5A667148">
      <w:pPr>
        <w:spacing w:line="360" w:lineRule="exact"/>
        <w:ind w:firstLine="420" w:firstLineChars="200"/>
        <w:rPr>
          <w:rFonts w:hint="eastAsia"/>
          <w:color w:val="auto"/>
          <w:sz w:val="21"/>
          <w:szCs w:val="21"/>
          <w:highlight w:val="none"/>
        </w:rPr>
      </w:pPr>
      <w:r>
        <w:rPr>
          <w:rFonts w:hint="eastAsia"/>
          <w:color w:val="auto"/>
          <w:sz w:val="21"/>
          <w:szCs w:val="21"/>
          <w:highlight w:val="none"/>
        </w:rPr>
        <w:t>单位地址：南京市中山路99号12楼1212室</w:t>
      </w:r>
    </w:p>
    <w:p w14:paraId="4762C6BE">
      <w:pPr>
        <w:spacing w:line="36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李佳蓉</w:t>
      </w:r>
    </w:p>
    <w:p w14:paraId="0620A25E">
      <w:pPr>
        <w:spacing w:line="360" w:lineRule="exact"/>
        <w:ind w:firstLine="420" w:firstLineChars="200"/>
        <w:rPr>
          <w:color w:val="auto"/>
          <w:sz w:val="21"/>
          <w:szCs w:val="21"/>
          <w:highlight w:val="none"/>
        </w:rPr>
      </w:pPr>
      <w:r>
        <w:rPr>
          <w:rFonts w:hint="eastAsia"/>
          <w:color w:val="auto"/>
          <w:sz w:val="21"/>
          <w:szCs w:val="21"/>
          <w:highlight w:val="none"/>
        </w:rPr>
        <w:t>联系方式：025-84200809</w:t>
      </w:r>
    </w:p>
    <w:p w14:paraId="092CF096">
      <w:pPr>
        <w:spacing w:line="360" w:lineRule="exact"/>
        <w:ind w:firstLine="420" w:firstLineChars="200"/>
        <w:rPr>
          <w:rFonts w:hint="eastAsia"/>
          <w:color w:val="auto"/>
          <w:sz w:val="21"/>
          <w:szCs w:val="21"/>
          <w:highlight w:val="none"/>
        </w:rPr>
      </w:pPr>
      <w:r>
        <w:rPr>
          <w:rFonts w:hint="eastAsia"/>
          <w:color w:val="auto"/>
          <w:sz w:val="21"/>
          <w:szCs w:val="21"/>
          <w:highlight w:val="none"/>
        </w:rPr>
        <w:t>3.项目联系方式</w:t>
      </w:r>
    </w:p>
    <w:p w14:paraId="67DEF51A">
      <w:pPr>
        <w:spacing w:line="36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联系人：</w:t>
      </w:r>
      <w:r>
        <w:rPr>
          <w:rFonts w:hint="eastAsia"/>
          <w:color w:val="auto"/>
          <w:sz w:val="21"/>
          <w:szCs w:val="21"/>
          <w:highlight w:val="none"/>
          <w:lang w:val="en-US" w:eastAsia="zh-CN"/>
        </w:rPr>
        <w:t>李佳蓉</w:t>
      </w:r>
    </w:p>
    <w:p w14:paraId="5EA4D2E2">
      <w:pPr>
        <w:spacing w:line="360" w:lineRule="exact"/>
        <w:ind w:firstLine="420" w:firstLineChars="200"/>
        <w:rPr>
          <w:color w:val="auto"/>
          <w:szCs w:val="21"/>
          <w:highlight w:val="none"/>
        </w:rPr>
      </w:pPr>
      <w:r>
        <w:rPr>
          <w:rFonts w:hint="eastAsia"/>
          <w:color w:val="auto"/>
          <w:sz w:val="21"/>
          <w:szCs w:val="21"/>
          <w:highlight w:val="none"/>
        </w:rPr>
        <w:t>联系电话：025-84200809</w:t>
      </w:r>
    </w:p>
    <w:p w14:paraId="5FC6F3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6077"/>
    <w:rsid w:val="50E9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出段落1"/>
    <w:basedOn w:val="1"/>
    <w:qFormat/>
    <w:uiPriority w:val="1"/>
    <w:pPr>
      <w:ind w:left="680" w:firstLine="420"/>
    </w:pPr>
  </w:style>
  <w:style w:type="paragraph" w:customStyle="1" w:styleId="7">
    <w:name w:val="标题 81"/>
    <w:basedOn w:val="1"/>
    <w:qFormat/>
    <w:uiPriority w:val="1"/>
    <w:pPr>
      <w:ind w:left="680"/>
      <w:outlineLvl w:val="8"/>
    </w:pPr>
    <w:rPr>
      <w:b/>
      <w:bCs/>
      <w:sz w:val="21"/>
      <w:szCs w:val="21"/>
    </w:rPr>
  </w:style>
  <w:style w:type="paragraph" w:customStyle="1" w:styleId="8">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2025-12-02T06:43:00Z</dcterms:created>
  <dc:creator>王净壹</dc:creator>
  <cp:lastModifiedBy>王净壹</cp:lastModifiedBy>
  <dcterms:modified xsi:type="dcterms:W3CDTF">2025-12-02T06:44:47Z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8B789A6DA33A40628B2F7AFECED7E16E_11</vt:lpwstr>
  </property>
  <property fmtid="{D5CDD505-2E9C-101B-9397-08002B2CF9AE}" pid="4" name="KSOTemplateDocerSaveRecord">
    <vt:lpwstr>eyJoZGlkIjoiMDM0ZTI2Y2RhZDYzNWI4NjdkN2I1ODRiZGYxY2FmZmYiLCJ1c2VySWQiOiIxMDQ1NzQ0MDg4In0=</vt:lpwstr>
  </property>
</Properties>
</file>