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after="0"/>
        <w:ind w:firstLine="0" w:firstLineChars="0"/>
        <w:jc w:val="center"/>
        <w:rPr>
          <w:rFonts w:hint="eastAsia" w:ascii="仿宋" w:hAnsi="仿宋" w:eastAsia="仿宋" w:cs="仿宋"/>
          <w:b/>
          <w:bCs/>
          <w:sz w:val="84"/>
          <w:szCs w:val="84"/>
        </w:rPr>
      </w:pPr>
    </w:p>
    <w:p>
      <w:pPr>
        <w:pStyle w:val="24"/>
        <w:spacing w:before="0" w:after="0"/>
        <w:ind w:firstLine="0" w:firstLineChars="0"/>
        <w:jc w:val="center"/>
        <w:rPr>
          <w:rFonts w:hint="eastAsia" w:ascii="仿宋" w:hAnsi="仿宋" w:eastAsia="仿宋" w:cs="仿宋"/>
          <w:b/>
          <w:bCs/>
          <w:sz w:val="84"/>
          <w:szCs w:val="84"/>
        </w:rPr>
      </w:pPr>
      <w:r>
        <w:rPr>
          <w:rFonts w:hint="eastAsia" w:ascii="仿宋" w:hAnsi="仿宋" w:eastAsia="仿宋" w:cs="仿宋"/>
          <w:b/>
          <w:bCs/>
          <w:sz w:val="84"/>
          <w:szCs w:val="84"/>
        </w:rPr>
        <w:t>招　标　文　件</w:t>
      </w:r>
    </w:p>
    <w:p>
      <w:pPr>
        <w:pStyle w:val="24"/>
        <w:spacing w:before="0" w:after="0"/>
        <w:ind w:firstLine="0" w:firstLineChars="0"/>
        <w:jc w:val="both"/>
        <w:rPr>
          <w:rFonts w:hint="eastAsia" w:ascii="仿宋" w:hAnsi="仿宋" w:eastAsia="仿宋" w:cs="仿宋"/>
          <w:b/>
          <w:bCs/>
          <w:sz w:val="36"/>
          <w:szCs w:val="36"/>
        </w:rPr>
      </w:pPr>
      <w:r>
        <w:rPr>
          <w:rFonts w:hint="eastAsia" w:ascii="仿宋" w:hAnsi="仿宋" w:eastAsia="仿宋" w:cs="仿宋"/>
          <w:b/>
          <w:bCs/>
          <w:sz w:val="36"/>
          <w:szCs w:val="36"/>
        </w:rPr>
        <w:t xml:space="preserve">  </w:t>
      </w:r>
    </w:p>
    <w:p>
      <w:pPr>
        <w:pStyle w:val="24"/>
        <w:spacing w:before="0" w:after="0"/>
        <w:ind w:firstLine="0" w:firstLineChars="0"/>
        <w:jc w:val="both"/>
        <w:rPr>
          <w:rFonts w:hint="eastAsia" w:ascii="仿宋" w:hAnsi="仿宋" w:eastAsia="仿宋" w:cs="仿宋"/>
          <w:b/>
          <w:bCs/>
          <w:sz w:val="36"/>
          <w:szCs w:val="36"/>
        </w:rPr>
      </w:pPr>
    </w:p>
    <w:p>
      <w:pPr>
        <w:pStyle w:val="24"/>
        <w:spacing w:before="0" w:after="0"/>
        <w:ind w:firstLine="0" w:firstLineChars="0"/>
        <w:jc w:val="both"/>
        <w:rPr>
          <w:rFonts w:hint="eastAsia" w:ascii="仿宋" w:hAnsi="仿宋" w:eastAsia="仿宋" w:cs="仿宋"/>
          <w:b/>
          <w:bCs/>
          <w:sz w:val="36"/>
          <w:szCs w:val="36"/>
        </w:rPr>
      </w:pPr>
    </w:p>
    <w:p>
      <w:pPr>
        <w:pStyle w:val="24"/>
        <w:spacing w:before="0" w:after="0"/>
        <w:ind w:firstLine="0" w:firstLineChars="0"/>
        <w:jc w:val="both"/>
        <w:rPr>
          <w:rFonts w:hint="eastAsia" w:ascii="仿宋" w:hAnsi="仿宋" w:eastAsia="仿宋" w:cs="仿宋"/>
          <w:b/>
          <w:bCs/>
          <w:sz w:val="36"/>
          <w:szCs w:val="36"/>
        </w:rPr>
      </w:pPr>
    </w:p>
    <w:p>
      <w:pPr>
        <w:pStyle w:val="24"/>
        <w:spacing w:before="0" w:after="0"/>
        <w:ind w:firstLine="0" w:firstLineChars="0"/>
        <w:jc w:val="center"/>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 xml:space="preserve">       项目名称：</w:t>
      </w:r>
      <w:r>
        <w:rPr>
          <w:rFonts w:hint="eastAsia" w:ascii="仿宋" w:hAnsi="仿宋" w:eastAsia="仿宋" w:cs="仿宋"/>
          <w:b/>
          <w:bCs/>
          <w:sz w:val="36"/>
          <w:szCs w:val="36"/>
          <w:lang w:eastAsia="zh-CN"/>
        </w:rPr>
        <w:t xml:space="preserve">南京医科大学智能型荧光显微镜采购  </w:t>
      </w:r>
    </w:p>
    <w:p>
      <w:pPr>
        <w:pStyle w:val="24"/>
        <w:spacing w:before="0" w:after="0"/>
        <w:ind w:firstLine="1800" w:firstLineChars="500"/>
        <w:jc w:val="both"/>
        <w:rPr>
          <w:rFonts w:hint="eastAsia" w:ascii="仿宋" w:hAnsi="仿宋" w:eastAsia="仿宋" w:cs="仿宋"/>
          <w:b/>
          <w:bCs/>
          <w:sz w:val="36"/>
          <w:szCs w:val="36"/>
          <w:lang w:eastAsia="zh-CN"/>
        </w:rPr>
      </w:pPr>
      <w:r>
        <w:rPr>
          <w:rFonts w:hint="eastAsia" w:ascii="仿宋" w:hAnsi="仿宋" w:eastAsia="仿宋" w:cs="仿宋"/>
          <w:b/>
          <w:bCs/>
          <w:sz w:val="36"/>
          <w:szCs w:val="36"/>
        </w:rPr>
        <w:t>项目编号：</w:t>
      </w:r>
      <w:r>
        <w:rPr>
          <w:rFonts w:hint="eastAsia" w:ascii="仿宋" w:hAnsi="仿宋" w:eastAsia="仿宋" w:cs="仿宋"/>
          <w:b/>
          <w:bCs/>
          <w:sz w:val="36"/>
          <w:szCs w:val="36"/>
          <w:lang w:eastAsia="zh-CN"/>
        </w:rPr>
        <w:t>NJDCX-202204131501</w:t>
      </w:r>
    </w:p>
    <w:p>
      <w:pPr>
        <w:pStyle w:val="24"/>
        <w:spacing w:before="0" w:after="0"/>
        <w:ind w:firstLine="0" w:firstLineChars="0"/>
        <w:jc w:val="both"/>
        <w:rPr>
          <w:rFonts w:hint="eastAsia" w:ascii="仿宋" w:hAnsi="仿宋" w:eastAsia="仿宋" w:cs="仿宋"/>
          <w:b/>
          <w:bCs/>
          <w:sz w:val="36"/>
          <w:szCs w:val="36"/>
        </w:rPr>
      </w:pPr>
    </w:p>
    <w:p>
      <w:pPr>
        <w:pStyle w:val="24"/>
        <w:spacing w:before="0" w:after="0"/>
        <w:ind w:firstLine="0" w:firstLineChars="0"/>
        <w:jc w:val="both"/>
        <w:rPr>
          <w:rFonts w:hint="eastAsia" w:ascii="仿宋" w:hAnsi="仿宋" w:eastAsia="仿宋" w:cs="仿宋"/>
          <w:b/>
          <w:bCs/>
          <w:sz w:val="36"/>
          <w:szCs w:val="36"/>
        </w:rPr>
      </w:pPr>
    </w:p>
    <w:p>
      <w:pPr>
        <w:pStyle w:val="24"/>
        <w:spacing w:before="0" w:after="0"/>
        <w:ind w:firstLine="0" w:firstLineChars="0"/>
        <w:jc w:val="both"/>
        <w:rPr>
          <w:rFonts w:hint="eastAsia" w:ascii="仿宋" w:hAnsi="仿宋" w:eastAsia="仿宋" w:cs="仿宋"/>
          <w:b/>
          <w:bCs/>
          <w:sz w:val="36"/>
          <w:szCs w:val="36"/>
        </w:rPr>
      </w:pPr>
    </w:p>
    <w:p>
      <w:pPr>
        <w:pStyle w:val="24"/>
        <w:spacing w:before="0" w:after="0"/>
        <w:ind w:firstLine="0" w:firstLineChars="0"/>
        <w:jc w:val="both"/>
        <w:rPr>
          <w:rFonts w:hint="eastAsia" w:ascii="仿宋" w:hAnsi="仿宋" w:eastAsia="仿宋" w:cs="仿宋"/>
          <w:b/>
          <w:bCs/>
          <w:sz w:val="36"/>
          <w:szCs w:val="36"/>
        </w:rPr>
      </w:pPr>
    </w:p>
    <w:p>
      <w:pPr>
        <w:pStyle w:val="24"/>
        <w:keepNext w:val="0"/>
        <w:keepLines w:val="0"/>
        <w:pageBreakBefore w:val="0"/>
        <w:widowControl/>
        <w:kinsoku/>
        <w:wordWrap/>
        <w:overflowPunct/>
        <w:topLinePunct w:val="0"/>
        <w:autoSpaceDE/>
        <w:autoSpaceDN/>
        <w:bidi w:val="0"/>
        <w:adjustRightInd w:val="0"/>
        <w:snapToGrid w:val="0"/>
        <w:spacing w:before="0" w:after="0" w:line="480" w:lineRule="auto"/>
        <w:ind w:left="-110" w:leftChars="-50" w:firstLine="1800" w:firstLineChars="500"/>
        <w:jc w:val="both"/>
        <w:textAlignment w:val="auto"/>
        <w:rPr>
          <w:rFonts w:hint="eastAsia" w:ascii="仿宋" w:hAnsi="仿宋" w:eastAsia="仿宋" w:cs="仿宋"/>
          <w:b/>
          <w:bCs/>
          <w:sz w:val="36"/>
          <w:szCs w:val="36"/>
        </w:rPr>
      </w:pPr>
      <w:r>
        <w:rPr>
          <w:rFonts w:hint="eastAsia" w:ascii="仿宋" w:hAnsi="仿宋" w:eastAsia="仿宋" w:cs="仿宋"/>
          <w:b/>
          <w:bCs/>
          <w:sz w:val="36"/>
          <w:szCs w:val="36"/>
        </w:rPr>
        <w:t>采 购 人：南京医科大学</w:t>
      </w:r>
    </w:p>
    <w:p>
      <w:pPr>
        <w:pStyle w:val="24"/>
        <w:spacing w:before="0" w:after="0" w:line="480" w:lineRule="auto"/>
        <w:ind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代理机构：南京达琛鑫工程咨询有限公司</w:t>
      </w:r>
    </w:p>
    <w:p>
      <w:pPr>
        <w:pStyle w:val="24"/>
        <w:spacing w:line="480" w:lineRule="auto"/>
        <w:ind w:firstLine="0" w:firstLineChars="0"/>
        <w:jc w:val="center"/>
        <w:rPr>
          <w:rFonts w:hint="eastAsia" w:ascii="仿宋" w:hAnsi="仿宋" w:eastAsia="仿宋" w:cs="仿宋"/>
          <w:sz w:val="36"/>
          <w:szCs w:val="36"/>
        </w:rPr>
      </w:pPr>
      <w:bookmarkStart w:id="0" w:name="_Toc120614210"/>
      <w:bookmarkStart w:id="1" w:name="_Toc513029200"/>
      <w:bookmarkStart w:id="2" w:name="_Toc479757206"/>
      <w:bookmarkStart w:id="3" w:name="_Toc20823272"/>
      <w:bookmarkStart w:id="4" w:name="_Toc523127445"/>
      <w:bookmarkStart w:id="5" w:name="_Toc16938516"/>
      <w:r>
        <w:rPr>
          <w:rFonts w:hint="eastAsia" w:ascii="仿宋" w:hAnsi="仿宋" w:eastAsia="仿宋" w:cs="仿宋"/>
          <w:b/>
          <w:bCs/>
          <w:sz w:val="36"/>
          <w:szCs w:val="36"/>
        </w:rPr>
        <w:t xml:space="preserve">二 〇 二 </w:t>
      </w:r>
      <w:r>
        <w:rPr>
          <w:rFonts w:hint="eastAsia" w:ascii="仿宋" w:hAnsi="仿宋" w:eastAsia="仿宋" w:cs="仿宋"/>
          <w:b/>
          <w:bCs/>
          <w:sz w:val="36"/>
          <w:szCs w:val="36"/>
          <w:lang w:eastAsia="zh-CN"/>
        </w:rPr>
        <w:t>二</w:t>
      </w:r>
      <w:r>
        <w:rPr>
          <w:rFonts w:hint="eastAsia" w:ascii="仿宋" w:hAnsi="仿宋" w:eastAsia="仿宋" w:cs="仿宋"/>
          <w:b/>
          <w:bCs/>
          <w:sz w:val="36"/>
          <w:szCs w:val="36"/>
        </w:rPr>
        <w:t xml:space="preserve"> 年 </w:t>
      </w:r>
      <w:r>
        <w:rPr>
          <w:rFonts w:hint="eastAsia" w:ascii="仿宋" w:hAnsi="仿宋" w:eastAsia="仿宋" w:cs="仿宋"/>
          <w:b/>
          <w:bCs/>
          <w:sz w:val="36"/>
          <w:szCs w:val="36"/>
          <w:lang w:eastAsia="zh-CN"/>
        </w:rPr>
        <w:t>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月</w:t>
      </w:r>
    </w:p>
    <w:p>
      <w:pPr>
        <w:keepNext w:val="0"/>
        <w:keepLines w:val="0"/>
        <w:pageBreakBefore w:val="0"/>
        <w:widowControl/>
        <w:kinsoku/>
        <w:wordWrap/>
        <w:overflowPunct/>
        <w:topLinePunct w:val="0"/>
        <w:autoSpaceDE/>
        <w:autoSpaceDN/>
        <w:bidi w:val="0"/>
        <w:spacing w:after="0" w:line="0" w:lineRule="atLeast"/>
        <w:ind w:left="440" w:leftChars="200" w:right="0" w:rightChars="0" w:firstLine="0" w:firstLineChars="0"/>
        <w:jc w:val="center"/>
        <w:textAlignment w:val="auto"/>
        <w:rPr>
          <w:rFonts w:hint="eastAsia" w:ascii="仿宋" w:hAnsi="仿宋" w:eastAsia="仿宋" w:cs="仿宋"/>
          <w:sz w:val="28"/>
          <w:szCs w:val="28"/>
          <w:lang w:val="en-US" w:eastAsia="zh-CN" w:bidi="ar-SA"/>
        </w:rPr>
        <w:sectPr>
          <w:headerReference r:id="rId4" w:type="default"/>
          <w:footerReference r:id="rId5" w:type="default"/>
          <w:pgSz w:w="11906" w:h="16838"/>
          <w:pgMar w:top="1440" w:right="1080" w:bottom="1440" w:left="1080" w:header="1020" w:footer="964" w:gutter="0"/>
          <w:pgNumType w:start="1"/>
          <w:cols w:space="720" w:num="1"/>
          <w:docGrid w:type="linesAndChars" w:linePitch="312" w:charSpace="0"/>
        </w:sectPr>
      </w:pPr>
      <w:bookmarkStart w:id="6" w:name="_Toc10896"/>
      <w:bookmarkStart w:id="7" w:name="_Toc31882"/>
      <w:bookmarkStart w:id="8" w:name="_Toc324237145"/>
      <w:bookmarkStart w:id="9" w:name="_Toc14577"/>
      <w:bookmarkStart w:id="10" w:name="_Toc20198"/>
      <w:bookmarkStart w:id="11" w:name="_Toc19048"/>
      <w:bookmarkStart w:id="12" w:name="_Toc17667"/>
    </w:p>
    <w:sdt>
      <w:sdtPr>
        <w:rPr>
          <w:rFonts w:hint="eastAsia" w:ascii="仿宋" w:hAnsi="仿宋" w:eastAsia="仿宋" w:cs="仿宋"/>
          <w:sz w:val="28"/>
          <w:szCs w:val="28"/>
          <w:lang w:val="en-US" w:eastAsia="zh-CN" w:bidi="ar-SA"/>
        </w:rPr>
        <w:id w:val="147461779"/>
        <w15:color w:val="DBDBDB"/>
        <w:docPartObj>
          <w:docPartGallery w:val="Table of Contents"/>
          <w:docPartUnique/>
        </w:docPartObj>
      </w:sdtPr>
      <w:sdtEndPr>
        <w:rPr>
          <w:rFonts w:hint="eastAsia" w:ascii="仿宋" w:hAnsi="仿宋" w:eastAsia="仿宋" w:cs="仿宋"/>
          <w:b/>
          <w:sz w:val="28"/>
          <w:szCs w:val="28"/>
          <w:lang w:val="en-US" w:eastAsia="zh-CN" w:bidi="ar-SA"/>
        </w:rPr>
      </w:sdtEndPr>
      <w:sdtContent>
        <w:p>
          <w:pPr>
            <w:keepNext w:val="0"/>
            <w:keepLines w:val="0"/>
            <w:pageBreakBefore w:val="0"/>
            <w:widowControl/>
            <w:kinsoku/>
            <w:wordWrap/>
            <w:overflowPunct/>
            <w:topLinePunct w:val="0"/>
            <w:autoSpaceDE/>
            <w:autoSpaceDN/>
            <w:bidi w:val="0"/>
            <w:spacing w:after="0" w:line="0" w:lineRule="atLeast"/>
            <w:ind w:left="440" w:leftChars="200" w:right="0" w:righ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pStyle w:val="25"/>
            <w:rPr>
              <w:rFonts w:hint="eastAsia"/>
            </w:rPr>
          </w:pPr>
        </w:p>
        <w:p>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_Toc6444 </w:instrText>
          </w:r>
          <w:r>
            <w:rPr>
              <w:rFonts w:hint="eastAsia" w:ascii="仿宋" w:hAnsi="仿宋" w:eastAsia="仿宋" w:cs="仿宋"/>
            </w:rPr>
            <w:fldChar w:fldCharType="separate"/>
          </w:r>
          <w:r>
            <w:rPr>
              <w:rFonts w:hint="eastAsia" w:ascii="仿宋" w:hAnsi="仿宋" w:eastAsia="仿宋" w:cs="仿宋"/>
              <w:szCs w:val="44"/>
            </w:rPr>
            <w:t xml:space="preserve">第一章  </w:t>
          </w:r>
          <w:r>
            <w:rPr>
              <w:rFonts w:hint="eastAsia" w:ascii="仿宋" w:hAnsi="仿宋" w:eastAsia="仿宋" w:cs="仿宋"/>
              <w:szCs w:val="44"/>
              <w:lang w:eastAsia="zh-CN"/>
            </w:rPr>
            <w:t>投标</w:t>
          </w:r>
          <w:r>
            <w:rPr>
              <w:rFonts w:hint="eastAsia" w:ascii="仿宋" w:hAnsi="仿宋" w:eastAsia="仿宋" w:cs="仿宋"/>
              <w:szCs w:val="44"/>
            </w:rPr>
            <w:t>邀请</w:t>
          </w:r>
          <w:r>
            <w:tab/>
          </w:r>
          <w:r>
            <w:fldChar w:fldCharType="begin"/>
          </w:r>
          <w:r>
            <w:instrText xml:space="preserve"> PAGEREF _Toc6444 \h </w:instrText>
          </w:r>
          <w:r>
            <w:fldChar w:fldCharType="separate"/>
          </w:r>
          <w:r>
            <w:t>1</w:t>
          </w:r>
          <w:r>
            <w:fldChar w:fldCharType="end"/>
          </w:r>
          <w:r>
            <w:rPr>
              <w:rFonts w:hint="eastAsia" w:ascii="仿宋" w:hAnsi="仿宋" w:eastAsia="仿宋" w:cs="仿宋"/>
            </w:rPr>
            <w:fldChar w:fldCharType="end"/>
          </w:r>
        </w:p>
        <w:p>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_Toc11343 </w:instrText>
          </w:r>
          <w:r>
            <w:rPr>
              <w:rFonts w:hint="eastAsia" w:ascii="仿宋" w:hAnsi="仿宋" w:eastAsia="仿宋" w:cs="仿宋"/>
            </w:rPr>
            <w:fldChar w:fldCharType="separate"/>
          </w:r>
          <w:r>
            <w:rPr>
              <w:rFonts w:hint="eastAsia" w:ascii="仿宋" w:hAnsi="仿宋" w:eastAsia="仿宋" w:cs="仿宋"/>
              <w:szCs w:val="44"/>
            </w:rPr>
            <w:t>第二章  投标供应商须知</w:t>
          </w:r>
          <w:r>
            <w:tab/>
          </w:r>
          <w:r>
            <w:fldChar w:fldCharType="begin"/>
          </w:r>
          <w:r>
            <w:instrText xml:space="preserve"> PAGEREF _Toc11343 \h </w:instrText>
          </w:r>
          <w:r>
            <w:fldChar w:fldCharType="separate"/>
          </w:r>
          <w:r>
            <w:t>4</w:t>
          </w:r>
          <w:r>
            <w:fldChar w:fldCharType="end"/>
          </w:r>
          <w:r>
            <w:rPr>
              <w:rFonts w:hint="eastAsia" w:ascii="仿宋" w:hAnsi="仿宋" w:eastAsia="仿宋" w:cs="仿宋"/>
            </w:rPr>
            <w:fldChar w:fldCharType="end"/>
          </w:r>
        </w:p>
        <w:p>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_Toc3904 </w:instrText>
          </w:r>
          <w:r>
            <w:rPr>
              <w:rFonts w:hint="eastAsia" w:ascii="仿宋" w:hAnsi="仿宋" w:eastAsia="仿宋" w:cs="仿宋"/>
            </w:rPr>
            <w:fldChar w:fldCharType="separate"/>
          </w:r>
          <w:r>
            <w:rPr>
              <w:rFonts w:hint="eastAsia" w:ascii="仿宋" w:hAnsi="仿宋" w:eastAsia="仿宋" w:cs="仿宋"/>
              <w:szCs w:val="44"/>
            </w:rPr>
            <w:t>第三章  合同条款及格式</w:t>
          </w:r>
          <w:r>
            <w:tab/>
          </w:r>
          <w:r>
            <w:fldChar w:fldCharType="begin"/>
          </w:r>
          <w:r>
            <w:instrText xml:space="preserve"> PAGEREF _Toc3904 \h </w:instrText>
          </w:r>
          <w:r>
            <w:fldChar w:fldCharType="separate"/>
          </w:r>
          <w:r>
            <w:t>18</w:t>
          </w:r>
          <w:r>
            <w:fldChar w:fldCharType="end"/>
          </w:r>
          <w:r>
            <w:rPr>
              <w:rFonts w:hint="eastAsia" w:ascii="仿宋" w:hAnsi="仿宋" w:eastAsia="仿宋" w:cs="仿宋"/>
            </w:rPr>
            <w:fldChar w:fldCharType="end"/>
          </w:r>
        </w:p>
        <w:p>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_Toc2319 </w:instrText>
          </w:r>
          <w:r>
            <w:rPr>
              <w:rFonts w:hint="eastAsia" w:ascii="仿宋" w:hAnsi="仿宋" w:eastAsia="仿宋" w:cs="仿宋"/>
            </w:rPr>
            <w:fldChar w:fldCharType="separate"/>
          </w:r>
          <w:r>
            <w:rPr>
              <w:rFonts w:hint="eastAsia" w:ascii="仿宋" w:hAnsi="仿宋" w:eastAsia="仿宋" w:cs="仿宋"/>
              <w:szCs w:val="44"/>
              <w:lang w:eastAsia="zh-CN"/>
            </w:rPr>
            <w:t>第四章</w:t>
          </w:r>
          <w:r>
            <w:rPr>
              <w:rFonts w:hint="eastAsia" w:ascii="仿宋" w:hAnsi="仿宋" w:eastAsia="仿宋" w:cs="仿宋"/>
              <w:szCs w:val="44"/>
              <w:lang w:val="en-US" w:eastAsia="zh-CN"/>
            </w:rPr>
            <w:t xml:space="preserve"> </w:t>
          </w:r>
          <w:r>
            <w:rPr>
              <w:rFonts w:hint="eastAsia" w:ascii="仿宋" w:hAnsi="仿宋" w:eastAsia="仿宋" w:cs="仿宋"/>
              <w:szCs w:val="44"/>
            </w:rPr>
            <w:t>项目需求</w:t>
          </w:r>
          <w:r>
            <w:tab/>
          </w:r>
          <w:r>
            <w:fldChar w:fldCharType="begin"/>
          </w:r>
          <w:r>
            <w:instrText xml:space="preserve"> PAGEREF _Toc2319 \h </w:instrText>
          </w:r>
          <w:r>
            <w:fldChar w:fldCharType="separate"/>
          </w:r>
          <w:r>
            <w:t>23</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_Toc3246 </w:instrText>
          </w:r>
          <w:r>
            <w:rPr>
              <w:rFonts w:hint="eastAsia" w:ascii="仿宋" w:hAnsi="仿宋" w:eastAsia="仿宋" w:cs="仿宋"/>
            </w:rPr>
            <w:fldChar w:fldCharType="separate"/>
          </w:r>
          <w:r>
            <w:rPr>
              <w:rFonts w:hint="eastAsia" w:ascii="仿宋" w:hAnsi="仿宋" w:eastAsia="仿宋" w:cs="仿宋"/>
            </w:rPr>
            <w:t>一、项目</w:t>
          </w:r>
          <w:r>
            <w:rPr>
              <w:rFonts w:hint="eastAsia" w:ascii="仿宋" w:hAnsi="仿宋" w:eastAsia="仿宋" w:cs="仿宋"/>
              <w:lang w:eastAsia="zh-CN"/>
            </w:rPr>
            <w:t>概述</w:t>
          </w:r>
          <w:r>
            <w:tab/>
          </w:r>
          <w:r>
            <w:fldChar w:fldCharType="begin"/>
          </w:r>
          <w:r>
            <w:instrText xml:space="preserve"> PAGEREF _Toc3246 \h </w:instrText>
          </w:r>
          <w:r>
            <w:fldChar w:fldCharType="separate"/>
          </w:r>
          <w:r>
            <w:t>23</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_Toc25566 </w:instrText>
          </w:r>
          <w:r>
            <w:rPr>
              <w:rFonts w:hint="eastAsia" w:ascii="仿宋" w:hAnsi="仿宋" w:eastAsia="仿宋" w:cs="仿宋"/>
            </w:rPr>
            <w:fldChar w:fldCharType="separate"/>
          </w:r>
          <w:r>
            <w:rPr>
              <w:rFonts w:hint="eastAsia" w:ascii="仿宋" w:hAnsi="仿宋" w:eastAsia="仿宋" w:cs="仿宋"/>
            </w:rPr>
            <w:t>二、技术参数要求</w:t>
          </w:r>
          <w:r>
            <w:tab/>
          </w:r>
          <w:r>
            <w:fldChar w:fldCharType="begin"/>
          </w:r>
          <w:r>
            <w:instrText xml:space="preserve"> PAGEREF _Toc25566 \h </w:instrText>
          </w:r>
          <w:r>
            <w:fldChar w:fldCharType="separate"/>
          </w:r>
          <w:r>
            <w:t>23</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_Toc22677 </w:instrText>
          </w:r>
          <w:r>
            <w:rPr>
              <w:rFonts w:hint="eastAsia" w:ascii="仿宋" w:hAnsi="仿宋" w:eastAsia="仿宋" w:cs="仿宋"/>
            </w:rPr>
            <w:fldChar w:fldCharType="separate"/>
          </w:r>
          <w:r>
            <w:rPr>
              <w:rFonts w:hint="eastAsia" w:ascii="仿宋" w:hAnsi="仿宋" w:eastAsia="仿宋" w:cs="仿宋"/>
            </w:rPr>
            <w:t>三、服务要求</w:t>
          </w:r>
          <w:r>
            <w:tab/>
          </w:r>
          <w:r>
            <w:fldChar w:fldCharType="begin"/>
          </w:r>
          <w:r>
            <w:instrText xml:space="preserve"> PAGEREF _Toc22677 \h </w:instrText>
          </w:r>
          <w:r>
            <w:fldChar w:fldCharType="separate"/>
          </w:r>
          <w:r>
            <w:t>25</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_Toc27208 </w:instrText>
          </w:r>
          <w:r>
            <w:rPr>
              <w:rFonts w:hint="eastAsia" w:ascii="仿宋" w:hAnsi="仿宋" w:eastAsia="仿宋" w:cs="仿宋"/>
            </w:rPr>
            <w:fldChar w:fldCharType="separate"/>
          </w:r>
          <w:r>
            <w:rPr>
              <w:rFonts w:hint="eastAsia" w:ascii="仿宋" w:hAnsi="仿宋" w:eastAsia="仿宋" w:cs="仿宋"/>
            </w:rPr>
            <w:t>四、安装要求</w:t>
          </w:r>
          <w:r>
            <w:tab/>
          </w:r>
          <w:r>
            <w:fldChar w:fldCharType="begin"/>
          </w:r>
          <w:r>
            <w:instrText xml:space="preserve"> PAGEREF _Toc27208 \h </w:instrText>
          </w:r>
          <w:r>
            <w:fldChar w:fldCharType="separate"/>
          </w:r>
          <w:r>
            <w:t>25</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_Toc2456 </w:instrText>
          </w:r>
          <w:r>
            <w:rPr>
              <w:rFonts w:hint="eastAsia" w:ascii="仿宋" w:hAnsi="仿宋" w:eastAsia="仿宋" w:cs="仿宋"/>
            </w:rPr>
            <w:fldChar w:fldCharType="separate"/>
          </w:r>
          <w:r>
            <w:rPr>
              <w:rFonts w:hint="eastAsia" w:ascii="仿宋" w:hAnsi="仿宋" w:eastAsia="仿宋" w:cs="仿宋"/>
            </w:rPr>
            <w:t>五、交货期、交货方式及交货地点</w:t>
          </w:r>
          <w:r>
            <w:tab/>
          </w:r>
          <w:r>
            <w:fldChar w:fldCharType="begin"/>
          </w:r>
          <w:r>
            <w:instrText xml:space="preserve"> PAGEREF _Toc2456 \h </w:instrText>
          </w:r>
          <w:r>
            <w:fldChar w:fldCharType="separate"/>
          </w:r>
          <w:r>
            <w:t>25</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_Toc674 </w:instrText>
          </w:r>
          <w:r>
            <w:rPr>
              <w:rFonts w:hint="eastAsia" w:ascii="仿宋" w:hAnsi="仿宋" w:eastAsia="仿宋" w:cs="仿宋"/>
            </w:rPr>
            <w:fldChar w:fldCharType="separate"/>
          </w:r>
          <w:r>
            <w:rPr>
              <w:rFonts w:hint="eastAsia" w:ascii="仿宋" w:hAnsi="仿宋" w:eastAsia="仿宋" w:cs="仿宋"/>
            </w:rPr>
            <w:t>六、其他技术服务</w:t>
          </w:r>
          <w:r>
            <w:rPr>
              <w:rFonts w:hint="eastAsia" w:ascii="仿宋" w:hAnsi="仿宋" w:eastAsia="仿宋" w:cs="仿宋"/>
              <w:lang w:eastAsia="zh-CN"/>
            </w:rPr>
            <w:t>要求</w:t>
          </w:r>
          <w:r>
            <w:rPr>
              <w:rFonts w:hint="eastAsia" w:ascii="仿宋" w:hAnsi="仿宋" w:eastAsia="仿宋" w:cs="仿宋"/>
            </w:rPr>
            <w:t>：</w:t>
          </w:r>
          <w:r>
            <w:tab/>
          </w:r>
          <w:r>
            <w:fldChar w:fldCharType="begin"/>
          </w:r>
          <w:r>
            <w:instrText xml:space="preserve"> PAGEREF _Toc674 \h </w:instrText>
          </w:r>
          <w:r>
            <w:fldChar w:fldCharType="separate"/>
          </w:r>
          <w:r>
            <w:t>26</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_Toc22020 </w:instrText>
          </w:r>
          <w:r>
            <w:rPr>
              <w:rFonts w:hint="eastAsia" w:ascii="仿宋" w:hAnsi="仿宋" w:eastAsia="仿宋" w:cs="仿宋"/>
            </w:rPr>
            <w:fldChar w:fldCharType="separate"/>
          </w:r>
          <w:r>
            <w:rPr>
              <w:rFonts w:hint="eastAsia" w:ascii="仿宋" w:hAnsi="仿宋" w:eastAsia="仿宋" w:cs="仿宋"/>
              <w:highlight w:val="none"/>
            </w:rPr>
            <w:t>七、货款支付</w:t>
          </w:r>
          <w:r>
            <w:tab/>
          </w:r>
          <w:r>
            <w:fldChar w:fldCharType="begin"/>
          </w:r>
          <w:r>
            <w:instrText xml:space="preserve"> PAGEREF _Toc22020 \h </w:instrText>
          </w:r>
          <w:r>
            <w:fldChar w:fldCharType="separate"/>
          </w:r>
          <w:r>
            <w:t>26</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_Toc5641 </w:instrText>
          </w:r>
          <w:r>
            <w:rPr>
              <w:rFonts w:hint="eastAsia" w:ascii="仿宋" w:hAnsi="仿宋" w:eastAsia="仿宋" w:cs="仿宋"/>
            </w:rPr>
            <w:fldChar w:fldCharType="separate"/>
          </w:r>
          <w:r>
            <w:rPr>
              <w:rFonts w:hint="eastAsia" w:ascii="仿宋" w:hAnsi="仿宋" w:eastAsia="仿宋" w:cs="仿宋"/>
            </w:rPr>
            <w:t>八、外贸渠道要求</w:t>
          </w:r>
          <w:r>
            <w:tab/>
          </w:r>
          <w:r>
            <w:fldChar w:fldCharType="begin"/>
          </w:r>
          <w:r>
            <w:instrText xml:space="preserve"> PAGEREF _Toc5641 \h </w:instrText>
          </w:r>
          <w:r>
            <w:fldChar w:fldCharType="separate"/>
          </w:r>
          <w:r>
            <w:t>26</w:t>
          </w:r>
          <w:r>
            <w:fldChar w:fldCharType="end"/>
          </w:r>
          <w:r>
            <w:rPr>
              <w:rFonts w:hint="eastAsia" w:ascii="仿宋" w:hAnsi="仿宋" w:eastAsia="仿宋" w:cs="仿宋"/>
            </w:rPr>
            <w:fldChar w:fldCharType="end"/>
          </w:r>
        </w:p>
        <w:p>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_Toc1643 </w:instrText>
          </w:r>
          <w:r>
            <w:rPr>
              <w:rFonts w:hint="eastAsia" w:ascii="仿宋" w:hAnsi="仿宋" w:eastAsia="仿宋" w:cs="仿宋"/>
            </w:rPr>
            <w:fldChar w:fldCharType="separate"/>
          </w:r>
          <w:r>
            <w:rPr>
              <w:rFonts w:hint="eastAsia" w:ascii="仿宋" w:hAnsi="仿宋" w:eastAsia="仿宋" w:cs="仿宋"/>
              <w:bCs/>
              <w:szCs w:val="44"/>
            </w:rPr>
            <w:t>第五章  评标方法与评标标准</w:t>
          </w:r>
          <w:r>
            <w:tab/>
          </w:r>
          <w:r>
            <w:fldChar w:fldCharType="begin"/>
          </w:r>
          <w:r>
            <w:instrText xml:space="preserve"> PAGEREF _Toc1643 \h </w:instrText>
          </w:r>
          <w:r>
            <w:fldChar w:fldCharType="separate"/>
          </w:r>
          <w:r>
            <w:t>28</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_Toc18216 </w:instrText>
          </w:r>
          <w:r>
            <w:rPr>
              <w:rFonts w:hint="eastAsia" w:ascii="仿宋" w:hAnsi="仿宋" w:eastAsia="仿宋" w:cs="仿宋"/>
            </w:rPr>
            <w:fldChar w:fldCharType="separate"/>
          </w:r>
          <w:r>
            <w:rPr>
              <w:rFonts w:hint="eastAsia" w:ascii="仿宋" w:hAnsi="仿宋" w:eastAsia="仿宋" w:cs="仿宋"/>
              <w:snapToGrid w:val="0"/>
              <w:kern w:val="0"/>
            </w:rPr>
            <w:t>一、 评标方法与定标原则</w:t>
          </w:r>
          <w:r>
            <w:tab/>
          </w:r>
          <w:r>
            <w:fldChar w:fldCharType="begin"/>
          </w:r>
          <w:r>
            <w:instrText xml:space="preserve"> PAGEREF _Toc18216 \h </w:instrText>
          </w:r>
          <w:r>
            <w:fldChar w:fldCharType="separate"/>
          </w:r>
          <w:r>
            <w:t>28</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_Toc9657 </w:instrText>
          </w:r>
          <w:r>
            <w:rPr>
              <w:rFonts w:hint="eastAsia" w:ascii="仿宋" w:hAnsi="仿宋" w:eastAsia="仿宋" w:cs="仿宋"/>
            </w:rPr>
            <w:fldChar w:fldCharType="separate"/>
          </w:r>
          <w:r>
            <w:rPr>
              <w:rFonts w:hint="eastAsia" w:ascii="仿宋" w:hAnsi="仿宋" w:eastAsia="仿宋" w:cs="仿宋"/>
              <w:snapToGrid w:val="0"/>
              <w:kern w:val="0"/>
            </w:rPr>
            <w:t>二、 评审标准</w:t>
          </w:r>
          <w:r>
            <w:tab/>
          </w:r>
          <w:r>
            <w:fldChar w:fldCharType="begin"/>
          </w:r>
          <w:r>
            <w:instrText xml:space="preserve"> PAGEREF _Toc9657 \h </w:instrText>
          </w:r>
          <w:r>
            <w:fldChar w:fldCharType="separate"/>
          </w:r>
          <w:r>
            <w:t>29</w:t>
          </w:r>
          <w:r>
            <w:fldChar w:fldCharType="end"/>
          </w:r>
          <w:r>
            <w:rPr>
              <w:rFonts w:hint="eastAsia" w:ascii="仿宋" w:hAnsi="仿宋" w:eastAsia="仿宋" w:cs="仿宋"/>
            </w:rPr>
            <w:fldChar w:fldCharType="end"/>
          </w:r>
        </w:p>
        <w:p>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_Toc25695 </w:instrText>
          </w:r>
          <w:r>
            <w:rPr>
              <w:rFonts w:hint="eastAsia" w:ascii="仿宋" w:hAnsi="仿宋" w:eastAsia="仿宋" w:cs="仿宋"/>
            </w:rPr>
            <w:fldChar w:fldCharType="separate"/>
          </w:r>
          <w:r>
            <w:rPr>
              <w:rFonts w:hint="eastAsia" w:ascii="仿宋" w:hAnsi="仿宋" w:eastAsia="仿宋" w:cs="仿宋"/>
            </w:rPr>
            <w:t>第六章  投标文件格式</w:t>
          </w:r>
          <w:r>
            <w:tab/>
          </w:r>
          <w:r>
            <w:fldChar w:fldCharType="begin"/>
          </w:r>
          <w:r>
            <w:instrText xml:space="preserve"> PAGEREF _Toc25695 \h </w:instrText>
          </w:r>
          <w:r>
            <w:fldChar w:fldCharType="separate"/>
          </w:r>
          <w:r>
            <w:t>31</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_Toc9038 </w:instrText>
          </w:r>
          <w:r>
            <w:rPr>
              <w:rFonts w:hint="eastAsia" w:ascii="仿宋" w:hAnsi="仿宋" w:eastAsia="仿宋" w:cs="仿宋"/>
            </w:rPr>
            <w:fldChar w:fldCharType="separate"/>
          </w:r>
          <w:r>
            <w:rPr>
              <w:rFonts w:hint="eastAsia" w:ascii="仿宋" w:hAnsi="仿宋" w:eastAsia="仿宋" w:cs="仿宋"/>
              <w:szCs w:val="36"/>
            </w:rPr>
            <w:t>一、投标函</w:t>
          </w:r>
          <w:r>
            <w:tab/>
          </w:r>
          <w:r>
            <w:fldChar w:fldCharType="begin"/>
          </w:r>
          <w:r>
            <w:instrText xml:space="preserve"> PAGEREF _Toc9038 \h </w:instrText>
          </w:r>
          <w:r>
            <w:fldChar w:fldCharType="separate"/>
          </w:r>
          <w:r>
            <w:t>35</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_Toc6155 </w:instrText>
          </w:r>
          <w:r>
            <w:rPr>
              <w:rFonts w:hint="eastAsia" w:ascii="仿宋" w:hAnsi="仿宋" w:eastAsia="仿宋" w:cs="仿宋"/>
            </w:rPr>
            <w:fldChar w:fldCharType="separate"/>
          </w:r>
          <w:r>
            <w:rPr>
              <w:rFonts w:hint="eastAsia" w:ascii="仿宋" w:hAnsi="仿宋" w:eastAsia="仿宋" w:cs="仿宋"/>
              <w:szCs w:val="36"/>
            </w:rPr>
            <w:t>二、报价一览表</w:t>
          </w:r>
          <w:r>
            <w:tab/>
          </w:r>
          <w:r>
            <w:fldChar w:fldCharType="begin"/>
          </w:r>
          <w:r>
            <w:instrText xml:space="preserve"> PAGEREF _Toc6155 \h </w:instrText>
          </w:r>
          <w:r>
            <w:fldChar w:fldCharType="separate"/>
          </w:r>
          <w:r>
            <w:t>36</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_Toc32428 </w:instrText>
          </w:r>
          <w:r>
            <w:rPr>
              <w:rFonts w:hint="eastAsia" w:ascii="仿宋" w:hAnsi="仿宋" w:eastAsia="仿宋" w:cs="仿宋"/>
            </w:rPr>
            <w:fldChar w:fldCharType="separate"/>
          </w:r>
          <w:r>
            <w:rPr>
              <w:rFonts w:hint="eastAsia" w:ascii="仿宋" w:hAnsi="仿宋" w:eastAsia="仿宋" w:cs="仿宋"/>
              <w:szCs w:val="36"/>
            </w:rPr>
            <w:t>三、报价明细表</w:t>
          </w:r>
          <w:r>
            <w:tab/>
          </w:r>
          <w:r>
            <w:fldChar w:fldCharType="begin"/>
          </w:r>
          <w:r>
            <w:instrText xml:space="preserve"> PAGEREF _Toc32428 \h </w:instrText>
          </w:r>
          <w:r>
            <w:fldChar w:fldCharType="separate"/>
          </w:r>
          <w:r>
            <w:t>37</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_Toc12268 </w:instrText>
          </w:r>
          <w:r>
            <w:rPr>
              <w:rFonts w:hint="eastAsia" w:ascii="仿宋" w:hAnsi="仿宋" w:eastAsia="仿宋" w:cs="仿宋"/>
            </w:rPr>
            <w:fldChar w:fldCharType="separate"/>
          </w:r>
          <w:r>
            <w:rPr>
              <w:rFonts w:hint="eastAsia" w:ascii="仿宋" w:hAnsi="仿宋" w:eastAsia="仿宋" w:cs="仿宋"/>
              <w:szCs w:val="36"/>
            </w:rPr>
            <w:t>四、商务条款偏离表</w:t>
          </w:r>
          <w:r>
            <w:tab/>
          </w:r>
          <w:r>
            <w:fldChar w:fldCharType="begin"/>
          </w:r>
          <w:r>
            <w:instrText xml:space="preserve"> PAGEREF _Toc12268 \h </w:instrText>
          </w:r>
          <w:r>
            <w:fldChar w:fldCharType="separate"/>
          </w:r>
          <w:r>
            <w:t>38</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_Toc4528 </w:instrText>
          </w:r>
          <w:r>
            <w:rPr>
              <w:rFonts w:hint="eastAsia" w:ascii="仿宋" w:hAnsi="仿宋" w:eastAsia="仿宋" w:cs="仿宋"/>
            </w:rPr>
            <w:fldChar w:fldCharType="separate"/>
          </w:r>
          <w:r>
            <w:rPr>
              <w:rFonts w:hint="eastAsia" w:ascii="仿宋" w:hAnsi="仿宋" w:eastAsia="仿宋" w:cs="仿宋"/>
              <w:szCs w:val="36"/>
            </w:rPr>
            <w:t>五、技术条款偏离表</w:t>
          </w:r>
          <w:r>
            <w:tab/>
          </w:r>
          <w:r>
            <w:fldChar w:fldCharType="begin"/>
          </w:r>
          <w:r>
            <w:instrText xml:space="preserve"> PAGEREF _Toc4528 \h </w:instrText>
          </w:r>
          <w:r>
            <w:fldChar w:fldCharType="separate"/>
          </w:r>
          <w:r>
            <w:t>39</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_Toc23820 </w:instrText>
          </w:r>
          <w:r>
            <w:rPr>
              <w:rFonts w:hint="eastAsia" w:ascii="仿宋" w:hAnsi="仿宋" w:eastAsia="仿宋" w:cs="仿宋"/>
            </w:rPr>
            <w:fldChar w:fldCharType="separate"/>
          </w:r>
          <w:r>
            <w:rPr>
              <w:rFonts w:hint="eastAsia" w:ascii="仿宋" w:hAnsi="仿宋" w:eastAsia="仿宋" w:cs="仿宋"/>
              <w:szCs w:val="36"/>
            </w:rPr>
            <w:t>六、服务承诺及具体措施、配套服务方案及措施、实施方案、质量保证措施</w:t>
          </w:r>
          <w:r>
            <w:tab/>
          </w:r>
          <w:r>
            <w:fldChar w:fldCharType="begin"/>
          </w:r>
          <w:r>
            <w:instrText xml:space="preserve"> PAGEREF _Toc23820 \h </w:instrText>
          </w:r>
          <w:r>
            <w:fldChar w:fldCharType="separate"/>
          </w:r>
          <w:r>
            <w:t>40</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_Toc30062 </w:instrText>
          </w:r>
          <w:r>
            <w:rPr>
              <w:rFonts w:hint="eastAsia" w:ascii="仿宋" w:hAnsi="仿宋" w:eastAsia="仿宋" w:cs="仿宋"/>
            </w:rPr>
            <w:fldChar w:fldCharType="separate"/>
          </w:r>
          <w:r>
            <w:rPr>
              <w:rFonts w:hint="eastAsia" w:ascii="仿宋" w:hAnsi="仿宋" w:eastAsia="仿宋" w:cs="仿宋"/>
              <w:szCs w:val="36"/>
              <w:lang w:val="en-US" w:eastAsia="zh-CN"/>
            </w:rPr>
            <w:t>七、</w:t>
          </w:r>
          <w:r>
            <w:rPr>
              <w:rFonts w:hint="eastAsia" w:ascii="仿宋" w:hAnsi="仿宋" w:eastAsia="仿宋" w:cs="仿宋"/>
              <w:szCs w:val="36"/>
            </w:rPr>
            <w:t>拟投入项目人员一览表</w:t>
          </w:r>
          <w:r>
            <w:tab/>
          </w:r>
          <w:r>
            <w:fldChar w:fldCharType="begin"/>
          </w:r>
          <w:r>
            <w:instrText xml:space="preserve"> PAGEREF _Toc30062 \h </w:instrText>
          </w:r>
          <w:r>
            <w:fldChar w:fldCharType="separate"/>
          </w:r>
          <w:r>
            <w:t>41</w:t>
          </w:r>
          <w:r>
            <w:fldChar w:fldCharType="end"/>
          </w:r>
          <w:r>
            <w:rPr>
              <w:rFonts w:hint="eastAsia" w:ascii="仿宋" w:hAnsi="仿宋" w:eastAsia="仿宋" w:cs="仿宋"/>
            </w:rPr>
            <w:fldChar w:fldCharType="end"/>
          </w:r>
        </w:p>
        <w:p>
          <w:pPr>
            <w:pStyle w:val="18"/>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_Toc6037 </w:instrText>
          </w:r>
          <w:r>
            <w:rPr>
              <w:rFonts w:hint="eastAsia" w:ascii="仿宋" w:hAnsi="仿宋" w:eastAsia="仿宋" w:cs="仿宋"/>
            </w:rPr>
            <w:fldChar w:fldCharType="separate"/>
          </w:r>
          <w:r>
            <w:rPr>
              <w:rFonts w:hint="eastAsia" w:ascii="仿宋" w:hAnsi="仿宋" w:eastAsia="仿宋" w:cs="仿宋"/>
              <w:szCs w:val="36"/>
            </w:rPr>
            <w:t>八、相关附表格式</w:t>
          </w:r>
          <w:r>
            <w:tab/>
          </w:r>
          <w:r>
            <w:fldChar w:fldCharType="begin"/>
          </w:r>
          <w:r>
            <w:instrText xml:space="preserve"> PAGEREF _Toc6037 \h </w:instrText>
          </w:r>
          <w:r>
            <w:fldChar w:fldCharType="separate"/>
          </w:r>
          <w:r>
            <w:t>42</w:t>
          </w:r>
          <w:r>
            <w:fldChar w:fldCharType="end"/>
          </w:r>
          <w:r>
            <w:rPr>
              <w:rFonts w:hint="eastAsia" w:ascii="仿宋" w:hAnsi="仿宋" w:eastAsia="仿宋" w:cs="仿宋"/>
            </w:rPr>
            <w:fldChar w:fldCharType="end"/>
          </w:r>
        </w:p>
        <w:p>
          <w:pPr>
            <w:keepNext w:val="0"/>
            <w:keepLines w:val="0"/>
            <w:pageBreakBefore w:val="0"/>
            <w:widowControl/>
            <w:kinsoku/>
            <w:wordWrap/>
            <w:overflowPunct/>
            <w:topLinePunct w:val="0"/>
            <w:autoSpaceDE/>
            <w:autoSpaceDN/>
            <w:bidi w:val="0"/>
            <w:spacing w:before="0" w:beforeLines="0" w:after="0" w:afterLines="0" w:line="240" w:lineRule="auto"/>
            <w:textAlignment w:val="auto"/>
            <w:rPr>
              <w:b/>
            </w:rPr>
            <w:sectPr>
              <w:headerReference r:id="rId6" w:type="default"/>
              <w:footerReference r:id="rId7" w:type="default"/>
              <w:pgSz w:w="11906" w:h="16838"/>
              <w:pgMar w:top="1440" w:right="1080" w:bottom="1440" w:left="1080" w:header="1020" w:footer="964" w:gutter="0"/>
              <w:pgNumType w:start="1"/>
              <w:cols w:space="720" w:num="1"/>
              <w:docGrid w:type="linesAndChars" w:linePitch="312" w:charSpace="0"/>
            </w:sectPr>
          </w:pPr>
          <w:r>
            <w:rPr>
              <w:rFonts w:hint="eastAsia" w:ascii="仿宋" w:hAnsi="仿宋" w:eastAsia="仿宋" w:cs="仿宋"/>
            </w:rPr>
            <w:fldChar w:fldCharType="end"/>
          </w:r>
        </w:p>
      </w:sdtContent>
    </w:sdt>
    <w:p>
      <w:pPr>
        <w:rPr>
          <w:b/>
        </w:rPr>
      </w:pPr>
    </w:p>
    <w:p>
      <w:pPr>
        <w:pStyle w:val="28"/>
        <w:spacing w:afterLines="0" w:line="360" w:lineRule="auto"/>
        <w:rPr>
          <w:rFonts w:hint="eastAsia" w:ascii="仿宋" w:hAnsi="仿宋" w:eastAsia="仿宋" w:cs="仿宋"/>
          <w:color w:val="000000"/>
          <w:sz w:val="44"/>
          <w:szCs w:val="44"/>
        </w:rPr>
      </w:pPr>
      <w:bookmarkStart w:id="13" w:name="_Toc6444"/>
      <w:r>
        <w:rPr>
          <w:rFonts w:hint="eastAsia" w:ascii="仿宋" w:hAnsi="仿宋" w:eastAsia="仿宋" w:cs="仿宋"/>
          <w:color w:val="000000"/>
          <w:sz w:val="44"/>
          <w:szCs w:val="44"/>
        </w:rPr>
        <w:t xml:space="preserve">第一章  </w:t>
      </w:r>
      <w:bookmarkEnd w:id="0"/>
      <w:bookmarkEnd w:id="6"/>
      <w:bookmarkEnd w:id="7"/>
      <w:bookmarkEnd w:id="8"/>
      <w:r>
        <w:rPr>
          <w:rFonts w:hint="eastAsia" w:ascii="仿宋" w:hAnsi="仿宋" w:eastAsia="仿宋" w:cs="仿宋"/>
          <w:color w:val="000000"/>
          <w:sz w:val="44"/>
          <w:szCs w:val="44"/>
          <w:lang w:eastAsia="zh-CN"/>
        </w:rPr>
        <w:t>投标</w:t>
      </w:r>
      <w:r>
        <w:rPr>
          <w:rFonts w:hint="eastAsia" w:ascii="仿宋" w:hAnsi="仿宋" w:eastAsia="仿宋" w:cs="仿宋"/>
          <w:color w:val="000000"/>
          <w:sz w:val="44"/>
          <w:szCs w:val="44"/>
        </w:rPr>
        <w:t>邀请</w:t>
      </w:r>
      <w:bookmarkEnd w:id="9"/>
      <w:bookmarkEnd w:id="10"/>
      <w:bookmarkEnd w:id="11"/>
      <w:bookmarkEnd w:id="12"/>
      <w:bookmarkEnd w:id="13"/>
    </w:p>
    <w:p>
      <w:pPr>
        <w:spacing w:after="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sz w:val="24"/>
          <w:szCs w:val="24"/>
        </w:rPr>
        <w:t>南京达琛鑫工程咨询有限公司受</w:t>
      </w:r>
      <w:r>
        <w:rPr>
          <w:rFonts w:hint="eastAsia" w:ascii="仿宋" w:hAnsi="仿宋" w:eastAsia="仿宋" w:cs="仿宋"/>
          <w:b/>
          <w:bCs/>
          <w:sz w:val="24"/>
          <w:szCs w:val="24"/>
        </w:rPr>
        <w:t>南京医科大学</w:t>
      </w:r>
      <w:r>
        <w:rPr>
          <w:rFonts w:hint="eastAsia" w:ascii="仿宋" w:hAnsi="仿宋" w:eastAsia="仿宋" w:cs="仿宋"/>
          <w:sz w:val="24"/>
          <w:szCs w:val="24"/>
        </w:rPr>
        <w:t>的委托，就</w:t>
      </w:r>
      <w:r>
        <w:rPr>
          <w:rFonts w:hint="eastAsia" w:ascii="仿宋" w:hAnsi="仿宋" w:eastAsia="仿宋" w:cs="仿宋"/>
          <w:b/>
          <w:bCs/>
          <w:sz w:val="24"/>
          <w:szCs w:val="24"/>
          <w:lang w:eastAsia="zh-CN"/>
        </w:rPr>
        <w:t>南京医科大学智能型荧光显微镜采购项目</w:t>
      </w:r>
      <w:r>
        <w:rPr>
          <w:rFonts w:hint="eastAsia" w:ascii="仿宋" w:hAnsi="仿宋" w:eastAsia="仿宋" w:cs="仿宋"/>
          <w:sz w:val="24"/>
          <w:szCs w:val="24"/>
        </w:rPr>
        <w:t>实施</w:t>
      </w:r>
      <w:r>
        <w:rPr>
          <w:rFonts w:hint="eastAsia" w:ascii="仿宋" w:hAnsi="仿宋" w:eastAsia="仿宋" w:cs="仿宋"/>
          <w:b/>
          <w:bCs/>
          <w:sz w:val="24"/>
          <w:szCs w:val="24"/>
        </w:rPr>
        <w:t>公开招标</w:t>
      </w:r>
      <w:r>
        <w:rPr>
          <w:rFonts w:hint="eastAsia" w:ascii="仿宋" w:hAnsi="仿宋" w:eastAsia="仿宋" w:cs="仿宋"/>
          <w:sz w:val="24"/>
          <w:szCs w:val="24"/>
        </w:rPr>
        <w:t>采购，兹邀请符合条件的供应商参加投标。</w:t>
      </w:r>
    </w:p>
    <w:p>
      <w:pPr>
        <w:spacing w:after="0" w:line="360" w:lineRule="auto"/>
        <w:rPr>
          <w:rFonts w:hint="eastAsia" w:ascii="仿宋" w:hAnsi="仿宋" w:eastAsia="仿宋" w:cs="仿宋"/>
          <w:b/>
          <w:bCs w:val="0"/>
          <w:sz w:val="28"/>
          <w:szCs w:val="28"/>
        </w:rPr>
      </w:pPr>
      <w:bookmarkStart w:id="14" w:name="_Toc15060"/>
      <w:bookmarkStart w:id="15" w:name="_Toc16645"/>
      <w:bookmarkStart w:id="16" w:name="_Toc29812"/>
      <w:r>
        <w:rPr>
          <w:rFonts w:hint="eastAsia" w:ascii="仿宋" w:hAnsi="仿宋" w:eastAsia="仿宋" w:cs="仿宋"/>
          <w:b/>
          <w:bCs w:val="0"/>
          <w:sz w:val="28"/>
          <w:szCs w:val="28"/>
        </w:rPr>
        <w:t>一、采购项目简要说明</w:t>
      </w:r>
      <w:bookmarkEnd w:id="14"/>
      <w:bookmarkEnd w:id="15"/>
      <w:bookmarkEnd w:id="16"/>
    </w:p>
    <w:tbl>
      <w:tblPr>
        <w:tblStyle w:val="21"/>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15"/>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8" w:type="dxa"/>
            <w:vAlign w:val="center"/>
          </w:tcPr>
          <w:p>
            <w:pPr>
              <w:spacing w:after="0" w:line="0" w:lineRule="atLeas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515" w:type="dxa"/>
            <w:vAlign w:val="center"/>
          </w:tcPr>
          <w:p>
            <w:pPr>
              <w:spacing w:after="0" w:line="0" w:lineRule="atLeas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7472" w:type="dxa"/>
            <w:vAlign w:val="center"/>
          </w:tcPr>
          <w:p>
            <w:pPr>
              <w:spacing w:after="0" w:line="0" w:lineRule="atLeas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8" w:type="dxa"/>
            <w:vAlign w:val="center"/>
          </w:tcPr>
          <w:p>
            <w:pPr>
              <w:spacing w:after="0"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472" w:type="dxa"/>
            <w:vAlign w:val="center"/>
          </w:tcPr>
          <w:p>
            <w:pPr>
              <w:spacing w:after="0" w:line="0" w:lineRule="atLeas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南京医科大学智能型荧光显微镜采购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98" w:type="dxa"/>
            <w:vAlign w:val="center"/>
          </w:tcPr>
          <w:p>
            <w:pPr>
              <w:spacing w:after="0"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15" w:type="dxa"/>
            <w:vAlign w:val="center"/>
          </w:tcPr>
          <w:p>
            <w:pPr>
              <w:spacing w:after="0"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采购方式</w:t>
            </w:r>
          </w:p>
        </w:tc>
        <w:tc>
          <w:tcPr>
            <w:tcW w:w="7472" w:type="dxa"/>
            <w:vAlign w:val="center"/>
          </w:tcPr>
          <w:p>
            <w:pPr>
              <w:spacing w:after="0" w:line="0" w:lineRule="atLeast"/>
              <w:rPr>
                <w:rFonts w:hint="eastAsia" w:ascii="仿宋" w:hAnsi="仿宋" w:eastAsia="仿宋" w:cs="仿宋"/>
                <w:sz w:val="24"/>
                <w:szCs w:val="24"/>
              </w:rPr>
            </w:pPr>
            <w:r>
              <w:rPr>
                <w:rFonts w:hint="eastAsia" w:ascii="仿宋" w:hAnsi="仿宋" w:eastAsia="仿宋" w:cs="仿宋"/>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98" w:type="dxa"/>
            <w:vAlign w:val="center"/>
          </w:tcPr>
          <w:p>
            <w:pPr>
              <w:spacing w:after="0"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515" w:type="dxa"/>
            <w:vAlign w:val="center"/>
          </w:tcPr>
          <w:p>
            <w:pPr>
              <w:spacing w:after="0" w:line="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c>
        <w:tc>
          <w:tcPr>
            <w:tcW w:w="7472" w:type="dxa"/>
            <w:vAlign w:val="center"/>
          </w:tcPr>
          <w:p>
            <w:pPr>
              <w:spacing w:after="0" w:line="0" w:lineRule="atLeas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NJDCX-202204131501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98" w:type="dxa"/>
            <w:vAlign w:val="center"/>
          </w:tcPr>
          <w:p>
            <w:pPr>
              <w:spacing w:after="0" w:line="0" w:lineRule="atLeast"/>
              <w:ind w:right="102"/>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515" w:type="dxa"/>
            <w:vAlign w:val="center"/>
          </w:tcPr>
          <w:p>
            <w:pPr>
              <w:spacing w:after="0" w:line="0" w:lineRule="atLeast"/>
              <w:ind w:right="102"/>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分包号</w:t>
            </w:r>
          </w:p>
        </w:tc>
        <w:tc>
          <w:tcPr>
            <w:tcW w:w="7472" w:type="dxa"/>
            <w:vAlign w:val="center"/>
          </w:tcPr>
          <w:p>
            <w:pPr>
              <w:spacing w:after="0" w:line="0" w:lineRule="atLeast"/>
              <w:rPr>
                <w:rFonts w:hint="eastAsia" w:ascii="仿宋" w:hAnsi="仿宋" w:eastAsia="仿宋" w:cs="仿宋"/>
                <w:color w:val="000000"/>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98" w:type="dxa"/>
            <w:vAlign w:val="center"/>
          </w:tcPr>
          <w:p>
            <w:pPr>
              <w:spacing w:after="0" w:line="0" w:lineRule="atLeast"/>
              <w:ind w:right="102"/>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5</w:t>
            </w:r>
          </w:p>
        </w:tc>
        <w:tc>
          <w:tcPr>
            <w:tcW w:w="1515" w:type="dxa"/>
            <w:vAlign w:val="center"/>
          </w:tcPr>
          <w:p>
            <w:pPr>
              <w:spacing w:after="0" w:line="0" w:lineRule="atLeast"/>
              <w:ind w:right="102"/>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472" w:type="dxa"/>
            <w:vAlign w:val="center"/>
          </w:tcPr>
          <w:p>
            <w:pPr>
              <w:spacing w:after="0" w:line="0" w:lineRule="atLeast"/>
              <w:rPr>
                <w:rFonts w:hint="eastAsia" w:ascii="仿宋" w:hAnsi="仿宋" w:eastAsia="仿宋" w:cs="仿宋"/>
                <w:sz w:val="24"/>
                <w:szCs w:val="24"/>
              </w:rPr>
            </w:pPr>
            <w:r>
              <w:rPr>
                <w:rFonts w:hint="eastAsia" w:ascii="仿宋" w:hAnsi="仿宋" w:eastAsia="仿宋" w:cs="仿宋"/>
                <w:sz w:val="24"/>
                <w:szCs w:val="24"/>
              </w:rPr>
              <w:t>南京达琛鑫工程咨询有限公司</w:t>
            </w:r>
          </w:p>
          <w:p>
            <w:pPr>
              <w:spacing w:after="0" w:line="0" w:lineRule="atLeast"/>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潘经理</w:t>
            </w:r>
          </w:p>
          <w:p>
            <w:pPr>
              <w:spacing w:after="0" w:line="0" w:lineRule="atLeast"/>
              <w:rPr>
                <w:rFonts w:hint="eastAsia" w:ascii="仿宋" w:hAnsi="仿宋" w:eastAsia="仿宋" w:cs="仿宋"/>
                <w:sz w:val="24"/>
                <w:szCs w:val="24"/>
                <w:lang w:eastAsia="zh-CN"/>
              </w:rPr>
            </w:pPr>
            <w:r>
              <w:rPr>
                <w:rFonts w:hint="eastAsia" w:ascii="仿宋" w:hAnsi="仿宋" w:eastAsia="仿宋" w:cs="仿宋"/>
                <w:sz w:val="24"/>
                <w:szCs w:val="24"/>
              </w:rPr>
              <w:t>电话：</w:t>
            </w:r>
            <w:r>
              <w:rPr>
                <w:rFonts w:hint="eastAsia" w:ascii="仿宋" w:hAnsi="仿宋" w:eastAsia="仿宋" w:cs="仿宋"/>
                <w:sz w:val="24"/>
                <w:szCs w:val="24"/>
                <w:lang w:eastAsia="zh-CN"/>
              </w:rPr>
              <w:t>025-52639995转8010</w:t>
            </w:r>
          </w:p>
          <w:p>
            <w:pPr>
              <w:spacing w:after="0" w:line="0" w:lineRule="atLeas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pacing w:val="-6"/>
                <w:sz w:val="24"/>
                <w:szCs w:val="24"/>
              </w:rPr>
              <w:t>南京市秦淮区光华东街6号世界之窗创意产业园15号楼</w:t>
            </w:r>
            <w:r>
              <w:rPr>
                <w:rFonts w:hint="eastAsia" w:ascii="仿宋" w:hAnsi="仿宋" w:eastAsia="仿宋" w:cs="仿宋"/>
                <w:spacing w:val="-6"/>
                <w:sz w:val="24"/>
                <w:szCs w:val="24"/>
                <w:lang w:val="en-US" w:eastAsia="zh-CN"/>
              </w:rPr>
              <w:t>4</w:t>
            </w:r>
            <w:r>
              <w:rPr>
                <w:rFonts w:hint="eastAsia" w:ascii="仿宋" w:hAnsi="仿宋" w:eastAsia="仿宋" w:cs="仿宋"/>
                <w:spacing w:val="-6"/>
                <w:sz w:val="24"/>
                <w:szCs w:val="24"/>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after="0" w:line="0" w:lineRule="atLeast"/>
              <w:ind w:right="102"/>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15" w:type="dxa"/>
            <w:vAlign w:val="center"/>
          </w:tcPr>
          <w:p>
            <w:pPr>
              <w:spacing w:after="0" w:line="0" w:lineRule="atLeast"/>
              <w:ind w:right="102"/>
              <w:jc w:val="center"/>
              <w:rPr>
                <w:rFonts w:hint="eastAsia" w:ascii="仿宋" w:hAnsi="仿宋" w:eastAsia="仿宋" w:cs="仿宋"/>
                <w:sz w:val="24"/>
                <w:szCs w:val="24"/>
              </w:rPr>
            </w:pPr>
            <w:r>
              <w:rPr>
                <w:rFonts w:hint="eastAsia" w:ascii="仿宋" w:hAnsi="仿宋" w:eastAsia="仿宋" w:cs="仿宋"/>
                <w:sz w:val="24"/>
                <w:szCs w:val="24"/>
              </w:rPr>
              <w:t>采购人</w:t>
            </w:r>
          </w:p>
        </w:tc>
        <w:tc>
          <w:tcPr>
            <w:tcW w:w="7472" w:type="dxa"/>
            <w:vAlign w:val="center"/>
          </w:tcPr>
          <w:p>
            <w:pPr>
              <w:spacing w:after="0"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南京医科大学</w:t>
            </w:r>
          </w:p>
          <w:p>
            <w:pPr>
              <w:spacing w:after="0" w:line="0" w:lineRule="atLeast"/>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吕</w:t>
            </w:r>
            <w:r>
              <w:rPr>
                <w:rFonts w:hint="eastAsia" w:ascii="仿宋" w:hAnsi="仿宋" w:eastAsia="仿宋" w:cs="仿宋"/>
                <w:sz w:val="24"/>
                <w:szCs w:val="24"/>
              </w:rPr>
              <w:t xml:space="preserve">老师     </w:t>
            </w:r>
          </w:p>
          <w:p>
            <w:pPr>
              <w:spacing w:after="0" w:line="0" w:lineRule="atLeast"/>
              <w:rPr>
                <w:rFonts w:hint="eastAsia" w:ascii="仿宋" w:hAnsi="仿宋" w:eastAsia="仿宋" w:cs="仿宋"/>
                <w:sz w:val="24"/>
                <w:szCs w:val="24"/>
              </w:rPr>
            </w:pPr>
            <w:r>
              <w:rPr>
                <w:rFonts w:hint="eastAsia" w:ascii="仿宋" w:hAnsi="仿宋" w:eastAsia="仿宋" w:cs="仿宋"/>
                <w:sz w:val="24"/>
                <w:szCs w:val="24"/>
              </w:rPr>
              <w:t>电话：025-86868572</w:t>
            </w:r>
          </w:p>
          <w:p>
            <w:pPr>
              <w:spacing w:after="0" w:line="0" w:lineRule="atLeast"/>
              <w:rPr>
                <w:rFonts w:hint="eastAsia" w:ascii="仿宋" w:hAnsi="仿宋" w:eastAsia="仿宋" w:cs="仿宋"/>
                <w:color w:val="000000"/>
                <w:sz w:val="24"/>
                <w:szCs w:val="24"/>
              </w:rPr>
            </w:pPr>
            <w:r>
              <w:rPr>
                <w:rFonts w:hint="eastAsia" w:ascii="仿宋" w:hAnsi="仿宋" w:eastAsia="仿宋" w:cs="仿宋"/>
                <w:sz w:val="24"/>
                <w:szCs w:val="24"/>
              </w:rPr>
              <w:t>地址：南京市江宁区龙眠大道101号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sz w:val="24"/>
                <w:szCs w:val="24"/>
              </w:rPr>
              <w:t>7</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sz w:val="24"/>
                <w:szCs w:val="24"/>
              </w:rPr>
              <w:t>采购预算及项目简要说明</w:t>
            </w:r>
          </w:p>
        </w:tc>
        <w:tc>
          <w:tcPr>
            <w:tcW w:w="7472" w:type="dxa"/>
            <w:vAlign w:val="center"/>
          </w:tcPr>
          <w:p>
            <w:pPr>
              <w:numPr>
                <w:ilvl w:val="0"/>
                <w:numId w:val="3"/>
              </w:numPr>
              <w:spacing w:after="0" w:line="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简要说明：</w:t>
            </w:r>
          </w:p>
          <w:p>
            <w:pPr>
              <w:spacing w:after="0"/>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南京医科大学为满足</w:t>
            </w:r>
            <w:r>
              <w:rPr>
                <w:rFonts w:hint="eastAsia" w:ascii="仿宋" w:hAnsi="仿宋" w:eastAsia="仿宋" w:cs="仿宋"/>
                <w:color w:val="000000" w:themeColor="text1"/>
                <w:sz w:val="24"/>
                <w:szCs w:val="24"/>
                <w:lang w:eastAsia="zh-CN"/>
                <w14:textFill>
                  <w14:solidFill>
                    <w14:schemeClr w14:val="tx1"/>
                  </w14:solidFill>
                </w14:textFill>
              </w:rPr>
              <w:t>教学实验需</w:t>
            </w:r>
            <w:r>
              <w:rPr>
                <w:rFonts w:hint="eastAsia" w:ascii="仿宋" w:hAnsi="仿宋" w:eastAsia="仿宋" w:cs="仿宋"/>
                <w:color w:val="000000" w:themeColor="text1"/>
                <w:sz w:val="24"/>
                <w:szCs w:val="24"/>
                <w14:textFill>
                  <w14:solidFill>
                    <w14:schemeClr w14:val="tx1"/>
                  </w14:solidFill>
                </w14:textFill>
              </w:rPr>
              <w:t>要，需采购一台</w:t>
            </w:r>
            <w:r>
              <w:rPr>
                <w:rFonts w:hint="eastAsia" w:ascii="仿宋" w:hAnsi="仿宋" w:eastAsia="仿宋" w:cs="仿宋"/>
                <w:color w:val="000000" w:themeColor="text1"/>
                <w:sz w:val="24"/>
                <w:szCs w:val="24"/>
                <w:lang w:eastAsia="zh-CN"/>
                <w14:textFill>
                  <w14:solidFill>
                    <w14:schemeClr w14:val="tx1"/>
                  </w14:solidFill>
                </w14:textFill>
              </w:rPr>
              <w:t>智能型荧光显微镜。</w:t>
            </w:r>
          </w:p>
          <w:p>
            <w:pPr>
              <w:numPr>
                <w:ilvl w:val="0"/>
                <w:numId w:val="3"/>
              </w:numPr>
              <w:spacing w:after="0"/>
              <w:ind w:left="0" w:leftChars="0" w:firstLine="0" w:firstLineChars="0"/>
              <w:rPr>
                <w:rFonts w:hint="eastAsia" w:ascii="仿宋" w:hAnsi="仿宋" w:eastAsia="仿宋" w:cs="仿宋"/>
                <w:color w:val="000000"/>
                <w:sz w:val="24"/>
                <w:szCs w:val="24"/>
              </w:rPr>
            </w:pPr>
            <w:r>
              <w:rPr>
                <w:rFonts w:hint="eastAsia" w:ascii="仿宋" w:hAnsi="仿宋" w:eastAsia="仿宋" w:cs="仿宋"/>
                <w:b/>
                <w:bCs/>
                <w:color w:val="000000"/>
                <w:sz w:val="24"/>
                <w:szCs w:val="24"/>
              </w:rPr>
              <w:t>项目预算：</w:t>
            </w:r>
            <w:r>
              <w:rPr>
                <w:rFonts w:hint="eastAsia" w:ascii="仿宋" w:hAnsi="仿宋" w:eastAsia="仿宋" w:cs="仿宋"/>
                <w:color w:val="000000"/>
                <w:sz w:val="24"/>
                <w:szCs w:val="24"/>
              </w:rPr>
              <w:t>人民币</w:t>
            </w:r>
            <w:r>
              <w:rPr>
                <w:rFonts w:hint="eastAsia" w:ascii="仿宋" w:hAnsi="仿宋" w:eastAsia="仿宋" w:cs="仿宋"/>
                <w:b/>
                <w:bCs/>
                <w:color w:val="000000"/>
                <w:sz w:val="24"/>
                <w:szCs w:val="24"/>
                <w:u w:val="single"/>
                <w:lang w:val="en-US" w:eastAsia="zh-CN"/>
              </w:rPr>
              <w:t>47</w:t>
            </w:r>
            <w:r>
              <w:rPr>
                <w:rFonts w:hint="eastAsia" w:ascii="仿宋" w:hAnsi="仿宋" w:eastAsia="仿宋" w:cs="仿宋"/>
                <w:color w:val="000000"/>
                <w:sz w:val="24"/>
                <w:szCs w:val="24"/>
              </w:rPr>
              <w:t>万元整。</w:t>
            </w:r>
          </w:p>
          <w:p>
            <w:pPr>
              <w:pStyle w:val="2"/>
              <w:numPr>
                <w:ilvl w:val="0"/>
                <w:numId w:val="0"/>
              </w:numPr>
              <w:ind w:leftChars="0"/>
              <w:rPr>
                <w:rFonts w:hint="eastAsia" w:eastAsia="宋体"/>
                <w:lang w:val="en-US" w:eastAsia="zh-CN"/>
              </w:rPr>
            </w:pPr>
            <w:r>
              <w:rPr>
                <w:rFonts w:hint="eastAsia"/>
                <w:lang w:val="en-US" w:eastAsia="zh-CN"/>
              </w:rPr>
              <w:t xml:space="preserve">   </w:t>
            </w:r>
            <w:r>
              <w:rPr>
                <w:rFonts w:hint="eastAsia" w:ascii="仿宋" w:hAnsi="仿宋" w:eastAsia="仿宋" w:cs="仿宋"/>
                <w:b/>
                <w:bCs/>
                <w:color w:val="000000"/>
                <w:kern w:val="0"/>
                <w:sz w:val="24"/>
                <w:szCs w:val="24"/>
                <w:lang w:val="en-US" w:eastAsia="zh-CN" w:bidi="ar-SA"/>
              </w:rPr>
              <w:t xml:space="preserve"> 最高限价：</w:t>
            </w:r>
            <w:r>
              <w:rPr>
                <w:rFonts w:hint="eastAsia" w:ascii="仿宋" w:hAnsi="仿宋" w:eastAsia="仿宋" w:cs="仿宋"/>
                <w:b w:val="0"/>
                <w:bCs w:val="0"/>
                <w:color w:val="000000"/>
                <w:kern w:val="0"/>
                <w:sz w:val="24"/>
                <w:szCs w:val="24"/>
                <w:lang w:val="en-US" w:eastAsia="zh-CN" w:bidi="ar-SA"/>
              </w:rPr>
              <w:t>人</w:t>
            </w:r>
            <w:r>
              <w:rPr>
                <w:rFonts w:hint="eastAsia" w:ascii="仿宋" w:hAnsi="仿宋" w:eastAsia="仿宋" w:cs="仿宋"/>
                <w:b w:val="0"/>
                <w:bCs w:val="0"/>
                <w:color w:val="000000"/>
                <w:sz w:val="24"/>
                <w:szCs w:val="24"/>
              </w:rPr>
              <w:t>民</w:t>
            </w:r>
            <w:r>
              <w:rPr>
                <w:rFonts w:hint="eastAsia" w:ascii="仿宋" w:hAnsi="仿宋" w:eastAsia="仿宋" w:cs="仿宋"/>
                <w:color w:val="000000"/>
                <w:sz w:val="24"/>
                <w:szCs w:val="24"/>
              </w:rPr>
              <w:t>币</w:t>
            </w:r>
            <w:r>
              <w:rPr>
                <w:rFonts w:hint="eastAsia" w:ascii="仿宋" w:hAnsi="仿宋" w:eastAsia="仿宋" w:cs="仿宋"/>
                <w:b/>
                <w:bCs/>
                <w:color w:val="000000"/>
                <w:sz w:val="24"/>
                <w:szCs w:val="24"/>
                <w:u w:val="single"/>
                <w:lang w:val="en-US" w:eastAsia="zh-CN"/>
              </w:rPr>
              <w:t>47</w:t>
            </w:r>
            <w:r>
              <w:rPr>
                <w:rFonts w:hint="eastAsia" w:ascii="仿宋" w:hAnsi="仿宋" w:eastAsia="仿宋" w:cs="仿宋"/>
                <w:color w:val="000000"/>
                <w:sz w:val="24"/>
                <w:szCs w:val="24"/>
              </w:rPr>
              <w:t>万元整</w:t>
            </w:r>
          </w:p>
          <w:p>
            <w:pPr>
              <w:spacing w:after="0" w:line="0" w:lineRule="atLeast"/>
              <w:ind w:firstLine="240" w:firstLineChars="100"/>
              <w:rPr>
                <w:rFonts w:hint="eastAsia" w:ascii="仿宋" w:hAnsi="仿宋" w:eastAsia="仿宋" w:cs="仿宋"/>
                <w:color w:val="000000"/>
                <w:sz w:val="24"/>
                <w:szCs w:val="24"/>
                <w:lang w:val="zh-CN"/>
              </w:rPr>
            </w:pPr>
            <w:r>
              <w:rPr>
                <w:rFonts w:hint="eastAsia" w:ascii="仿宋" w:hAnsi="仿宋" w:eastAsia="仿宋" w:cs="仿宋"/>
                <w:b/>
                <w:bCs/>
                <w:i/>
                <w:iCs/>
                <w:sz w:val="24"/>
              </w:rPr>
              <w:t>投标报价超过政府采购预算和最高限价的为无效报价，按照无效投标处理。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8" w:type="dxa"/>
            <w:vAlign w:val="center"/>
          </w:tcPr>
          <w:p>
            <w:pPr>
              <w:spacing w:after="0"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rPr>
              <w:t>保证金</w:t>
            </w:r>
          </w:p>
        </w:tc>
        <w:tc>
          <w:tcPr>
            <w:tcW w:w="7472" w:type="dxa"/>
            <w:vAlign w:val="center"/>
          </w:tcPr>
          <w:p>
            <w:pPr>
              <w:spacing w:after="0" w:line="0" w:lineRule="atLeast"/>
              <w:rPr>
                <w:rFonts w:hint="eastAsia" w:ascii="仿宋" w:hAnsi="仿宋" w:eastAsia="仿宋" w:cs="仿宋"/>
                <w:b/>
                <w:bCs/>
                <w:i/>
                <w:iCs/>
                <w:color w:val="000000"/>
                <w:sz w:val="24"/>
                <w:szCs w:val="24"/>
                <w:lang w:val="en-US" w:eastAsia="zh-CN"/>
              </w:rPr>
            </w:pPr>
            <w:r>
              <w:rPr>
                <w:rFonts w:hint="eastAsia" w:ascii="仿宋" w:hAnsi="仿宋" w:eastAsia="仿宋" w:cs="仿宋"/>
                <w:b/>
                <w:bCs/>
                <w:i w:val="0"/>
                <w:iCs w:val="0"/>
                <w:color w:val="000000"/>
                <w:sz w:val="24"/>
                <w:szCs w:val="24"/>
                <w:lang w:val="en-US" w:eastAsia="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8" w:type="dxa"/>
            <w:vAlign w:val="center"/>
          </w:tcPr>
          <w:p>
            <w:pPr>
              <w:spacing w:after="0" w:line="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color w:val="000000"/>
                <w:sz w:val="24"/>
                <w:szCs w:val="24"/>
              </w:rPr>
              <w:t>投标文件接收</w:t>
            </w:r>
          </w:p>
        </w:tc>
        <w:tc>
          <w:tcPr>
            <w:tcW w:w="7472" w:type="dxa"/>
          </w:tcPr>
          <w:p>
            <w:pPr>
              <w:spacing w:after="0"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接收投标文件时间</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05</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13 </w:t>
            </w:r>
            <w:r>
              <w:rPr>
                <w:rFonts w:hint="eastAsia" w:ascii="仿宋" w:hAnsi="仿宋" w:eastAsia="仿宋" w:cs="仿宋"/>
                <w:sz w:val="24"/>
                <w:szCs w:val="24"/>
              </w:rPr>
              <w:t>日</w:t>
            </w:r>
            <w:r>
              <w:rPr>
                <w:rFonts w:hint="eastAsia" w:ascii="仿宋" w:hAnsi="仿宋" w:eastAsia="仿宋" w:cs="仿宋"/>
                <w:sz w:val="24"/>
                <w:szCs w:val="24"/>
                <w:lang w:eastAsia="zh-CN"/>
              </w:rPr>
              <w:t>下</w:t>
            </w:r>
            <w:r>
              <w:rPr>
                <w:rFonts w:hint="eastAsia" w:ascii="仿宋" w:hAnsi="仿宋" w:eastAsia="仿宋" w:cs="仿宋"/>
                <w:sz w:val="24"/>
                <w:szCs w:val="24"/>
              </w:rPr>
              <w:t>午</w:t>
            </w:r>
            <w:r>
              <w:rPr>
                <w:rFonts w:hint="eastAsia" w:ascii="仿宋" w:hAnsi="仿宋" w:eastAsia="仿宋" w:cs="仿宋"/>
                <w:sz w:val="24"/>
                <w:szCs w:val="24"/>
                <w:lang w:val="en-US" w:eastAsia="zh-CN"/>
              </w:rPr>
              <w:t>13</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14</w:t>
            </w:r>
            <w:r>
              <w:rPr>
                <w:rFonts w:hint="eastAsia" w:ascii="仿宋" w:hAnsi="仿宋" w:eastAsia="仿宋" w:cs="仿宋"/>
                <w:sz w:val="24"/>
                <w:szCs w:val="24"/>
              </w:rPr>
              <w:t>:</w:t>
            </w:r>
            <w:r>
              <w:rPr>
                <w:rFonts w:hint="eastAsia" w:ascii="仿宋" w:hAnsi="仿宋" w:eastAsia="仿宋" w:cs="仿宋"/>
                <w:sz w:val="24"/>
                <w:szCs w:val="24"/>
                <w:lang w:val="en-US" w:eastAsia="zh-CN"/>
              </w:rPr>
              <w:t>00</w:t>
            </w:r>
          </w:p>
          <w:p>
            <w:pPr>
              <w:spacing w:after="0"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接收地点：南京市秦淮区光华东街6号世界之窗创意产业园15号楼</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8" w:type="dxa"/>
            <w:vAlign w:val="center"/>
          </w:tcPr>
          <w:p>
            <w:pPr>
              <w:spacing w:after="0"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color w:val="000000"/>
                <w:sz w:val="24"/>
                <w:szCs w:val="24"/>
              </w:rPr>
              <w:t>投标文件</w:t>
            </w:r>
            <w:r>
              <w:rPr>
                <w:rFonts w:hint="eastAsia" w:ascii="仿宋" w:hAnsi="仿宋" w:eastAsia="仿宋" w:cs="仿宋"/>
                <w:sz w:val="24"/>
                <w:szCs w:val="24"/>
              </w:rPr>
              <w:t>数量</w:t>
            </w:r>
          </w:p>
        </w:tc>
        <w:tc>
          <w:tcPr>
            <w:tcW w:w="7472" w:type="dxa"/>
            <w:vAlign w:val="center"/>
          </w:tcPr>
          <w:p>
            <w:pPr>
              <w:spacing w:after="0"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正本份数：1份</w:t>
            </w:r>
          </w:p>
          <w:p>
            <w:pPr>
              <w:spacing w:after="0"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副本份数：5份</w:t>
            </w:r>
          </w:p>
          <w:p>
            <w:pPr>
              <w:spacing w:after="0" w:line="0" w:lineRule="atLeast"/>
              <w:rPr>
                <w:rFonts w:hint="eastAsia"/>
              </w:rPr>
            </w:pPr>
            <w:r>
              <w:rPr>
                <w:rFonts w:hint="eastAsia" w:ascii="仿宋" w:hAnsi="仿宋" w:eastAsia="仿宋" w:cs="仿宋"/>
                <w:color w:val="000000"/>
                <w:sz w:val="24"/>
                <w:szCs w:val="24"/>
              </w:rPr>
              <w:t>电子文档：1份（U盘与正本封装）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98" w:type="dxa"/>
            <w:vAlign w:val="center"/>
          </w:tcPr>
          <w:p>
            <w:pPr>
              <w:spacing w:after="0" w:line="0" w:lineRule="atLeast"/>
              <w:jc w:val="center"/>
              <w:rPr>
                <w:rFonts w:hint="eastAsia" w:ascii="仿宋" w:hAnsi="仿宋" w:eastAsia="仿宋" w:cs="仿宋"/>
                <w:color w:val="000000"/>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sz w:val="24"/>
                <w:szCs w:val="24"/>
              </w:rPr>
              <w:t>投标文件启封</w:t>
            </w:r>
          </w:p>
        </w:tc>
        <w:tc>
          <w:tcPr>
            <w:tcW w:w="7472" w:type="dxa"/>
            <w:vAlign w:val="center"/>
          </w:tcPr>
          <w:p>
            <w:pPr>
              <w:spacing w:after="0" w:line="0" w:lineRule="atLeast"/>
              <w:rPr>
                <w:rFonts w:hint="eastAsia" w:ascii="仿宋" w:hAnsi="仿宋" w:eastAsia="仿宋" w:cs="仿宋"/>
                <w:sz w:val="24"/>
                <w:szCs w:val="24"/>
                <w:highlight w:val="yellow"/>
              </w:rPr>
            </w:pPr>
            <w:r>
              <w:rPr>
                <w:rFonts w:hint="eastAsia" w:ascii="仿宋" w:hAnsi="仿宋" w:eastAsia="仿宋" w:cs="仿宋"/>
                <w:color w:val="000000"/>
                <w:sz w:val="24"/>
                <w:szCs w:val="24"/>
              </w:rPr>
              <w:t>时间</w:t>
            </w: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05</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13 </w:t>
            </w:r>
            <w:r>
              <w:rPr>
                <w:rFonts w:hint="eastAsia" w:ascii="仿宋" w:hAnsi="仿宋" w:eastAsia="仿宋" w:cs="仿宋"/>
                <w:sz w:val="24"/>
                <w:szCs w:val="24"/>
              </w:rPr>
              <w:t>日</w:t>
            </w:r>
            <w:r>
              <w:rPr>
                <w:rFonts w:hint="eastAsia" w:ascii="仿宋" w:hAnsi="仿宋" w:eastAsia="仿宋" w:cs="仿宋"/>
                <w:sz w:val="24"/>
                <w:szCs w:val="24"/>
                <w:lang w:eastAsia="zh-CN"/>
              </w:rPr>
              <w:t>下</w:t>
            </w:r>
            <w:r>
              <w:rPr>
                <w:rFonts w:hint="eastAsia" w:ascii="仿宋" w:hAnsi="仿宋" w:eastAsia="仿宋" w:cs="仿宋"/>
                <w:sz w:val="24"/>
                <w:szCs w:val="24"/>
              </w:rPr>
              <w:t>午</w:t>
            </w:r>
            <w:r>
              <w:rPr>
                <w:rFonts w:hint="eastAsia" w:ascii="仿宋" w:hAnsi="仿宋" w:eastAsia="仿宋" w:cs="仿宋"/>
                <w:sz w:val="24"/>
                <w:szCs w:val="24"/>
                <w:lang w:val="en-US" w:eastAsia="zh-CN"/>
              </w:rPr>
              <w:t>14</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w:t>
            </w:r>
          </w:p>
          <w:p>
            <w:pPr>
              <w:spacing w:after="0" w:line="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地点：南京市秦淮区光华东街6号世界之窗创意产业园15号楼4楼会议室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8" w:type="dxa"/>
            <w:vAlign w:val="center"/>
          </w:tcPr>
          <w:p>
            <w:pPr>
              <w:spacing w:after="0" w:line="0" w:lineRule="atLeas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w:t>
            </w:r>
          </w:p>
        </w:tc>
        <w:tc>
          <w:tcPr>
            <w:tcW w:w="1515" w:type="dxa"/>
            <w:vAlign w:val="center"/>
          </w:tcPr>
          <w:p>
            <w:pPr>
              <w:spacing w:after="0" w:line="0" w:lineRule="atLeast"/>
              <w:jc w:val="center"/>
              <w:rPr>
                <w:rFonts w:hint="eastAsia" w:ascii="仿宋" w:hAnsi="仿宋" w:eastAsia="仿宋" w:cs="仿宋"/>
                <w:sz w:val="24"/>
                <w:szCs w:val="24"/>
              </w:rPr>
            </w:pPr>
            <w:r>
              <w:rPr>
                <w:rFonts w:hint="eastAsia" w:ascii="仿宋" w:hAnsi="仿宋" w:eastAsia="仿宋" w:cs="仿宋"/>
                <w:color w:val="000000"/>
                <w:sz w:val="24"/>
                <w:szCs w:val="24"/>
              </w:rPr>
              <w:t>投标文件</w:t>
            </w:r>
            <w:r>
              <w:rPr>
                <w:rFonts w:hint="eastAsia" w:ascii="仿宋" w:hAnsi="仿宋" w:eastAsia="仿宋" w:cs="仿宋"/>
                <w:sz w:val="24"/>
                <w:szCs w:val="24"/>
              </w:rPr>
              <w:t>有效期</w:t>
            </w:r>
          </w:p>
        </w:tc>
        <w:tc>
          <w:tcPr>
            <w:tcW w:w="7472" w:type="dxa"/>
            <w:vAlign w:val="center"/>
          </w:tcPr>
          <w:p>
            <w:pPr>
              <w:spacing w:after="0" w:line="0" w:lineRule="atLeast"/>
              <w:rPr>
                <w:rFonts w:hint="eastAsia" w:ascii="仿宋" w:hAnsi="仿宋" w:eastAsia="仿宋" w:cs="仿宋"/>
                <w:sz w:val="24"/>
                <w:szCs w:val="24"/>
              </w:rPr>
            </w:pPr>
            <w:r>
              <w:rPr>
                <w:rFonts w:hint="eastAsia" w:ascii="仿宋" w:hAnsi="仿宋" w:eastAsia="仿宋" w:cs="仿宋"/>
                <w:sz w:val="24"/>
                <w:szCs w:val="24"/>
              </w:rPr>
              <w:t>投标文件接收截止时间起九十天</w:t>
            </w:r>
          </w:p>
        </w:tc>
      </w:tr>
    </w:tbl>
    <w:p>
      <w:pPr>
        <w:spacing w:after="0" w:line="360" w:lineRule="auto"/>
        <w:rPr>
          <w:rFonts w:hint="eastAsia" w:ascii="仿宋" w:hAnsi="仿宋" w:eastAsia="仿宋" w:cs="仿宋"/>
          <w:b/>
          <w:bCs w:val="0"/>
          <w:sz w:val="28"/>
          <w:szCs w:val="28"/>
        </w:rPr>
      </w:pPr>
      <w:bookmarkStart w:id="17" w:name="_Toc210"/>
      <w:bookmarkStart w:id="18" w:name="_Toc28059"/>
      <w:bookmarkStart w:id="19" w:name="_Toc21404"/>
      <w:r>
        <w:rPr>
          <w:rFonts w:hint="eastAsia" w:ascii="仿宋" w:hAnsi="仿宋" w:eastAsia="仿宋" w:cs="仿宋"/>
          <w:b/>
          <w:bCs w:val="0"/>
          <w:sz w:val="28"/>
          <w:szCs w:val="28"/>
        </w:rPr>
        <w:t>二、投标供应商资格要求</w:t>
      </w:r>
      <w:bookmarkEnd w:id="17"/>
      <w:bookmarkEnd w:id="18"/>
      <w:bookmarkEnd w:id="19"/>
    </w:p>
    <w:p>
      <w:pPr>
        <w:spacing w:after="0" w:line="360" w:lineRule="auto"/>
        <w:ind w:firstLine="480" w:firstLineChars="200"/>
        <w:rPr>
          <w:rFonts w:hint="eastAsia" w:ascii="仿宋" w:hAnsi="仿宋" w:eastAsia="仿宋" w:cs="仿宋"/>
          <w:color w:val="000000"/>
          <w:sz w:val="24"/>
          <w:szCs w:val="24"/>
        </w:rPr>
      </w:pPr>
      <w:bookmarkStart w:id="20" w:name="_Toc6126"/>
      <w:r>
        <w:rPr>
          <w:rFonts w:hint="eastAsia" w:ascii="仿宋" w:hAnsi="仿宋" w:eastAsia="仿宋" w:cs="仿宋"/>
          <w:color w:val="000000"/>
          <w:sz w:val="24"/>
          <w:szCs w:val="24"/>
        </w:rPr>
        <w:t>（一）符合政府采购法第二十二条规定的条件，并提供下列材料；</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1、具有独立承担民事责任的能力（提供法人或者其他组织的营业执照复印件并加盖公章，或者自然人的身份证明）；</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2、具有良好的商业信誉和健全的财务会计制度（提供2021年度财务报表或2020</w:t>
      </w:r>
      <w:r>
        <w:rPr>
          <w:rFonts w:hint="eastAsia" w:ascii="仿宋" w:hAnsi="仿宋" w:eastAsia="仿宋" w:cs="仿宋"/>
          <w:sz w:val="24"/>
          <w:szCs w:val="24"/>
          <w:lang w:val="en-US" w:eastAsia="zh-CN"/>
        </w:rPr>
        <w:t>/</w:t>
      </w:r>
      <w:r>
        <w:rPr>
          <w:rFonts w:hint="eastAsia" w:ascii="仿宋" w:hAnsi="仿宋" w:eastAsia="仿宋" w:cs="仿宋"/>
          <w:sz w:val="24"/>
          <w:szCs w:val="24"/>
        </w:rPr>
        <w:t>2021年度经审计的财务报告或银行出具的企业资信证明，法人或者其他组织成立未满一年的可提供近半年内任一月的资产负债和利润表）；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3、具有履行合同所必需的设备和专业技术能力（根据项目需求提供履行合同所必需的设备和专业技术能力的证明材料或声明函）；</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4、有依法缴纳税收和社会保障资金的良好记录（提供参加本次采购活动前近六个月内任一月份依法缴纳税收及社会保险的凭据。依法免缴、迟缴的应提供相应文件证明）；</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5、参加本次采购活动前3年内在经营活动中没有重大违法记录（提供参加本次采购活动前3年内在经营活动中没有重大违法记录的书面声明）；</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pacing w:after="0"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color w:val="000000"/>
          <w:sz w:val="24"/>
          <w:szCs w:val="24"/>
        </w:rPr>
        <w:t>（二）其他资格要求：</w:t>
      </w:r>
      <w:r>
        <w:rPr>
          <w:rFonts w:hint="eastAsia" w:ascii="仿宋" w:hAnsi="仿宋" w:eastAsia="仿宋" w:cs="仿宋"/>
          <w:b/>
          <w:bCs/>
          <w:i/>
          <w:iCs/>
          <w:color w:val="000000" w:themeColor="text1"/>
          <w:sz w:val="24"/>
          <w:szCs w:val="24"/>
          <w:highlight w:val="none"/>
          <w:u w:val="single"/>
          <w14:textFill>
            <w14:solidFill>
              <w14:schemeClr w14:val="tx1"/>
            </w14:solidFill>
          </w14:textFill>
        </w:rPr>
        <w:t>投标人如为代理商且所投产品为进口产品的，需提供原厂授权证明文件,并明确承担一切售前、售后责任。</w:t>
      </w:r>
    </w:p>
    <w:p>
      <w:pPr>
        <w:numPr>
          <w:ilvl w:val="0"/>
          <w:numId w:val="4"/>
        </w:num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本项目不接受联合体参与投标。</w:t>
      </w:r>
    </w:p>
    <w:p>
      <w:pPr>
        <w:numPr>
          <w:ilvl w:val="255"/>
          <w:numId w:val="0"/>
        </w:numPr>
        <w:spacing w:after="0"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（四）</w:t>
      </w:r>
      <w:r>
        <w:rPr>
          <w:rFonts w:hint="eastAsia" w:ascii="仿宋" w:hAnsi="仿宋" w:eastAsia="仿宋" w:cs="仿宋"/>
          <w:b/>
          <w:bCs/>
          <w:sz w:val="24"/>
          <w:szCs w:val="24"/>
          <w:highlight w:val="none"/>
        </w:rPr>
        <w:t>本项目接受进口产品投标（注：本文件所称进口产品是指通过中国海关报关验放进入中国境内且产自关境外的产品）。</w:t>
      </w:r>
    </w:p>
    <w:p>
      <w:pPr>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（五）</w:t>
      </w:r>
      <w:r>
        <w:rPr>
          <w:rFonts w:hint="eastAsia" w:ascii="仿宋" w:hAnsi="仿宋" w:eastAsia="仿宋" w:cs="仿宋"/>
          <w:color w:val="000000"/>
          <w:sz w:val="24"/>
          <w:szCs w:val="24"/>
        </w:rPr>
        <w:t>拒绝下述供应商参加本次采购活动：</w:t>
      </w:r>
    </w:p>
    <w:p>
      <w:pPr>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1、投标供应商单位负责人为同一人或者存在直接控股、管理关系的不同供应商，不得参加同一合同项下的政府采购活动。</w:t>
      </w:r>
    </w:p>
    <w:p>
      <w:pPr>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2、凡为采购项目提供整体设计、规范编制或者项目管理、监理、检测等服务的供应商，不得再参加本项目的采购活动。</w:t>
      </w:r>
    </w:p>
    <w:p>
      <w:pPr>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lang w:val="en-US" w:eastAsia="zh-CN"/>
        </w:rPr>
        <w:t>投标人在投标截止日前被“信用中国”网站（www.creditchina.gov.cn）、</w:t>
      </w:r>
      <w:r>
        <w:rPr>
          <w:rFonts w:hint="eastAsia" w:ascii="仿宋" w:hAnsi="仿宋" w:eastAsia="仿宋" w:cs="仿宋"/>
          <w:color w:val="000000"/>
          <w:sz w:val="24"/>
          <w:szCs w:val="24"/>
        </w:rPr>
        <w:t>“中国政府采购网"</w:t>
      </w:r>
      <w:r>
        <w:rPr>
          <w:rFonts w:hint="eastAsia" w:ascii="仿宋" w:hAnsi="仿宋" w:eastAsia="仿宋" w:cs="仿宋"/>
          <w:sz w:val="24"/>
          <w:szCs w:val="24"/>
          <w:lang w:val="en-US" w:eastAsia="zh-CN"/>
        </w:rPr>
        <w:t>(www.ccgp.gov.cn)列入失信被执行人、重大税收违法案件当事人、政府采购严重违法失信行为记录名单的供应商。</w:t>
      </w:r>
    </w:p>
    <w:bookmarkEnd w:id="20"/>
    <w:p>
      <w:pPr>
        <w:spacing w:after="0" w:line="360" w:lineRule="auto"/>
        <w:rPr>
          <w:rFonts w:hint="eastAsia" w:ascii="仿宋" w:hAnsi="仿宋" w:eastAsia="仿宋" w:cs="仿宋"/>
          <w:b/>
          <w:bCs w:val="0"/>
          <w:sz w:val="28"/>
          <w:szCs w:val="28"/>
        </w:rPr>
      </w:pPr>
      <w:bookmarkStart w:id="21" w:name="_Toc25413"/>
      <w:bookmarkStart w:id="22" w:name="_Toc32165"/>
      <w:bookmarkStart w:id="23" w:name="_Toc1348"/>
      <w:bookmarkStart w:id="24" w:name="_Toc120614211"/>
      <w:bookmarkStart w:id="25" w:name="_Toc16747"/>
      <w:bookmarkStart w:id="26" w:name="_Toc324237146"/>
      <w:r>
        <w:rPr>
          <w:rFonts w:hint="eastAsia" w:ascii="仿宋" w:hAnsi="仿宋" w:eastAsia="仿宋" w:cs="仿宋"/>
          <w:b/>
          <w:bCs w:val="0"/>
          <w:sz w:val="28"/>
          <w:szCs w:val="28"/>
        </w:rPr>
        <w:t>三、招标文件发布信息及报名要求</w:t>
      </w:r>
      <w:bookmarkEnd w:id="21"/>
      <w:bookmarkEnd w:id="22"/>
      <w:bookmarkEnd w:id="23"/>
    </w:p>
    <w:p>
      <w:pPr>
        <w:spacing w:after="0"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1、招标公告在“</w:t>
      </w:r>
      <w:r>
        <w:rPr>
          <w:rFonts w:hint="eastAsia" w:ascii="仿宋" w:hAnsi="仿宋" w:eastAsia="仿宋" w:cs="仿宋"/>
          <w:bCs w:val="0"/>
          <w:sz w:val="24"/>
          <w:highlight w:val="none"/>
          <w:lang w:eastAsia="zh-CN"/>
        </w:rPr>
        <w:t>南京医科大学官网（https://www.njmu.edu.cn/）</w:t>
      </w:r>
      <w:r>
        <w:rPr>
          <w:rFonts w:hint="eastAsia" w:ascii="仿宋" w:hAnsi="仿宋" w:eastAsia="仿宋" w:cs="仿宋"/>
          <w:bCs/>
          <w:sz w:val="24"/>
          <w:szCs w:val="24"/>
        </w:rPr>
        <w:t>”</w:t>
      </w:r>
      <w:r>
        <w:rPr>
          <w:rFonts w:hint="eastAsia" w:ascii="仿宋" w:hAnsi="仿宋" w:eastAsia="仿宋" w:cs="仿宋"/>
          <w:sz w:val="24"/>
          <w:szCs w:val="24"/>
        </w:rPr>
        <w:t>发布，</w:t>
      </w:r>
      <w:r>
        <w:rPr>
          <w:rFonts w:hint="eastAsia" w:ascii="仿宋" w:hAnsi="仿宋" w:eastAsia="仿宋" w:cs="仿宋"/>
          <w:bCs/>
          <w:sz w:val="24"/>
          <w:szCs w:val="24"/>
        </w:rPr>
        <w:t>供应商如确定参加投标，须购买招标文件并报名</w:t>
      </w:r>
      <w:r>
        <w:rPr>
          <w:rFonts w:hint="eastAsia" w:ascii="仿宋" w:hAnsi="仿宋" w:eastAsia="仿宋" w:cs="仿宋"/>
          <w:bCs/>
          <w:sz w:val="24"/>
          <w:szCs w:val="24"/>
          <w:lang w:eastAsia="zh-CN"/>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购买招标文</w:t>
      </w:r>
      <w:r>
        <w:rPr>
          <w:rFonts w:hint="eastAsia" w:ascii="仿宋" w:hAnsi="仿宋" w:eastAsia="仿宋" w:cs="仿宋"/>
          <w:sz w:val="24"/>
          <w:szCs w:val="24"/>
          <w:highlight w:val="none"/>
        </w:rPr>
        <w:t>件时间：20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22 </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27 </w:t>
      </w:r>
      <w:r>
        <w:rPr>
          <w:rFonts w:hint="eastAsia" w:ascii="仿宋" w:hAnsi="仿宋" w:eastAsia="仿宋" w:cs="仿宋"/>
          <w:sz w:val="24"/>
          <w:szCs w:val="24"/>
          <w:highlight w:val="none"/>
        </w:rPr>
        <w:t>日每天（节</w:t>
      </w:r>
      <w:r>
        <w:rPr>
          <w:rFonts w:hint="eastAsia" w:ascii="仿宋" w:hAnsi="仿宋" w:eastAsia="仿宋" w:cs="仿宋"/>
          <w:sz w:val="24"/>
          <w:szCs w:val="24"/>
        </w:rPr>
        <w:t>假日除外）北京时间09:00-12:00、13:30-17:30。</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购买招标文件地点：南京市秦淮区光华东街6号世界之窗创意产业园15号楼4楼 南京达琛鑫工程咨询有限公司，联系电话:</w:t>
      </w:r>
      <w:r>
        <w:rPr>
          <w:rFonts w:hint="eastAsia" w:ascii="仿宋" w:hAnsi="仿宋" w:eastAsia="仿宋" w:cs="仿宋"/>
          <w:sz w:val="24"/>
          <w:szCs w:val="24"/>
          <w:lang w:eastAsia="zh-CN"/>
        </w:rPr>
        <w:t>025-52639995</w:t>
      </w:r>
      <w:r>
        <w:rPr>
          <w:rFonts w:hint="eastAsia" w:ascii="仿宋" w:hAnsi="仿宋" w:eastAsia="仿宋" w:cs="仿宋"/>
          <w:sz w:val="24"/>
          <w:szCs w:val="24"/>
        </w:rPr>
        <w:t>。</w:t>
      </w:r>
    </w:p>
    <w:p>
      <w:pPr>
        <w:spacing w:after="0" w:line="360" w:lineRule="auto"/>
        <w:ind w:firstLine="420"/>
        <w:rPr>
          <w:rFonts w:hint="eastAsia" w:ascii="仿宋" w:hAnsi="仿宋" w:eastAsia="仿宋" w:cs="仿宋"/>
          <w:bCs/>
          <w:color w:val="000000"/>
          <w:sz w:val="24"/>
          <w:szCs w:val="24"/>
        </w:rPr>
      </w:pPr>
      <w:r>
        <w:rPr>
          <w:rFonts w:hint="eastAsia" w:ascii="仿宋" w:hAnsi="仿宋" w:eastAsia="仿宋" w:cs="仿宋"/>
          <w:sz w:val="24"/>
          <w:szCs w:val="24"/>
        </w:rPr>
        <w:t>2、</w:t>
      </w:r>
      <w:r>
        <w:rPr>
          <w:rFonts w:hint="eastAsia" w:ascii="仿宋" w:hAnsi="仿宋" w:eastAsia="仿宋" w:cs="仿宋"/>
          <w:bCs/>
          <w:color w:val="000000"/>
          <w:sz w:val="24"/>
          <w:szCs w:val="24"/>
        </w:rPr>
        <w:t>获取招标文件方式:</w:t>
      </w:r>
    </w:p>
    <w:p>
      <w:pPr>
        <w:spacing w:after="0" w:line="360" w:lineRule="auto"/>
        <w:ind w:firstLine="480" w:firstLineChars="200"/>
        <w:rPr>
          <w:rFonts w:hint="eastAsia" w:ascii="仿宋" w:hAnsi="仿宋" w:eastAsia="仿宋" w:cs="仿宋"/>
          <w:sz w:val="24"/>
          <w:szCs w:val="24"/>
          <w:u w:val="single"/>
        </w:rPr>
      </w:pPr>
      <w:r>
        <w:rPr>
          <w:rFonts w:hint="eastAsia" w:ascii="仿宋" w:hAnsi="仿宋" w:eastAsia="仿宋" w:cs="仿宋"/>
          <w:bCs/>
          <w:sz w:val="24"/>
          <w:szCs w:val="24"/>
        </w:rPr>
        <w:t>①现场</w:t>
      </w:r>
      <w:r>
        <w:rPr>
          <w:rFonts w:hint="eastAsia" w:ascii="仿宋" w:hAnsi="仿宋" w:eastAsia="仿宋" w:cs="仿宋"/>
          <w:bCs/>
          <w:color w:val="000000"/>
          <w:sz w:val="24"/>
          <w:szCs w:val="24"/>
        </w:rPr>
        <w:t>报名：</w:t>
      </w:r>
      <w:r>
        <w:rPr>
          <w:rFonts w:hint="eastAsia" w:ascii="仿宋" w:hAnsi="仿宋" w:eastAsia="仿宋" w:cs="仿宋"/>
          <w:sz w:val="24"/>
          <w:szCs w:val="24"/>
          <w:u w:val="single"/>
        </w:rPr>
        <w:t>须携带</w:t>
      </w:r>
      <w:r>
        <w:rPr>
          <w:rFonts w:hint="eastAsia" w:ascii="仿宋" w:hAnsi="仿宋" w:eastAsia="仿宋" w:cs="仿宋"/>
          <w:bCs/>
          <w:color w:val="000000"/>
          <w:sz w:val="24"/>
          <w:szCs w:val="24"/>
          <w:u w:val="single"/>
        </w:rPr>
        <w:t>采购文件</w:t>
      </w:r>
      <w:r>
        <w:rPr>
          <w:rFonts w:hint="eastAsia" w:ascii="仿宋" w:hAnsi="仿宋" w:eastAsia="仿宋" w:cs="仿宋"/>
          <w:bCs/>
          <w:color w:val="000000"/>
          <w:sz w:val="24"/>
          <w:szCs w:val="24"/>
          <w:u w:val="single"/>
          <w:lang w:val="en-US" w:eastAsia="zh-CN"/>
        </w:rPr>
        <w:t>登记</w:t>
      </w:r>
      <w:r>
        <w:rPr>
          <w:rFonts w:hint="eastAsia" w:ascii="仿宋" w:hAnsi="仿宋" w:eastAsia="仿宋" w:cs="仿宋"/>
          <w:bCs/>
          <w:color w:val="000000"/>
          <w:sz w:val="24"/>
          <w:szCs w:val="24"/>
          <w:u w:val="single"/>
        </w:rPr>
        <w:t>表、</w:t>
      </w:r>
      <w:r>
        <w:rPr>
          <w:rFonts w:hint="eastAsia" w:ascii="仿宋" w:hAnsi="仿宋" w:eastAsia="仿宋" w:cs="仿宋"/>
          <w:sz w:val="24"/>
          <w:szCs w:val="24"/>
          <w:u w:val="single"/>
        </w:rPr>
        <w:t>营业执照副本复印件、法人授权委托书原件、法人及受托人身份证复印件，并加盖公章。</w:t>
      </w:r>
      <w:r>
        <w:rPr>
          <w:rFonts w:hint="eastAsia" w:ascii="仿宋" w:hAnsi="仿宋" w:eastAsia="仿宋" w:cs="仿宋"/>
          <w:sz w:val="24"/>
          <w:szCs w:val="24"/>
        </w:rPr>
        <w:t>（疫情特殊时期建议网上报名）</w:t>
      </w:r>
    </w:p>
    <w:p>
      <w:pPr>
        <w:spacing w:after="0"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②网上报名：须将报名资料（1.</w:t>
      </w:r>
      <w:r>
        <w:rPr>
          <w:rFonts w:hint="eastAsia" w:ascii="仿宋" w:hAnsi="仿宋" w:eastAsia="仿宋" w:cs="仿宋"/>
          <w:bCs/>
          <w:color w:val="000000"/>
          <w:sz w:val="24"/>
          <w:szCs w:val="24"/>
          <w:u w:val="single"/>
        </w:rPr>
        <w:t>采购文件</w:t>
      </w:r>
      <w:r>
        <w:rPr>
          <w:rFonts w:hint="eastAsia" w:ascii="仿宋" w:hAnsi="仿宋" w:eastAsia="仿宋" w:cs="仿宋"/>
          <w:bCs/>
          <w:color w:val="000000"/>
          <w:sz w:val="24"/>
          <w:szCs w:val="24"/>
          <w:u w:val="single"/>
          <w:lang w:val="en-US" w:eastAsia="zh-CN"/>
        </w:rPr>
        <w:t>登记</w:t>
      </w:r>
      <w:r>
        <w:rPr>
          <w:rFonts w:hint="eastAsia" w:ascii="仿宋" w:hAnsi="仿宋" w:eastAsia="仿宋" w:cs="仿宋"/>
          <w:bCs/>
          <w:color w:val="000000"/>
          <w:sz w:val="24"/>
          <w:szCs w:val="24"/>
          <w:u w:val="single"/>
        </w:rPr>
        <w:t>表2.营业执照副本3.法人授权委托书4.</w:t>
      </w:r>
      <w:r>
        <w:rPr>
          <w:rFonts w:hint="eastAsia" w:ascii="仿宋" w:hAnsi="仿宋" w:eastAsia="仿宋" w:cs="仿宋"/>
          <w:sz w:val="24"/>
          <w:szCs w:val="24"/>
          <w:u w:val="single"/>
        </w:rPr>
        <w:t>法人及</w:t>
      </w:r>
      <w:r>
        <w:rPr>
          <w:rFonts w:hint="eastAsia" w:ascii="仿宋" w:hAnsi="仿宋" w:eastAsia="仿宋" w:cs="仿宋"/>
          <w:bCs/>
          <w:color w:val="000000"/>
          <w:sz w:val="24"/>
          <w:szCs w:val="24"/>
          <w:u w:val="single"/>
        </w:rPr>
        <w:t>受托人身份证</w:t>
      </w:r>
      <w:r>
        <w:rPr>
          <w:rFonts w:hint="eastAsia" w:ascii="仿宋" w:hAnsi="仿宋" w:eastAsia="仿宋" w:cs="仿宋"/>
          <w:sz w:val="24"/>
          <w:szCs w:val="24"/>
          <w:u w:val="single"/>
        </w:rPr>
        <w:t>复印件</w:t>
      </w:r>
      <w:r>
        <w:rPr>
          <w:rFonts w:hint="eastAsia" w:ascii="仿宋" w:hAnsi="仿宋" w:eastAsia="仿宋" w:cs="仿宋"/>
          <w:bCs/>
          <w:color w:val="000000"/>
          <w:sz w:val="24"/>
          <w:szCs w:val="24"/>
          <w:u w:val="single"/>
        </w:rPr>
        <w:t>加盖公章5.</w:t>
      </w:r>
      <w:r>
        <w:rPr>
          <w:rFonts w:hint="eastAsia" w:ascii="仿宋" w:hAnsi="仿宋" w:eastAsia="仿宋" w:cs="仿宋"/>
          <w:bCs/>
          <w:color w:val="000000"/>
          <w:sz w:val="24"/>
          <w:szCs w:val="24"/>
          <w:u w:val="single"/>
          <w:lang w:val="en-US" w:eastAsia="zh-CN"/>
        </w:rPr>
        <w:t>招标文件</w:t>
      </w:r>
      <w:r>
        <w:rPr>
          <w:rFonts w:hint="eastAsia" w:ascii="仿宋" w:hAnsi="仿宋" w:eastAsia="仿宋" w:cs="仿宋"/>
          <w:bCs/>
          <w:color w:val="000000"/>
          <w:sz w:val="24"/>
          <w:szCs w:val="24"/>
          <w:u w:val="single"/>
        </w:rPr>
        <w:t>费支付截图）</w:t>
      </w:r>
      <w:r>
        <w:rPr>
          <w:rFonts w:hint="eastAsia" w:ascii="仿宋" w:hAnsi="仿宋" w:eastAsia="仿宋" w:cs="仿宋"/>
          <w:bCs/>
          <w:color w:val="000000"/>
          <w:sz w:val="24"/>
          <w:szCs w:val="24"/>
        </w:rPr>
        <w:t>扫描件加盖公章发到（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"mailto:3429133254@qq.com" </w:instrText>
      </w:r>
      <w:r>
        <w:rPr>
          <w:rFonts w:hint="eastAsia" w:ascii="仿宋" w:hAnsi="仿宋" w:eastAsia="仿宋" w:cs="仿宋"/>
          <w:sz w:val="24"/>
          <w:szCs w:val="24"/>
        </w:rPr>
        <w:fldChar w:fldCharType="separate"/>
      </w:r>
      <w:r>
        <w:rPr>
          <w:rFonts w:hint="eastAsia" w:ascii="仿宋" w:hAnsi="仿宋" w:eastAsia="仿宋" w:cs="仿宋"/>
          <w:b/>
          <w:color w:val="000000"/>
          <w:sz w:val="24"/>
          <w:szCs w:val="24"/>
        </w:rPr>
        <w:t>njdcx_gczx@163.com</w:t>
      </w:r>
      <w:r>
        <w:rPr>
          <w:rFonts w:hint="eastAsia" w:ascii="仿宋" w:hAnsi="仿宋" w:eastAsia="仿宋" w:cs="仿宋"/>
          <w:b/>
          <w:color w:val="000000"/>
          <w:sz w:val="24"/>
          <w:szCs w:val="24"/>
        </w:rPr>
        <w:fldChar w:fldCharType="end"/>
      </w:r>
      <w:r>
        <w:rPr>
          <w:rFonts w:hint="eastAsia" w:ascii="仿宋" w:hAnsi="仿宋" w:eastAsia="仿宋" w:cs="仿宋"/>
          <w:bCs/>
          <w:color w:val="000000"/>
          <w:sz w:val="24"/>
          <w:szCs w:val="24"/>
        </w:rPr>
        <w:t>）邮箱</w:t>
      </w:r>
      <w:r>
        <w:rPr>
          <w:rFonts w:hint="eastAsia" w:ascii="仿宋" w:hAnsi="仿宋" w:eastAsia="仿宋" w:cs="仿宋"/>
          <w:bCs/>
          <w:color w:val="000000"/>
          <w:sz w:val="24"/>
          <w:szCs w:val="24"/>
          <w:lang w:eastAsia="zh-CN"/>
        </w:rPr>
        <w:t>，并提供纸质文件寄送地址</w:t>
      </w:r>
      <w:r>
        <w:rPr>
          <w:rFonts w:hint="eastAsia" w:ascii="仿宋" w:hAnsi="仿宋" w:eastAsia="仿宋" w:cs="仿宋"/>
          <w:bCs/>
          <w:color w:val="000000"/>
          <w:sz w:val="24"/>
          <w:szCs w:val="24"/>
        </w:rPr>
        <w:t>。</w:t>
      </w:r>
      <w:r>
        <w:rPr>
          <w:rFonts w:hint="eastAsia" w:ascii="仿宋" w:hAnsi="仿宋" w:eastAsia="仿宋" w:cs="仿宋"/>
          <w:bCs/>
          <w:color w:val="000000"/>
          <w:sz w:val="24"/>
          <w:szCs w:val="24"/>
          <w:lang w:eastAsia="zh-CN"/>
        </w:rPr>
        <w:t>招标文件费</w:t>
      </w:r>
      <w:r>
        <w:rPr>
          <w:rFonts w:hint="eastAsia" w:ascii="仿宋" w:hAnsi="仿宋" w:eastAsia="仿宋" w:cs="仿宋"/>
          <w:bCs/>
          <w:color w:val="000000"/>
          <w:sz w:val="24"/>
          <w:szCs w:val="24"/>
        </w:rPr>
        <w:t>通过支付宝支付，并备注项目名称+公司名称+</w:t>
      </w:r>
      <w:r>
        <w:rPr>
          <w:rFonts w:hint="eastAsia" w:ascii="仿宋" w:hAnsi="仿宋" w:eastAsia="仿宋" w:cs="仿宋"/>
          <w:bCs/>
          <w:color w:val="000000"/>
          <w:sz w:val="24"/>
          <w:szCs w:val="24"/>
          <w:lang w:eastAsia="zh-CN"/>
        </w:rPr>
        <w:t>招标文件费</w:t>
      </w:r>
      <w:r>
        <w:rPr>
          <w:rFonts w:hint="eastAsia" w:ascii="仿宋" w:hAnsi="仿宋" w:eastAsia="仿宋" w:cs="仿宋"/>
          <w:bCs/>
          <w:color w:val="000000"/>
          <w:sz w:val="24"/>
          <w:szCs w:val="24"/>
        </w:rPr>
        <w:t>字样（可简写）。</w:t>
      </w:r>
    </w:p>
    <w:p>
      <w:pPr>
        <w:spacing w:after="0" w:line="360" w:lineRule="auto"/>
        <w:ind w:firstLine="720" w:firstLineChars="300"/>
        <w:rPr>
          <w:rFonts w:hint="eastAsia" w:ascii="仿宋" w:hAnsi="仿宋" w:eastAsia="仿宋" w:cs="仿宋"/>
          <w:b/>
          <w:color w:val="000000"/>
          <w:sz w:val="24"/>
          <w:szCs w:val="24"/>
        </w:rPr>
      </w:pPr>
      <w:r>
        <w:rPr>
          <w:rFonts w:hint="eastAsia" w:ascii="仿宋" w:hAnsi="仿宋" w:eastAsia="仿宋" w:cs="仿宋"/>
          <w:b/>
          <w:color w:val="000000"/>
          <w:sz w:val="24"/>
          <w:szCs w:val="24"/>
        </w:rPr>
        <w:t>（支付宝收款码详见下图，如有其他支付方式请与我公司报名处人员联系，联系电话为：</w:t>
      </w:r>
      <w:r>
        <w:rPr>
          <w:rFonts w:hint="eastAsia" w:ascii="仿宋" w:hAnsi="仿宋" w:eastAsia="仿宋" w:cs="仿宋"/>
          <w:b/>
          <w:color w:val="000000"/>
          <w:sz w:val="24"/>
          <w:szCs w:val="24"/>
          <w:lang w:eastAsia="zh-CN"/>
        </w:rPr>
        <w:t>025-52639995</w:t>
      </w:r>
      <w:r>
        <w:rPr>
          <w:rFonts w:hint="eastAsia" w:ascii="仿宋" w:hAnsi="仿宋" w:eastAsia="仿宋" w:cs="仿宋"/>
          <w:b/>
          <w:color w:val="000000"/>
          <w:sz w:val="24"/>
          <w:szCs w:val="24"/>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次招标公告期限为五个工作日,请各位供应商领取本次招标文件后，认真阅读各项内容，进行必要的准备，按照招标文件的要求详细填写和编制投标文件，并按以上确定的时间、地点准时参加开标活动。若有关本次招标存在变动或修改，敬请各投标人及时关注</w:t>
      </w:r>
      <w:r>
        <w:rPr>
          <w:rFonts w:hint="eastAsia" w:ascii="仿宋" w:hAnsi="仿宋" w:eastAsia="仿宋" w:cs="仿宋"/>
          <w:bCs/>
          <w:sz w:val="24"/>
          <w:szCs w:val="24"/>
        </w:rPr>
        <w:t>“</w:t>
      </w:r>
      <w:r>
        <w:rPr>
          <w:rFonts w:hint="eastAsia" w:ascii="仿宋" w:hAnsi="仿宋" w:eastAsia="仿宋" w:cs="仿宋"/>
          <w:bCs w:val="0"/>
          <w:sz w:val="24"/>
          <w:highlight w:val="none"/>
          <w:lang w:eastAsia="zh-CN"/>
        </w:rPr>
        <w:t>南京医科大学官网（https://www.njmu.edu.cn/）</w:t>
      </w:r>
      <w:r>
        <w:rPr>
          <w:rFonts w:hint="eastAsia" w:ascii="仿宋" w:hAnsi="仿宋" w:eastAsia="仿宋" w:cs="仿宋"/>
          <w:bCs/>
          <w:sz w:val="24"/>
          <w:szCs w:val="24"/>
        </w:rPr>
        <w:t>”</w:t>
      </w:r>
      <w:r>
        <w:rPr>
          <w:rFonts w:hint="eastAsia" w:ascii="仿宋" w:hAnsi="仿宋" w:eastAsia="仿宋" w:cs="仿宋"/>
          <w:sz w:val="24"/>
          <w:szCs w:val="24"/>
        </w:rPr>
        <w:t>发布的关于本项目的信息更正公告。</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000000" w:themeColor="text1"/>
          <w:sz w:val="24"/>
          <w:szCs w:val="24"/>
          <w14:textFill>
            <w14:solidFill>
              <w14:schemeClr w14:val="tx1"/>
            </w14:solidFill>
          </w14:textFill>
        </w:rPr>
        <w:drawing>
          <wp:anchor distT="0" distB="0" distL="114300" distR="114300" simplePos="0" relativeHeight="251661312" behindDoc="1" locked="0" layoutInCell="1" allowOverlap="1">
            <wp:simplePos x="0" y="0"/>
            <wp:positionH relativeFrom="column">
              <wp:posOffset>3593465</wp:posOffset>
            </wp:positionH>
            <wp:positionV relativeFrom="paragraph">
              <wp:posOffset>194945</wp:posOffset>
            </wp:positionV>
            <wp:extent cx="2244090" cy="2723515"/>
            <wp:effectExtent l="0" t="0" r="3810" b="635"/>
            <wp:wrapTight wrapText="bothSides">
              <wp:wrapPolygon>
                <wp:start x="0" y="0"/>
                <wp:lineTo x="0" y="21454"/>
                <wp:lineTo x="21453" y="21454"/>
                <wp:lineTo x="21453" y="0"/>
                <wp:lineTo x="0" y="0"/>
              </wp:wrapPolygon>
            </wp:wrapTight>
            <wp:docPr id="3" name="图片 7" descr="2d95963b859152073388ad5143d37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2d95963b859152073388ad5143d37a7"/>
                    <pic:cNvPicPr>
                      <a:picLocks noChangeAspect="1"/>
                    </pic:cNvPicPr>
                  </pic:nvPicPr>
                  <pic:blipFill>
                    <a:blip r:embed="rId15" cstate="print"/>
                    <a:stretch>
                      <a:fillRect/>
                    </a:stretch>
                  </pic:blipFill>
                  <pic:spPr>
                    <a:xfrm>
                      <a:off x="0" y="0"/>
                      <a:ext cx="2244090" cy="2723515"/>
                    </a:xfrm>
                    <a:prstGeom prst="rect">
                      <a:avLst/>
                    </a:prstGeom>
                    <a:noFill/>
                    <a:ln>
                      <a:noFill/>
                    </a:ln>
                  </pic:spPr>
                </pic:pic>
              </a:graphicData>
            </a:graphic>
          </wp:anchor>
        </w:drawing>
      </w:r>
      <w:r>
        <w:rPr>
          <w:rFonts w:hint="eastAsia" w:ascii="仿宋" w:hAnsi="仿宋" w:eastAsia="仿宋" w:cs="仿宋"/>
          <w:b/>
          <w:sz w:val="24"/>
          <w:szCs w:val="24"/>
        </w:rPr>
        <w:t>对项目需求部分的询问、质疑由采购人负责答复。</w:t>
      </w:r>
    </w:p>
    <w:p>
      <w:pPr>
        <w:pStyle w:val="12"/>
        <w:ind w:left="1320"/>
        <w:rPr>
          <w:rFonts w:hint="eastAsia" w:ascii="仿宋" w:hAnsi="仿宋" w:eastAsia="仿宋" w:cs="仿宋"/>
          <w:b/>
          <w:bCs/>
          <w:sz w:val="24"/>
          <w:szCs w:val="24"/>
        </w:rPr>
      </w:pPr>
    </w:p>
    <w:p>
      <w:pPr>
        <w:rPr>
          <w:rFonts w:hint="eastAsia" w:ascii="仿宋" w:hAnsi="仿宋" w:eastAsia="仿宋" w:cs="仿宋"/>
        </w:rPr>
      </w:pPr>
    </w:p>
    <w:p>
      <w:pPr>
        <w:pStyle w:val="28"/>
        <w:pageBreakBefore/>
        <w:spacing w:afterLines="0" w:line="360" w:lineRule="auto"/>
        <w:rPr>
          <w:rFonts w:hint="eastAsia" w:ascii="仿宋" w:hAnsi="仿宋" w:eastAsia="仿宋" w:cs="仿宋"/>
          <w:color w:val="000000"/>
          <w:sz w:val="44"/>
          <w:szCs w:val="44"/>
        </w:rPr>
      </w:pPr>
      <w:bookmarkStart w:id="27" w:name="_Toc13123"/>
      <w:bookmarkStart w:id="28" w:name="_Toc11343"/>
      <w:bookmarkStart w:id="29" w:name="_Toc7450"/>
      <w:bookmarkStart w:id="30" w:name="_Toc10627"/>
      <w:bookmarkStart w:id="31" w:name="_Toc24762"/>
      <w:bookmarkStart w:id="32" w:name="_Toc26166"/>
      <w:r>
        <w:rPr>
          <w:rFonts w:hint="eastAsia" w:ascii="仿宋" w:hAnsi="仿宋" w:eastAsia="仿宋" w:cs="仿宋"/>
          <w:color w:val="000000"/>
          <w:sz w:val="44"/>
          <w:szCs w:val="44"/>
        </w:rPr>
        <w:t xml:space="preserve">第二章  </w:t>
      </w:r>
      <w:bookmarkEnd w:id="1"/>
      <w:bookmarkEnd w:id="2"/>
      <w:bookmarkEnd w:id="3"/>
      <w:bookmarkEnd w:id="4"/>
      <w:bookmarkEnd w:id="5"/>
      <w:bookmarkEnd w:id="24"/>
      <w:bookmarkStart w:id="33" w:name="_Toc20823274"/>
      <w:bookmarkStart w:id="34" w:name="_Toc120614213"/>
      <w:bookmarkStart w:id="35" w:name="_Toc16938518"/>
      <w:bookmarkStart w:id="36" w:name="_Toc513029202"/>
      <w:r>
        <w:rPr>
          <w:rFonts w:hint="eastAsia" w:ascii="仿宋" w:hAnsi="仿宋" w:eastAsia="仿宋" w:cs="仿宋"/>
          <w:color w:val="000000"/>
          <w:sz w:val="44"/>
          <w:szCs w:val="44"/>
        </w:rPr>
        <w:t>投标供应商须知</w:t>
      </w:r>
      <w:bookmarkEnd w:id="25"/>
      <w:bookmarkEnd w:id="26"/>
      <w:bookmarkEnd w:id="27"/>
      <w:bookmarkEnd w:id="28"/>
      <w:bookmarkEnd w:id="29"/>
      <w:bookmarkEnd w:id="30"/>
      <w:bookmarkEnd w:id="31"/>
      <w:bookmarkEnd w:id="32"/>
      <w:bookmarkEnd w:id="33"/>
      <w:bookmarkEnd w:id="34"/>
      <w:bookmarkEnd w:id="35"/>
      <w:bookmarkEnd w:id="36"/>
      <w:bookmarkStart w:id="37" w:name="_Toc479757207"/>
      <w:bookmarkStart w:id="38" w:name="_Toc324237147"/>
      <w:bookmarkStart w:id="39" w:name="_Toc20823314"/>
      <w:bookmarkStart w:id="40" w:name="_Toc120614221"/>
      <w:bookmarkStart w:id="41" w:name="_Toc16938558"/>
      <w:bookmarkStart w:id="42" w:name="_Toc513029242"/>
    </w:p>
    <w:p>
      <w:pPr>
        <w:spacing w:after="0" w:line="360" w:lineRule="auto"/>
        <w:rPr>
          <w:rFonts w:hint="eastAsia" w:ascii="仿宋" w:hAnsi="仿宋" w:eastAsia="仿宋" w:cs="仿宋"/>
          <w:b/>
          <w:bCs w:val="0"/>
          <w:sz w:val="28"/>
          <w:szCs w:val="28"/>
        </w:rPr>
      </w:pPr>
      <w:bookmarkStart w:id="43" w:name="_Toc31621"/>
      <w:bookmarkStart w:id="44" w:name="_Toc32676"/>
      <w:bookmarkStart w:id="45" w:name="_Toc31331"/>
      <w:bookmarkStart w:id="46" w:name="_Toc18913"/>
      <w:bookmarkStart w:id="47" w:name="_Toc6786"/>
      <w:r>
        <w:rPr>
          <w:rFonts w:hint="eastAsia" w:ascii="仿宋" w:hAnsi="仿宋" w:eastAsia="仿宋" w:cs="仿宋"/>
          <w:b/>
          <w:bCs w:val="0"/>
          <w:sz w:val="28"/>
          <w:szCs w:val="28"/>
        </w:rPr>
        <w:t>一、总则</w:t>
      </w:r>
      <w:bookmarkEnd w:id="43"/>
      <w:bookmarkEnd w:id="44"/>
      <w:bookmarkEnd w:id="45"/>
      <w:bookmarkEnd w:id="46"/>
      <w:bookmarkEnd w:id="47"/>
    </w:p>
    <w:p>
      <w:pPr>
        <w:spacing w:after="0" w:line="360" w:lineRule="auto"/>
        <w:ind w:firstLine="468" w:firstLineChars="195"/>
        <w:rPr>
          <w:rFonts w:hint="eastAsia" w:ascii="仿宋" w:hAnsi="仿宋" w:eastAsia="仿宋" w:cs="仿宋"/>
          <w:b/>
          <w:bCs/>
          <w:sz w:val="24"/>
          <w:szCs w:val="24"/>
          <w:u w:val="none"/>
          <w:lang w:val="en-US" w:eastAsia="zh-CN"/>
        </w:rPr>
      </w:pPr>
      <w:bookmarkStart w:id="48" w:name="_Toc453781876"/>
      <w:r>
        <w:rPr>
          <w:rFonts w:hint="eastAsia" w:ascii="仿宋" w:hAnsi="仿宋" w:eastAsia="仿宋" w:cs="仿宋"/>
          <w:b/>
          <w:bCs/>
          <w:sz w:val="24"/>
          <w:szCs w:val="24"/>
          <w:u w:val="none"/>
          <w:lang w:val="en-US" w:eastAsia="zh-CN"/>
        </w:rPr>
        <w:t>1、招标方式</w:t>
      </w:r>
      <w:bookmarkEnd w:id="48"/>
    </w:p>
    <w:p>
      <w:pPr>
        <w:spacing w:after="0" w:line="360" w:lineRule="auto"/>
        <w:ind w:firstLine="482"/>
        <w:rPr>
          <w:rFonts w:hint="eastAsia" w:ascii="仿宋" w:hAnsi="仿宋" w:eastAsia="仿宋" w:cs="仿宋"/>
        </w:rPr>
      </w:pPr>
      <w:r>
        <w:rPr>
          <w:rFonts w:hint="eastAsia" w:ascii="仿宋" w:hAnsi="仿宋" w:eastAsia="仿宋" w:cs="仿宋"/>
          <w:sz w:val="24"/>
          <w:szCs w:val="24"/>
        </w:rPr>
        <w:t>1.1 本次招标采取</w:t>
      </w:r>
      <w:r>
        <w:rPr>
          <w:rFonts w:hint="eastAsia" w:ascii="仿宋" w:hAnsi="仿宋" w:eastAsia="仿宋" w:cs="仿宋"/>
          <w:b/>
          <w:bCs/>
          <w:sz w:val="24"/>
          <w:szCs w:val="24"/>
        </w:rPr>
        <w:t>公开招标</w:t>
      </w:r>
      <w:r>
        <w:rPr>
          <w:rFonts w:hint="eastAsia" w:ascii="仿宋" w:hAnsi="仿宋" w:eastAsia="仿宋" w:cs="仿宋"/>
          <w:sz w:val="24"/>
          <w:szCs w:val="24"/>
        </w:rPr>
        <w:t>方式，本招标文件仅适用于</w:t>
      </w:r>
      <w:r>
        <w:rPr>
          <w:rFonts w:hint="eastAsia" w:ascii="仿宋" w:hAnsi="仿宋" w:eastAsia="仿宋" w:cs="仿宋"/>
          <w:b/>
          <w:bCs/>
          <w:sz w:val="24"/>
          <w:szCs w:val="24"/>
          <w:lang w:eastAsia="zh-CN"/>
        </w:rPr>
        <w:t xml:space="preserve">南京医科大学智能型荧光显微镜采购  </w:t>
      </w:r>
      <w:r>
        <w:rPr>
          <w:rFonts w:hint="eastAsia" w:ascii="仿宋" w:hAnsi="仿宋" w:eastAsia="仿宋" w:cs="仿宋"/>
          <w:sz w:val="24"/>
          <w:szCs w:val="24"/>
        </w:rPr>
        <w:t>。</w:t>
      </w:r>
    </w:p>
    <w:p>
      <w:pPr>
        <w:spacing w:after="0" w:line="360" w:lineRule="auto"/>
        <w:ind w:firstLine="468" w:firstLineChars="195"/>
        <w:rPr>
          <w:rFonts w:hint="eastAsia" w:ascii="仿宋" w:hAnsi="仿宋" w:eastAsia="仿宋" w:cs="仿宋"/>
          <w:b/>
          <w:bCs/>
          <w:sz w:val="24"/>
          <w:szCs w:val="24"/>
          <w:u w:val="none"/>
          <w:lang w:val="en-US" w:eastAsia="zh-CN"/>
        </w:rPr>
      </w:pPr>
      <w:bookmarkStart w:id="49" w:name="_Toc453781877"/>
      <w:r>
        <w:rPr>
          <w:rFonts w:hint="eastAsia" w:ascii="仿宋" w:hAnsi="仿宋" w:eastAsia="仿宋" w:cs="仿宋"/>
          <w:b/>
          <w:bCs/>
          <w:sz w:val="24"/>
          <w:szCs w:val="24"/>
          <w:u w:val="none"/>
          <w:lang w:val="en-US" w:eastAsia="zh-CN"/>
        </w:rPr>
        <w:t>2、合格的</w:t>
      </w:r>
      <w:bookmarkEnd w:id="49"/>
      <w:r>
        <w:rPr>
          <w:rFonts w:hint="eastAsia" w:ascii="仿宋" w:hAnsi="仿宋" w:eastAsia="仿宋" w:cs="仿宋"/>
          <w:b/>
          <w:bCs/>
          <w:sz w:val="24"/>
          <w:szCs w:val="24"/>
          <w:u w:val="none"/>
          <w:lang w:val="en-US" w:eastAsia="zh-CN"/>
        </w:rPr>
        <w:t>投标供应商</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2.1满足招标公告中投标供应商的资格要求的规定。</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满足本文件实质性条款的规定。</w:t>
      </w:r>
    </w:p>
    <w:p>
      <w:pPr>
        <w:spacing w:after="0" w:line="360" w:lineRule="auto"/>
        <w:ind w:firstLine="468" w:firstLineChars="195"/>
        <w:rPr>
          <w:rFonts w:hint="eastAsia" w:ascii="仿宋" w:hAnsi="仿宋" w:eastAsia="仿宋" w:cs="仿宋"/>
          <w:b/>
          <w:bCs/>
          <w:sz w:val="24"/>
          <w:szCs w:val="24"/>
          <w:u w:val="none"/>
          <w:lang w:val="en-US" w:eastAsia="zh-CN"/>
        </w:rPr>
      </w:pPr>
      <w:bookmarkStart w:id="50" w:name="_Toc453781878"/>
      <w:r>
        <w:rPr>
          <w:rFonts w:hint="eastAsia" w:ascii="仿宋" w:hAnsi="仿宋" w:eastAsia="仿宋" w:cs="仿宋"/>
          <w:b/>
          <w:bCs/>
          <w:sz w:val="24"/>
          <w:szCs w:val="24"/>
          <w:u w:val="none"/>
          <w:lang w:val="en-US" w:eastAsia="zh-CN"/>
        </w:rPr>
        <w:t>3、适用法律</w:t>
      </w:r>
      <w:bookmarkEnd w:id="50"/>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3.1 </w:t>
      </w:r>
      <w:r>
        <w:rPr>
          <w:rFonts w:hint="eastAsia" w:ascii="仿宋" w:hAnsi="仿宋" w:eastAsia="仿宋" w:cs="仿宋"/>
          <w:sz w:val="24"/>
          <w:szCs w:val="24"/>
          <w:lang w:val="zh-CN"/>
        </w:rPr>
        <w:t>《中华人民共和国政府采购法》、《中华人民共和国政府采购法实施条例》、《政府采购货物和服务招标投标管理办法》等有关法律、规章和规定等</w:t>
      </w:r>
    </w:p>
    <w:p>
      <w:pPr>
        <w:spacing w:after="0" w:line="360" w:lineRule="auto"/>
        <w:ind w:firstLine="468" w:firstLineChars="195"/>
        <w:rPr>
          <w:rFonts w:hint="eastAsia" w:ascii="仿宋" w:hAnsi="仿宋" w:eastAsia="仿宋" w:cs="仿宋"/>
          <w:b/>
          <w:bCs/>
          <w:sz w:val="24"/>
          <w:szCs w:val="24"/>
          <w:u w:val="none"/>
          <w:lang w:val="en-US" w:eastAsia="zh-CN"/>
        </w:rPr>
      </w:pPr>
      <w:bookmarkStart w:id="51" w:name="_Toc453781879"/>
      <w:r>
        <w:rPr>
          <w:rFonts w:hint="eastAsia" w:ascii="仿宋" w:hAnsi="仿宋" w:eastAsia="仿宋" w:cs="仿宋"/>
          <w:b/>
          <w:bCs/>
          <w:sz w:val="24"/>
          <w:szCs w:val="24"/>
          <w:u w:val="none"/>
          <w:lang w:val="en-US" w:eastAsia="zh-CN"/>
        </w:rPr>
        <w:t>4、投标费用</w:t>
      </w:r>
      <w:bookmarkEnd w:id="51"/>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投标供应商应自行承担所有与参加投标有关的费用，无论投标过程中的做法和结果如何，南京达琛鑫工程咨询有限公司（以下简称采购代理机构）在任何情况下均无义务和责任承担这些费用。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4.2本次招标收取</w:t>
      </w:r>
      <w:r>
        <w:rPr>
          <w:rFonts w:hint="eastAsia" w:ascii="仿宋" w:hAnsi="仿宋" w:eastAsia="仿宋" w:cs="仿宋"/>
          <w:sz w:val="24"/>
          <w:szCs w:val="24"/>
          <w:lang w:val="en-US" w:eastAsia="zh-CN"/>
        </w:rPr>
        <w:t>招标文件</w:t>
      </w:r>
      <w:r>
        <w:rPr>
          <w:rFonts w:hint="eastAsia" w:ascii="仿宋" w:hAnsi="仿宋" w:eastAsia="仿宋" w:cs="仿宋"/>
          <w:color w:val="000000"/>
          <w:sz w:val="24"/>
          <w:szCs w:val="24"/>
        </w:rPr>
        <w:t>费</w:t>
      </w:r>
      <w:r>
        <w:rPr>
          <w:rFonts w:hint="eastAsia" w:ascii="仿宋" w:hAnsi="仿宋" w:eastAsia="仿宋" w:cs="仿宋"/>
          <w:sz w:val="24"/>
          <w:szCs w:val="24"/>
        </w:rPr>
        <w:t>。</w:t>
      </w:r>
    </w:p>
    <w:p>
      <w:pPr>
        <w:spacing w:after="0" w:line="360" w:lineRule="auto"/>
        <w:ind w:firstLine="468" w:firstLineChars="195"/>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4.3代理服务费：本次招标代理服务费的收取参考原国家计委（计价格[2002]1980号）《招标代理服务收费管理暂行办法》费率*70%计算代理服务费，由中标人领取《中标通知书》时向招标代理机构缴纳。根据财库〔2018〕2号《政府招标代理机构管理暂</w:t>
      </w:r>
      <w:bookmarkStart w:id="343" w:name="_GoBack"/>
      <w:bookmarkEnd w:id="343"/>
      <w:r>
        <w:rPr>
          <w:rFonts w:hint="eastAsia" w:ascii="仿宋" w:hAnsi="仿宋" w:eastAsia="仿宋" w:cs="仿宋"/>
          <w:b w:val="0"/>
          <w:bCs w:val="0"/>
          <w:sz w:val="24"/>
          <w:szCs w:val="24"/>
          <w:u w:val="none"/>
          <w:lang w:val="en-US" w:eastAsia="zh-CN"/>
        </w:rPr>
        <w:t>行办法》第十五条之规定，中标人凭《中标通知书》与招标人签订合同。</w:t>
      </w:r>
    </w:p>
    <w:p>
      <w:pPr>
        <w:spacing w:after="0" w:line="360" w:lineRule="auto"/>
        <w:ind w:firstLine="468" w:firstLineChars="195"/>
        <w:rPr>
          <w:rFonts w:hint="eastAsia" w:ascii="仿宋" w:hAnsi="仿宋" w:eastAsia="仿宋" w:cs="仿宋"/>
          <w:b/>
          <w:bCs/>
          <w:sz w:val="24"/>
          <w:szCs w:val="24"/>
          <w:u w:val="none"/>
          <w:lang w:val="en-US" w:eastAsia="zh-CN"/>
        </w:rPr>
      </w:pPr>
      <w:bookmarkStart w:id="52" w:name="_Toc453781880"/>
      <w:r>
        <w:rPr>
          <w:rFonts w:hint="eastAsia" w:ascii="仿宋" w:hAnsi="仿宋" w:eastAsia="仿宋" w:cs="仿宋"/>
          <w:b/>
          <w:bCs/>
          <w:sz w:val="24"/>
          <w:szCs w:val="24"/>
          <w:u w:val="none"/>
          <w:lang w:val="en-US" w:eastAsia="zh-CN"/>
        </w:rPr>
        <w:t>5、招标文件的约束力</w:t>
      </w:r>
      <w:bookmarkEnd w:id="52"/>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投标供应商一旦参加本项目采购活动，即被认为接受了本招标文件的规定和约束</w:t>
      </w:r>
      <w:r>
        <w:rPr>
          <w:rFonts w:hint="eastAsia" w:ascii="仿宋" w:hAnsi="仿宋" w:eastAsia="仿宋" w:cs="仿宋"/>
          <w:bCs/>
          <w:sz w:val="24"/>
        </w:rPr>
        <w:t>，并且视为自招标公告期限届满之日起已经知道或应当知道自身权益是否受到了损害</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
          <w:bCs/>
          <w:sz w:val="24"/>
          <w:szCs w:val="24"/>
        </w:rPr>
        <w:t>6政策功能</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lang w:val="en-US" w:eastAsia="zh-CN"/>
        </w:rPr>
        <w:t>1</w:t>
      </w:r>
      <w:r>
        <w:rPr>
          <w:rFonts w:hint="eastAsia" w:ascii="仿宋" w:hAnsi="仿宋" w:eastAsia="仿宋" w:cs="仿宋"/>
          <w:bCs/>
          <w:sz w:val="24"/>
        </w:rPr>
        <w:t>节能产品政策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根据《财政部、发展改革委、生态环境部、市场监管总局关于调整优化节能产品、环境标志产品政府采购执行机制的通知》（财库〔2019〕9号）和《财政部、发展改革委关于印发节能产品政府采购品目清单的通知》（财库〔2019〕19号）， 拟采购的产品属于节能产品品目清单范围内的，在技术、服务等指标同等条件下，采购人及其委托的采购代理机构将依据国家确定的认证机构出具的、处于有效期之内的节能产品认证证书，对获得证书的产品实施政府优先采购或强制采购。</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（2）参加政府采购活动的节能产品投标供应商应当提供国家确定的认证机构出具的、处于有效期之内的节能产品产品认证证书。</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6.3环境标志产品政策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根据《财政部、发展改革委、生态环境部、市场监管总局关于调整优化节能产品、环境标志产品政府采购执行机制的通知》（财库〔2019〕9号）和《财政部、生态环境部关于印发环境标志产品政府采购品目清单的通知》（财库〔2019〕18号）， 拟采购的产品属于环境标志产品品目清单范围内的，在技术、服务等指标同等条件下，采购人及其委托的采购代理机构将依据国家确定的认证机构出具的、处于有效期之内的环境标志产品认证证书，对获得证书的产品实施政府优先采购或强制采购。</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（2）参加政府采购活动的环境标志产品投标供应商应当提供国家确定的认证机构出具的、处于有效期之内的环境标志产品认证证书。</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6.4进口产品政策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（1）除招标公告载明接受进口产品参加外，不允许进口产品参加。进口产品认定依照《财政部关于政府采购进口产品管理有关问题的通知》（财办库〔2008〕248号）的规定。</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（2）允许进口产品参加的，满足需求的国内产品可以参加。</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（3）允许进口产品参加的，优先采购向我国企业转让技术、与我国企业签订消化吸收再创新方案的投标供应商的进口产品。</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6.5未按要求提供相关材料的，不享受相关政策。</w:t>
      </w:r>
    </w:p>
    <w:p>
      <w:pPr>
        <w:spacing w:after="0" w:line="360" w:lineRule="auto"/>
        <w:rPr>
          <w:rFonts w:hint="eastAsia" w:ascii="仿宋" w:hAnsi="仿宋" w:eastAsia="仿宋" w:cs="仿宋"/>
          <w:b/>
          <w:bCs w:val="0"/>
          <w:sz w:val="28"/>
          <w:szCs w:val="28"/>
        </w:rPr>
      </w:pPr>
      <w:bookmarkStart w:id="53" w:name="_Toc11944"/>
      <w:bookmarkStart w:id="54" w:name="_Toc22717"/>
      <w:bookmarkStart w:id="55" w:name="_Toc453781881"/>
      <w:bookmarkStart w:id="56" w:name="_Toc31566"/>
      <w:bookmarkStart w:id="57" w:name="_Toc14001"/>
      <w:bookmarkStart w:id="58" w:name="_Toc444669972"/>
      <w:bookmarkStart w:id="59" w:name="_Toc22638"/>
      <w:bookmarkStart w:id="60" w:name="_Toc13732"/>
      <w:bookmarkStart w:id="61" w:name="_Toc19579"/>
      <w:r>
        <w:rPr>
          <w:rFonts w:hint="eastAsia" w:ascii="仿宋" w:hAnsi="仿宋" w:eastAsia="仿宋" w:cs="仿宋"/>
          <w:b/>
          <w:bCs w:val="0"/>
          <w:sz w:val="28"/>
          <w:szCs w:val="28"/>
        </w:rPr>
        <w:t>二、招标文件</w:t>
      </w:r>
      <w:bookmarkEnd w:id="53"/>
      <w:bookmarkEnd w:id="54"/>
      <w:bookmarkEnd w:id="55"/>
      <w:bookmarkEnd w:id="56"/>
      <w:bookmarkEnd w:id="57"/>
      <w:bookmarkEnd w:id="58"/>
      <w:bookmarkEnd w:id="59"/>
      <w:bookmarkEnd w:id="60"/>
      <w:bookmarkEnd w:id="61"/>
    </w:p>
    <w:p>
      <w:pPr>
        <w:spacing w:after="0" w:line="360" w:lineRule="auto"/>
        <w:ind w:firstLine="468" w:firstLineChars="195"/>
        <w:rPr>
          <w:rFonts w:hint="eastAsia" w:ascii="仿宋" w:hAnsi="仿宋" w:eastAsia="仿宋" w:cs="仿宋"/>
          <w:b/>
          <w:bCs/>
          <w:sz w:val="24"/>
          <w:szCs w:val="24"/>
          <w:u w:val="none"/>
          <w:lang w:val="en-US" w:eastAsia="zh-CN"/>
        </w:rPr>
      </w:pPr>
      <w:bookmarkStart w:id="62" w:name="_Toc453781882"/>
      <w:r>
        <w:rPr>
          <w:rFonts w:hint="eastAsia" w:ascii="仿宋" w:hAnsi="仿宋" w:eastAsia="仿宋" w:cs="仿宋"/>
          <w:b/>
          <w:bCs/>
          <w:sz w:val="24"/>
          <w:szCs w:val="24"/>
          <w:u w:val="none"/>
          <w:lang w:val="en-US" w:eastAsia="zh-CN"/>
        </w:rPr>
        <w:t>7、招标文件构成</w:t>
      </w:r>
      <w:bookmarkEnd w:id="62"/>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招标文件有以下部分组成：</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w:t>
      </w:r>
      <w:r>
        <w:rPr>
          <w:rFonts w:hint="eastAsia" w:ascii="仿宋" w:hAnsi="仿宋" w:eastAsia="仿宋" w:cs="仿宋"/>
          <w:sz w:val="24"/>
          <w:szCs w:val="24"/>
        </w:rPr>
        <w:t>邀请</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（2）投标供应商须知</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（3）合同条款及格式</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（4）项目需求</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（5）评标方法与评标标准</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（6）投标文件格式</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请仔细检查招标文件是否齐全，如有缺漏请立即与采购代理机构联系解决。</w:t>
      </w:r>
    </w:p>
    <w:p>
      <w:pPr>
        <w:spacing w:after="0" w:line="360" w:lineRule="auto"/>
        <w:ind w:firstLine="480" w:firstLineChars="200"/>
        <w:rPr>
          <w:rFonts w:hint="eastAsia" w:ascii="仿宋" w:hAnsi="仿宋" w:eastAsia="仿宋" w:cs="仿宋"/>
          <w:sz w:val="24"/>
          <w:szCs w:val="24"/>
        </w:rPr>
      </w:pPr>
      <w:bookmarkStart w:id="63" w:name="_Toc453781884"/>
      <w:r>
        <w:rPr>
          <w:rFonts w:hint="eastAsia" w:ascii="仿宋" w:hAnsi="仿宋" w:eastAsia="仿宋" w:cs="仿宋"/>
          <w:sz w:val="24"/>
          <w:szCs w:val="24"/>
        </w:rPr>
        <w:t>7.2 投标供应商应认真阅读招标文件中所有的事项、格式、条款和规范等要求。按招标文件要求和规定编制投标文件，并保证所提供的全部资料的真实性，以使其投标文件对招标文件作出实质性响应，否则其风险由投标供应商自行承担。</w:t>
      </w:r>
    </w:p>
    <w:p>
      <w:pPr>
        <w:spacing w:after="0" w:line="360" w:lineRule="auto"/>
        <w:ind w:firstLine="468" w:firstLineChars="195"/>
        <w:rPr>
          <w:rFonts w:hint="eastAsia" w:ascii="仿宋" w:hAnsi="仿宋" w:eastAsia="仿宋" w:cs="仿宋"/>
          <w:b/>
          <w:bCs/>
          <w:sz w:val="24"/>
          <w:szCs w:val="24"/>
          <w:u w:val="none"/>
          <w:lang w:val="en-US" w:eastAsia="zh-CN"/>
        </w:rPr>
      </w:pPr>
      <w:bookmarkStart w:id="64" w:name="_Toc453781883"/>
      <w:r>
        <w:rPr>
          <w:rFonts w:hint="eastAsia" w:ascii="仿宋" w:hAnsi="仿宋" w:eastAsia="仿宋" w:cs="仿宋"/>
          <w:b/>
          <w:bCs/>
          <w:sz w:val="24"/>
          <w:szCs w:val="24"/>
          <w:u w:val="none"/>
          <w:lang w:val="en-US" w:eastAsia="zh-CN"/>
        </w:rPr>
        <w:t>8、招标文件的澄清</w:t>
      </w:r>
      <w:bookmarkEnd w:id="64"/>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 任何要求对招标文件进行澄清的投标供应商，应在投标截止期十五日前按招标公告中的通讯地址，以书面形式通知采购代理机构。</w:t>
      </w:r>
    </w:p>
    <w:p>
      <w:pPr>
        <w:spacing w:after="0" w:line="360" w:lineRule="auto"/>
        <w:ind w:firstLine="468" w:firstLineChars="195"/>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9、招标文件的修改</w:t>
      </w:r>
      <w:bookmarkEnd w:id="63"/>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 在投标截止时间前，招标代理机构可以书面形式修改招标文件，并通知所有已购买招标文件的投标供应商。如果修改招标文件的修改时间距投标截止时间不足 15 天，且招标文件的修改内容可能影响投标文件编制的，招标代理机构应相应延长投标截止时间，以使修改文件发出时间距投标截止时间至少为15天。</w:t>
      </w:r>
    </w:p>
    <w:p>
      <w:pPr>
        <w:spacing w:after="0" w:line="360" w:lineRule="auto"/>
        <w:ind w:firstLine="480" w:firstLineChars="200"/>
        <w:rPr>
          <w:rFonts w:hint="eastAsia" w:ascii="仿宋" w:hAnsi="仿宋" w:eastAsia="仿宋" w:cs="仿宋"/>
          <w:sz w:val="24"/>
          <w:szCs w:val="24"/>
        </w:rPr>
      </w:pPr>
      <w:bookmarkStart w:id="65" w:name="_Toc15906"/>
      <w:bookmarkStart w:id="66" w:name="_Toc8662"/>
      <w:bookmarkStart w:id="67" w:name="_Toc15128"/>
      <w:bookmarkStart w:id="68" w:name="_Toc26708"/>
      <w:bookmarkStart w:id="69" w:name="_Toc453781885"/>
      <w:bookmarkStart w:id="70" w:name="_Toc28908"/>
      <w:bookmarkStart w:id="71" w:name="_Toc444669973"/>
      <w:r>
        <w:rPr>
          <w:rFonts w:hint="eastAsia" w:ascii="仿宋" w:hAnsi="仿宋" w:eastAsia="仿宋" w:cs="仿宋"/>
          <w:sz w:val="24"/>
          <w:szCs w:val="24"/>
        </w:rPr>
        <w:t>9.2招标代理机构有权按照法定的要求推迟投标截止日期和开标日期，并在原采购信息发布媒体上发布变更公告。供应商应在投标截止时间前关注原采购信息发布媒体上有关本招标项目有无变更公告。</w:t>
      </w:r>
      <w:bookmarkEnd w:id="65"/>
      <w:bookmarkEnd w:id="66"/>
    </w:p>
    <w:p>
      <w:pPr>
        <w:spacing w:after="0" w:line="360" w:lineRule="auto"/>
        <w:ind w:firstLine="480" w:firstLineChars="200"/>
        <w:rPr>
          <w:rFonts w:hint="eastAsia" w:ascii="仿宋" w:hAnsi="仿宋" w:eastAsia="仿宋" w:cs="仿宋"/>
          <w:sz w:val="24"/>
          <w:szCs w:val="24"/>
        </w:rPr>
      </w:pPr>
      <w:bookmarkStart w:id="72" w:name="_Toc9045"/>
      <w:bookmarkStart w:id="73" w:name="_Toc1253"/>
      <w:r>
        <w:rPr>
          <w:rFonts w:hint="eastAsia" w:ascii="仿宋" w:hAnsi="仿宋" w:eastAsia="仿宋" w:cs="仿宋"/>
          <w:sz w:val="24"/>
          <w:szCs w:val="24"/>
        </w:rPr>
        <w:t>9.3招标文件的修改将在</w:t>
      </w:r>
      <w:r>
        <w:rPr>
          <w:rFonts w:hint="eastAsia" w:ascii="仿宋" w:hAnsi="仿宋" w:eastAsia="仿宋" w:cs="仿宋"/>
          <w:bCs/>
          <w:sz w:val="24"/>
          <w:szCs w:val="24"/>
        </w:rPr>
        <w:t>“</w:t>
      </w:r>
      <w:r>
        <w:rPr>
          <w:rFonts w:hint="eastAsia" w:ascii="仿宋" w:hAnsi="仿宋" w:eastAsia="仿宋" w:cs="仿宋"/>
          <w:bCs w:val="0"/>
          <w:sz w:val="24"/>
          <w:highlight w:val="none"/>
          <w:lang w:eastAsia="zh-CN"/>
        </w:rPr>
        <w:t>南京医科大学官网（https://www.njmu.edu.cn/）</w:t>
      </w:r>
      <w:r>
        <w:rPr>
          <w:rFonts w:hint="eastAsia" w:ascii="仿宋" w:hAnsi="仿宋" w:eastAsia="仿宋" w:cs="仿宋"/>
          <w:bCs/>
          <w:sz w:val="24"/>
          <w:szCs w:val="24"/>
        </w:rPr>
        <w:t>”</w:t>
      </w:r>
      <w:r>
        <w:rPr>
          <w:rFonts w:hint="eastAsia" w:ascii="仿宋" w:hAnsi="仿宋" w:eastAsia="仿宋" w:cs="仿宋"/>
          <w:sz w:val="24"/>
          <w:szCs w:val="24"/>
        </w:rPr>
        <w:t>，补充文件将作为招标文件的组成部分，并对投标人具有约束力。</w:t>
      </w:r>
      <w:bookmarkEnd w:id="72"/>
      <w:bookmarkEnd w:id="73"/>
    </w:p>
    <w:p>
      <w:pPr>
        <w:spacing w:after="0" w:line="360" w:lineRule="auto"/>
        <w:rPr>
          <w:rFonts w:hint="eastAsia" w:ascii="仿宋" w:hAnsi="仿宋" w:eastAsia="仿宋" w:cs="仿宋"/>
          <w:b/>
          <w:bCs w:val="0"/>
          <w:sz w:val="28"/>
          <w:szCs w:val="28"/>
        </w:rPr>
      </w:pPr>
      <w:bookmarkStart w:id="74" w:name="_Toc6281"/>
      <w:bookmarkStart w:id="75" w:name="_Toc24579"/>
      <w:bookmarkStart w:id="76" w:name="_Toc29742"/>
      <w:bookmarkStart w:id="77" w:name="_Toc23382"/>
      <w:r>
        <w:rPr>
          <w:rFonts w:hint="eastAsia" w:ascii="仿宋" w:hAnsi="仿宋" w:eastAsia="仿宋" w:cs="仿宋"/>
          <w:b/>
          <w:bCs w:val="0"/>
          <w:sz w:val="28"/>
          <w:szCs w:val="28"/>
          <w:lang w:eastAsia="zh-CN"/>
        </w:rPr>
        <w:t>三、</w:t>
      </w:r>
      <w:r>
        <w:rPr>
          <w:rFonts w:hint="eastAsia" w:ascii="仿宋" w:hAnsi="仿宋" w:eastAsia="仿宋" w:cs="仿宋"/>
          <w:b/>
          <w:bCs w:val="0"/>
          <w:sz w:val="28"/>
          <w:szCs w:val="28"/>
        </w:rPr>
        <w:t>投标文件的编制</w:t>
      </w:r>
      <w:bookmarkEnd w:id="67"/>
      <w:bookmarkEnd w:id="68"/>
      <w:bookmarkEnd w:id="69"/>
      <w:bookmarkEnd w:id="70"/>
      <w:bookmarkEnd w:id="71"/>
      <w:bookmarkEnd w:id="74"/>
      <w:bookmarkEnd w:id="75"/>
      <w:bookmarkEnd w:id="76"/>
      <w:bookmarkEnd w:id="77"/>
    </w:p>
    <w:p>
      <w:pPr>
        <w:spacing w:after="0" w:line="360" w:lineRule="auto"/>
        <w:ind w:firstLine="468" w:firstLineChars="195"/>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10、投标文件的语言及度量衡单位</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 投标供应商提交的投标文件以及投标供应商与采购代理机构就有关投标的所有来往通知、函件和文件均应使用</w:t>
      </w:r>
      <w:r>
        <w:rPr>
          <w:rFonts w:hint="eastAsia" w:ascii="仿宋" w:hAnsi="仿宋" w:eastAsia="仿宋" w:cs="仿宋"/>
          <w:b/>
          <w:bCs/>
          <w:sz w:val="24"/>
          <w:szCs w:val="24"/>
        </w:rPr>
        <w:t>简体中文</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 除技术性能另有规定外，投标文件所使用的度量衡单位，均须采用国家法定计量单位。</w:t>
      </w:r>
    </w:p>
    <w:p>
      <w:pPr>
        <w:spacing w:after="0" w:line="360" w:lineRule="auto"/>
        <w:ind w:firstLine="480" w:firstLineChars="200"/>
        <w:rPr>
          <w:rFonts w:hint="eastAsia" w:ascii="仿宋" w:hAnsi="仿宋" w:eastAsia="仿宋" w:cs="仿宋"/>
          <w:b/>
          <w:bCs/>
          <w:i/>
          <w:iCs/>
          <w:sz w:val="24"/>
          <w:szCs w:val="24"/>
          <w:u w:val="single"/>
        </w:rPr>
      </w:pPr>
      <w:r>
        <w:rPr>
          <w:rFonts w:hint="eastAsia" w:ascii="仿宋" w:hAnsi="仿宋" w:eastAsia="仿宋" w:cs="仿宋"/>
          <w:sz w:val="24"/>
          <w:szCs w:val="24"/>
        </w:rPr>
        <w:t>10.3 投标文件由商务部分、技术部分、价格部分，以及其他部分组成。投标供应商编写的投标文件应包括资信证明文件、投标配置与分项报价表、供货一览表、</w:t>
      </w:r>
      <w:r>
        <w:rPr>
          <w:rFonts w:hint="eastAsia" w:ascii="仿宋" w:hAnsi="仿宋" w:eastAsia="仿宋" w:cs="仿宋"/>
          <w:sz w:val="24"/>
          <w:szCs w:val="24"/>
          <w:lang w:eastAsia="zh-CN"/>
        </w:rPr>
        <w:t>技术条款偏离表</w:t>
      </w:r>
      <w:r>
        <w:rPr>
          <w:rFonts w:hint="eastAsia" w:ascii="仿宋" w:hAnsi="仿宋" w:eastAsia="仿宋" w:cs="仿宋"/>
          <w:sz w:val="24"/>
          <w:szCs w:val="24"/>
        </w:rPr>
        <w:t>、</w:t>
      </w:r>
      <w:r>
        <w:rPr>
          <w:rFonts w:hint="eastAsia" w:ascii="仿宋" w:hAnsi="仿宋" w:eastAsia="仿宋" w:cs="仿宋"/>
          <w:sz w:val="24"/>
          <w:szCs w:val="24"/>
          <w:lang w:eastAsia="zh-CN"/>
        </w:rPr>
        <w:t>商务条款偏离表</w:t>
      </w:r>
      <w:r>
        <w:rPr>
          <w:rFonts w:hint="eastAsia" w:ascii="仿宋" w:hAnsi="仿宋" w:eastAsia="仿宋" w:cs="仿宋"/>
          <w:sz w:val="24"/>
          <w:szCs w:val="24"/>
        </w:rPr>
        <w:t>、技术及售后服务承诺书、投标函、</w:t>
      </w:r>
      <w:r>
        <w:rPr>
          <w:rFonts w:hint="eastAsia" w:ascii="仿宋" w:hAnsi="仿宋" w:eastAsia="仿宋" w:cs="仿宋"/>
          <w:sz w:val="24"/>
          <w:szCs w:val="24"/>
          <w:lang w:eastAsia="zh-CN"/>
        </w:rPr>
        <w:t>报价一览表</w:t>
      </w:r>
      <w:r>
        <w:rPr>
          <w:rFonts w:hint="eastAsia" w:ascii="仿宋" w:hAnsi="仿宋" w:eastAsia="仿宋" w:cs="仿宋"/>
          <w:sz w:val="24"/>
          <w:szCs w:val="24"/>
        </w:rPr>
        <w:t>等部分；供应商应当根据招标文件要求编制投标文件，投标文件应对招标文件提出的要求和条件作出实质性响应，并在《商务条款偏离表》和《技术条款偏离表》等处逐条标明满足与否。</w:t>
      </w:r>
      <w:r>
        <w:rPr>
          <w:rFonts w:hint="eastAsia" w:ascii="仿宋" w:hAnsi="仿宋" w:eastAsia="仿宋" w:cs="仿宋"/>
          <w:b/>
          <w:bCs/>
          <w:i/>
          <w:iCs/>
          <w:sz w:val="24"/>
          <w:szCs w:val="24"/>
          <w:u w:val="single"/>
        </w:rPr>
        <w:t>对带星号（“</w:t>
      </w:r>
      <w:r>
        <w:rPr>
          <w:rFonts w:hint="eastAsia" w:ascii="仿宋" w:hAnsi="仿宋" w:eastAsia="仿宋" w:cs="仿宋"/>
          <w:b/>
          <w:bCs/>
          <w:i/>
          <w:iCs/>
          <w:sz w:val="24"/>
          <w:szCs w:val="24"/>
          <w:u w:val="single"/>
          <w:lang w:eastAsia="zh-CN"/>
        </w:rPr>
        <w:t>★</w:t>
      </w:r>
      <w:r>
        <w:rPr>
          <w:rFonts w:hint="eastAsia" w:ascii="仿宋" w:hAnsi="仿宋" w:eastAsia="仿宋" w:cs="仿宋"/>
          <w:b/>
          <w:bCs/>
          <w:i/>
          <w:iCs/>
          <w:sz w:val="24"/>
          <w:szCs w:val="24"/>
          <w:u w:val="single"/>
        </w:rPr>
        <w:t>”）的技术条款必须在投标文件中提供技术支持资料（如白皮书、彩页、手册、检测报告等），未提供技术支持资料的，评审时做负偏离处理。</w:t>
      </w:r>
    </w:p>
    <w:p>
      <w:pPr>
        <w:spacing w:after="0"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注：投标文件的商务部分</w:t>
      </w:r>
    </w:p>
    <w:p>
      <w:pPr>
        <w:spacing w:after="0"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商务部分是证明供应商有资格参加投标和中标后有能力履行合同的文件，这些文件应能满足招标的要求，包括但不限于下列文件，</w:t>
      </w:r>
      <w:r>
        <w:rPr>
          <w:rFonts w:hint="eastAsia" w:ascii="仿宋" w:hAnsi="仿宋" w:eastAsia="仿宋" w:cs="仿宋"/>
          <w:b/>
          <w:bCs/>
          <w:sz w:val="24"/>
          <w:szCs w:val="24"/>
        </w:rPr>
        <w:t>其中加※项不得有缺失或无效。</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投标函（投标申请及声明）</w:t>
      </w:r>
      <w:r>
        <w:rPr>
          <w:rFonts w:hint="eastAsia" w:ascii="仿宋" w:hAnsi="仿宋" w:eastAsia="仿宋" w:cs="仿宋"/>
          <w:sz w:val="24"/>
          <w:szCs w:val="24"/>
          <w:highlight w:val="none"/>
        </w:rPr>
        <w:t>（格式见附件）</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法定代表人授权委托书及委托代理人的身份证复印件</w:t>
      </w:r>
      <w:r>
        <w:rPr>
          <w:rFonts w:hint="eastAsia" w:ascii="仿宋" w:hAnsi="仿宋" w:eastAsia="仿宋" w:cs="仿宋"/>
          <w:sz w:val="24"/>
          <w:szCs w:val="24"/>
          <w:highlight w:val="none"/>
        </w:rPr>
        <w:t>（格式见附件）</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报价</w:t>
      </w:r>
      <w:r>
        <w:rPr>
          <w:rFonts w:hint="eastAsia" w:ascii="仿宋" w:hAnsi="仿宋" w:eastAsia="仿宋" w:cs="仿宋"/>
          <w:sz w:val="24"/>
          <w:szCs w:val="24"/>
        </w:rPr>
        <w:t>一览表》；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）※《报价明细表》；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）※第一章</w:t>
      </w:r>
      <w:r>
        <w:rPr>
          <w:rFonts w:hint="eastAsia" w:ascii="仿宋" w:hAnsi="仿宋" w:eastAsia="仿宋" w:cs="仿宋"/>
          <w:sz w:val="24"/>
          <w:szCs w:val="24"/>
          <w:lang w:eastAsia="zh-CN"/>
        </w:rPr>
        <w:t>投标</w:t>
      </w:r>
      <w:r>
        <w:rPr>
          <w:rFonts w:hint="eastAsia" w:ascii="仿宋" w:hAnsi="仿宋" w:eastAsia="仿宋" w:cs="仿宋"/>
          <w:sz w:val="24"/>
          <w:szCs w:val="24"/>
        </w:rPr>
        <w:t>邀请中《中华人民共和国政府采购法》规定的资格条件证明文件；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）※第一章</w:t>
      </w:r>
      <w:r>
        <w:rPr>
          <w:rFonts w:hint="eastAsia" w:ascii="仿宋" w:hAnsi="仿宋" w:eastAsia="仿宋" w:cs="仿宋"/>
          <w:sz w:val="24"/>
          <w:szCs w:val="24"/>
          <w:lang w:eastAsia="zh-CN"/>
        </w:rPr>
        <w:t>投标</w:t>
      </w:r>
      <w:r>
        <w:rPr>
          <w:rFonts w:hint="eastAsia" w:ascii="仿宋" w:hAnsi="仿宋" w:eastAsia="仿宋" w:cs="仿宋"/>
          <w:sz w:val="24"/>
          <w:szCs w:val="24"/>
        </w:rPr>
        <w:t>邀请中采购人根据采购项目的特殊要求规定的特定条件证明文件；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）《商务条款偏离表》；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）供应商认为需要提供的其他资格证明文件和商务资料等。</w:t>
      </w:r>
    </w:p>
    <w:p>
      <w:pPr>
        <w:spacing w:after="0"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投标文件的技术部分</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技术部分是证明供应商提供的产品和服务是合格的、并符合招标文件要求的证明文件，以及对投标报价表中的服务的详细说明，这些文件可以是文字资料、图纸和数据等。若技术性能无特殊说明，则按国家有关部门最新颁布的标准及规范为准； 提供的服务如与招标文件要求有不符之处，应说明其差别之所在，并在《技术条款偏离表》中逐条予以说明。</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投标文件应按照招标文件要求提供技术资料、文件和有关证明，包括但不限于下列文件，</w:t>
      </w:r>
      <w:r>
        <w:rPr>
          <w:rFonts w:hint="eastAsia" w:ascii="仿宋" w:hAnsi="仿宋" w:eastAsia="仿宋" w:cs="仿宋"/>
          <w:b/>
          <w:bCs/>
          <w:sz w:val="24"/>
          <w:szCs w:val="24"/>
        </w:rPr>
        <w:t>其中加※项不得有缺失或无效</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（1）※货物品牌、型号、材质、主要技术（服务）指标和性能、制造商、生产企业名称等详细说明；</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）※《技术条款偏离表》；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）货物安装、验收标准、货物技术资料；</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）项目技术说明和实施方案；</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）服务承诺；</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）供应商认为需要提供的其他技术资料。</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10.4 投标供应商应将投标文件按顺序装订成册，并编制投标文件资料目录。</w:t>
      </w:r>
    </w:p>
    <w:p>
      <w:pPr>
        <w:spacing w:after="0" w:line="360" w:lineRule="auto"/>
        <w:ind w:firstLine="468" w:firstLineChars="195"/>
        <w:rPr>
          <w:rFonts w:hint="eastAsia" w:ascii="仿宋" w:hAnsi="仿宋" w:eastAsia="仿宋" w:cs="仿宋"/>
          <w:b/>
          <w:bCs/>
          <w:sz w:val="24"/>
          <w:szCs w:val="24"/>
          <w:u w:val="none"/>
          <w:lang w:val="en-US" w:eastAsia="zh-CN"/>
        </w:rPr>
      </w:pPr>
      <w:bookmarkStart w:id="78" w:name="_Toc453781888"/>
      <w:r>
        <w:rPr>
          <w:rFonts w:hint="eastAsia" w:ascii="仿宋" w:hAnsi="仿宋" w:eastAsia="仿宋" w:cs="仿宋"/>
          <w:b/>
          <w:bCs/>
          <w:sz w:val="24"/>
          <w:szCs w:val="24"/>
          <w:u w:val="none"/>
          <w:lang w:val="en-US" w:eastAsia="zh-CN"/>
        </w:rPr>
        <w:t>11、证明投标供应商资格及符合招标文件规定的文件</w:t>
      </w:r>
      <w:bookmarkEnd w:id="78"/>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11.1投标供应商应按要求提交资格证明文件及符合招标文件规定的文件。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11.2投标供应商应提交证明其有资格参加投标和中标后有能力独立履行合同的文件。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11.3投标供应商除必须具有履行合同所需提供的货物以及服务的能力外，还必须具备相应的财务、技术方面的能力。</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11.4投标供应商应提交根据合同要求提供的证明产品质量合格以及符合招标文件规定的证明文件。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11.5证明投标供应商所提供货物与招标文件的要求相一致的文件可以是手册、图纸、文字资料和数据。</w:t>
      </w:r>
    </w:p>
    <w:p>
      <w:pPr>
        <w:spacing w:after="0" w:line="360" w:lineRule="auto"/>
        <w:ind w:firstLine="468" w:firstLineChars="195"/>
        <w:rPr>
          <w:rFonts w:hint="eastAsia" w:ascii="仿宋" w:hAnsi="仿宋" w:eastAsia="仿宋" w:cs="仿宋"/>
          <w:b/>
          <w:bCs/>
          <w:sz w:val="24"/>
          <w:szCs w:val="24"/>
          <w:u w:val="none"/>
          <w:lang w:val="en-US" w:eastAsia="zh-CN"/>
        </w:rPr>
      </w:pPr>
      <w:bookmarkStart w:id="79" w:name="_Toc453781889"/>
      <w:r>
        <w:rPr>
          <w:rFonts w:hint="eastAsia" w:ascii="仿宋" w:hAnsi="仿宋" w:eastAsia="仿宋" w:cs="仿宋"/>
          <w:b/>
          <w:bCs/>
          <w:sz w:val="24"/>
          <w:szCs w:val="24"/>
          <w:u w:val="none"/>
          <w:lang w:val="en-US" w:eastAsia="zh-CN"/>
        </w:rPr>
        <w:t>12、</w:t>
      </w:r>
      <w:bookmarkEnd w:id="79"/>
      <w:r>
        <w:rPr>
          <w:rFonts w:hint="eastAsia" w:ascii="仿宋" w:hAnsi="仿宋" w:eastAsia="仿宋" w:cs="仿宋"/>
          <w:b/>
          <w:bCs/>
          <w:sz w:val="24"/>
          <w:szCs w:val="24"/>
          <w:u w:val="none"/>
          <w:lang w:val="en-US" w:eastAsia="zh-CN"/>
        </w:rPr>
        <w:t>投标报价、报价一览表和投标配置与分项报价表</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12.1 投标人应按照招标文件规定格式填报报价一览表、投标配置与分项报价表，在表中标明所提供的每一项服务。每项服务只允许有一个报价，任何有选择的报价将不予接受(如有备选配件，备选配件的报价不属于选择的报价)。</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12.2 标的物</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详见第四章项目需求。</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12.3</w:t>
      </w:r>
      <w:r>
        <w:rPr>
          <w:rFonts w:hint="eastAsia" w:ascii="仿宋" w:hAnsi="仿宋" w:eastAsia="仿宋" w:cs="仿宋"/>
          <w:sz w:val="24"/>
          <w:szCs w:val="24"/>
        </w:rPr>
        <w:t xml:space="preserve"> </w:t>
      </w:r>
      <w:r>
        <w:rPr>
          <w:rFonts w:hint="eastAsia" w:ascii="仿宋" w:hAnsi="仿宋" w:eastAsia="仿宋" w:cs="仿宋"/>
          <w:sz w:val="24"/>
          <w:szCs w:val="24"/>
          <w:lang w:val="zh-CN"/>
        </w:rPr>
        <w:t>有关费用处理</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投标报价采用总承包方式，投标人的报价应包含货物设计、制造、包装、仓储、运输装缷、保险、安装、调试及其材料及验收合格之前保管及运行维护费用、保修期内备品备件、专用工具、伴随服务、技术图纸资料、人员培训发生的所有含税费用、支付给员工的工资和国家强制缴纳的各种社会保障资金，国际国内运输保险、报关清关、开证、办理全套免税手续费及其他（因中美贸易战或其他不可控因素导致的关税增加）等为完成本项目发生的所有费用，招标文件中另有规定的除外。</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12.4</w:t>
      </w:r>
      <w:r>
        <w:rPr>
          <w:rFonts w:hint="eastAsia" w:ascii="仿宋" w:hAnsi="仿宋" w:eastAsia="仿宋" w:cs="仿宋"/>
          <w:sz w:val="24"/>
          <w:szCs w:val="24"/>
        </w:rPr>
        <w:t xml:space="preserve"> </w:t>
      </w:r>
      <w:r>
        <w:rPr>
          <w:rFonts w:hint="eastAsia" w:ascii="仿宋" w:hAnsi="仿宋" w:eastAsia="仿宋" w:cs="仿宋"/>
          <w:sz w:val="24"/>
          <w:szCs w:val="24"/>
          <w:lang w:val="zh-CN"/>
        </w:rPr>
        <w:t>其它费用处理</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招标文件未列明，而投标供应商认为需要的其他有关的为完成本项目发生的所有必需的费用也须列入报价。</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12.5</w:t>
      </w:r>
      <w:r>
        <w:rPr>
          <w:rFonts w:hint="eastAsia" w:ascii="仿宋" w:hAnsi="仿宋" w:eastAsia="仿宋" w:cs="仿宋"/>
          <w:sz w:val="24"/>
          <w:szCs w:val="24"/>
        </w:rPr>
        <w:t xml:space="preserve"> </w:t>
      </w:r>
      <w:r>
        <w:rPr>
          <w:rFonts w:hint="eastAsia" w:ascii="仿宋" w:hAnsi="仿宋" w:eastAsia="仿宋" w:cs="仿宋"/>
          <w:sz w:val="24"/>
          <w:szCs w:val="24"/>
          <w:lang w:val="zh-CN"/>
        </w:rPr>
        <w:t>投标货币</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本项目只接受人民币报价，采用其他币种报价的，一律为无效投标。</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12.6 投标配置与分项报价表上的价格应按下列方式分开填写：</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项目总价：包括买方需求的货物价格、质量保证费用、培训费用及售后服务费用，项目在指定地点、环境交付、安装、调试、验收所需费用和所有相关税金费用及（因中美贸易战或其他不可控因素导致的关税增加）为完成整个项目所产生的其它所有费用。</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2、项目单价按投标配置及分项报价表中要求填报。</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12.7、</w:t>
      </w:r>
      <w:r>
        <w:rPr>
          <w:rFonts w:hint="eastAsia" w:ascii="仿宋" w:hAnsi="仿宋" w:eastAsia="仿宋" w:cs="仿宋"/>
          <w:sz w:val="24"/>
          <w:szCs w:val="24"/>
          <w:lang w:val="zh-CN"/>
        </w:rPr>
        <w:t>供应商的任何错漏、优惠、竞争性报价不得作为减轻责任、减少服务、增加收费、降低质量的理由。</w:t>
      </w:r>
    </w:p>
    <w:p>
      <w:pPr>
        <w:tabs>
          <w:tab w:val="left" w:pos="1035"/>
        </w:tabs>
        <w:autoSpaceDE w:val="0"/>
        <w:autoSpaceDN w:val="0"/>
        <w:spacing w:after="0" w:line="360" w:lineRule="auto"/>
        <w:ind w:firstLine="480" w:firstLineChars="200"/>
        <w:rPr>
          <w:rFonts w:hint="eastAsia" w:ascii="仿宋" w:hAnsi="仿宋" w:eastAsia="仿宋" w:cs="仿宋"/>
          <w:lang w:val="zh-CN"/>
        </w:rPr>
      </w:pPr>
      <w:r>
        <w:rPr>
          <w:rFonts w:hint="eastAsia" w:ascii="仿宋" w:hAnsi="仿宋" w:eastAsia="仿宋" w:cs="仿宋"/>
          <w:sz w:val="24"/>
          <w:szCs w:val="24"/>
        </w:rPr>
        <w:t>12.8、供应商系小企业（含小型、微型企业），并提供本企业制造的货物、承担的工程或者服务，或者提供其他小企业制造的货物，须在《</w:t>
      </w:r>
      <w:r>
        <w:rPr>
          <w:rFonts w:hint="eastAsia" w:ascii="仿宋" w:hAnsi="仿宋" w:eastAsia="仿宋" w:cs="仿宋"/>
          <w:sz w:val="24"/>
          <w:szCs w:val="24"/>
          <w:lang w:eastAsia="zh-CN"/>
        </w:rPr>
        <w:t>报价一览表</w:t>
      </w:r>
      <w:r>
        <w:rPr>
          <w:rFonts w:hint="eastAsia" w:ascii="仿宋" w:hAnsi="仿宋" w:eastAsia="仿宋" w:cs="仿宋"/>
          <w:sz w:val="24"/>
          <w:szCs w:val="24"/>
        </w:rPr>
        <w:t>》、《投标分项报价》中注明。</w:t>
      </w:r>
    </w:p>
    <w:p>
      <w:pPr>
        <w:spacing w:after="0" w:line="360" w:lineRule="auto"/>
        <w:ind w:firstLine="468" w:firstLineChars="195"/>
        <w:rPr>
          <w:rFonts w:hint="eastAsia" w:ascii="仿宋" w:hAnsi="仿宋" w:eastAsia="仿宋" w:cs="仿宋"/>
          <w:b/>
          <w:bCs/>
          <w:sz w:val="24"/>
          <w:szCs w:val="24"/>
          <w:lang w:val="en-US" w:eastAsia="zh-CN"/>
        </w:rPr>
      </w:pPr>
      <w:bookmarkStart w:id="80" w:name="_Toc453781890"/>
      <w:r>
        <w:rPr>
          <w:rFonts w:hint="eastAsia" w:ascii="仿宋" w:hAnsi="仿宋" w:eastAsia="仿宋" w:cs="仿宋"/>
          <w:b/>
          <w:bCs/>
          <w:sz w:val="24"/>
          <w:szCs w:val="24"/>
          <w:lang w:val="en-US" w:eastAsia="zh-CN"/>
        </w:rPr>
        <w:t>13、技术条款偏离表、商务条款偏离表及投标货物说明</w:t>
      </w:r>
      <w:bookmarkEnd w:id="80"/>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13.1 对招标文件中的技术与商务条款要求逐项作出响应或偏离，并说明原因；</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13.2 提供参加本项目类似案例简介；</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13.3 培训计划；</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13.4 详细阐述所投服务或货物的主要组成部分</w:t>
      </w:r>
      <w:r>
        <w:rPr>
          <w:rFonts w:hint="eastAsia" w:ascii="仿宋" w:hAnsi="仿宋" w:eastAsia="仿宋" w:cs="仿宋"/>
          <w:sz w:val="24"/>
          <w:szCs w:val="24"/>
        </w:rPr>
        <w:t>的服务方案、架构</w:t>
      </w:r>
      <w:r>
        <w:rPr>
          <w:rFonts w:hint="eastAsia" w:ascii="仿宋" w:hAnsi="仿宋" w:eastAsia="仿宋" w:cs="仿宋"/>
          <w:sz w:val="24"/>
          <w:szCs w:val="24"/>
          <w:lang w:val="zh-CN"/>
        </w:rPr>
        <w:t>、功能设计、实现思路及关键技术；</w:t>
      </w:r>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13.5 投标供应商认为需要的其他技术文件或说明。</w:t>
      </w:r>
    </w:p>
    <w:p>
      <w:pPr>
        <w:spacing w:after="0" w:line="360" w:lineRule="auto"/>
        <w:ind w:firstLine="468" w:firstLineChars="195"/>
        <w:rPr>
          <w:rFonts w:hint="eastAsia" w:ascii="仿宋" w:hAnsi="仿宋" w:eastAsia="仿宋" w:cs="仿宋"/>
          <w:b/>
          <w:bCs/>
          <w:sz w:val="24"/>
          <w:szCs w:val="24"/>
          <w:lang w:val="en-US" w:eastAsia="zh-CN"/>
        </w:rPr>
      </w:pPr>
      <w:bookmarkStart w:id="81" w:name="_Toc453781891"/>
      <w:r>
        <w:rPr>
          <w:rFonts w:hint="eastAsia" w:ascii="仿宋" w:hAnsi="仿宋" w:eastAsia="仿宋" w:cs="仿宋"/>
          <w:b/>
          <w:bCs/>
          <w:sz w:val="24"/>
          <w:szCs w:val="24"/>
          <w:lang w:val="en-US" w:eastAsia="zh-CN"/>
        </w:rPr>
        <w:t>14、服务承诺及售后服务机构、人员的情况介绍</w:t>
      </w:r>
      <w:bookmarkEnd w:id="81"/>
    </w:p>
    <w:p>
      <w:pPr>
        <w:tabs>
          <w:tab w:val="left" w:pos="1035"/>
        </w:tabs>
        <w:autoSpaceDE w:val="0"/>
        <w:autoSpaceDN w:val="0"/>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14、1投标供应商的服务承诺应按不低于招标文件中商务要求的标准。</w:t>
      </w:r>
    </w:p>
    <w:p>
      <w:pPr>
        <w:spacing w:after="0" w:line="360" w:lineRule="auto"/>
        <w:ind w:firstLine="480"/>
        <w:rPr>
          <w:rFonts w:hint="eastAsia" w:ascii="仿宋" w:hAnsi="仿宋" w:eastAsia="仿宋" w:cs="仿宋"/>
          <w:sz w:val="24"/>
          <w:szCs w:val="24"/>
        </w:rPr>
      </w:pPr>
      <w:r>
        <w:rPr>
          <w:rFonts w:hint="eastAsia" w:ascii="仿宋" w:hAnsi="仿宋" w:eastAsia="仿宋" w:cs="仿宋"/>
          <w:sz w:val="24"/>
          <w:szCs w:val="24"/>
        </w:rPr>
        <w:t>14、2提供投标供应商有关售后服务的管理制度、售后服务机构的分布情况、售后服务人员的数量、素质、技术水平及售后服务的反应能力。</w:t>
      </w:r>
    </w:p>
    <w:p>
      <w:pPr>
        <w:spacing w:after="0" w:line="360" w:lineRule="auto"/>
        <w:ind w:firstLine="468" w:firstLineChars="195"/>
        <w:rPr>
          <w:rFonts w:hint="eastAsia" w:ascii="仿宋" w:hAnsi="仿宋" w:eastAsia="仿宋" w:cs="仿宋"/>
          <w:b/>
          <w:bCs/>
          <w:sz w:val="24"/>
          <w:szCs w:val="24"/>
          <w:lang w:val="en-US" w:eastAsia="zh-CN"/>
        </w:rPr>
      </w:pPr>
      <w:bookmarkStart w:id="82" w:name="_Toc453781892"/>
      <w:r>
        <w:rPr>
          <w:rFonts w:hint="eastAsia" w:ascii="仿宋" w:hAnsi="仿宋" w:eastAsia="仿宋" w:cs="仿宋"/>
          <w:b/>
          <w:bCs/>
          <w:sz w:val="24"/>
          <w:szCs w:val="24"/>
          <w:lang w:val="en-US" w:eastAsia="zh-CN"/>
        </w:rPr>
        <w:t>15、投标函和</w:t>
      </w:r>
      <w:bookmarkEnd w:id="82"/>
      <w:r>
        <w:rPr>
          <w:rFonts w:hint="eastAsia" w:ascii="仿宋" w:hAnsi="仿宋" w:eastAsia="仿宋" w:cs="仿宋"/>
          <w:b/>
          <w:bCs/>
          <w:sz w:val="24"/>
          <w:szCs w:val="24"/>
          <w:lang w:val="en-US" w:eastAsia="zh-CN"/>
        </w:rPr>
        <w:t>报价一览表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 投标供应商应按照招标文件中提供的格式完整、正确填写投标函、</w:t>
      </w:r>
      <w:r>
        <w:rPr>
          <w:rFonts w:hint="eastAsia" w:ascii="仿宋" w:hAnsi="仿宋" w:eastAsia="仿宋" w:cs="仿宋"/>
          <w:sz w:val="24"/>
          <w:szCs w:val="24"/>
          <w:lang w:eastAsia="zh-CN"/>
        </w:rPr>
        <w:t>报价一览表</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15.2 </w:t>
      </w:r>
      <w:r>
        <w:rPr>
          <w:rFonts w:hint="eastAsia" w:ascii="仿宋" w:hAnsi="仿宋" w:eastAsia="仿宋" w:cs="仿宋"/>
          <w:sz w:val="24"/>
          <w:szCs w:val="24"/>
          <w:lang w:eastAsia="zh-CN"/>
        </w:rPr>
        <w:t>报价一览表</w:t>
      </w:r>
      <w:r>
        <w:rPr>
          <w:rFonts w:hint="eastAsia" w:ascii="仿宋" w:hAnsi="仿宋" w:eastAsia="仿宋" w:cs="仿宋"/>
          <w:sz w:val="24"/>
          <w:szCs w:val="24"/>
        </w:rPr>
        <w:t>中的价格应与投标文件中投标配置与分项报价表的价格一致，如不一致，不作为无效投标处理，但评标时按</w:t>
      </w:r>
      <w:r>
        <w:rPr>
          <w:rFonts w:hint="eastAsia" w:ascii="仿宋" w:hAnsi="仿宋" w:eastAsia="仿宋" w:cs="仿宋"/>
          <w:sz w:val="24"/>
          <w:szCs w:val="24"/>
          <w:lang w:eastAsia="zh-CN"/>
        </w:rPr>
        <w:t>报价一览表</w:t>
      </w:r>
      <w:r>
        <w:rPr>
          <w:rFonts w:hint="eastAsia" w:ascii="仿宋" w:hAnsi="仿宋" w:eastAsia="仿宋" w:cs="仿宋"/>
          <w:sz w:val="24"/>
          <w:szCs w:val="24"/>
        </w:rPr>
        <w:t>中价格为准</w:t>
      </w:r>
      <w:r>
        <w:rPr>
          <w:rFonts w:hint="eastAsia" w:ascii="仿宋" w:hAnsi="仿宋" w:eastAsia="仿宋" w:cs="仿宋"/>
          <w:b/>
          <w:bCs/>
          <w:sz w:val="24"/>
          <w:szCs w:val="24"/>
        </w:rPr>
        <w:t>。</w:t>
      </w:r>
    </w:p>
    <w:p>
      <w:pPr>
        <w:spacing w:after="0" w:line="360" w:lineRule="auto"/>
        <w:ind w:firstLine="480" w:firstLineChars="200"/>
        <w:rPr>
          <w:rFonts w:hint="eastAsia" w:ascii="仿宋" w:hAnsi="仿宋" w:eastAsia="仿宋" w:cs="仿宋"/>
          <w:i/>
          <w:iCs/>
          <w:sz w:val="24"/>
          <w:szCs w:val="24"/>
          <w:u w:val="single"/>
        </w:rPr>
      </w:pPr>
      <w:r>
        <w:rPr>
          <w:rFonts w:hint="eastAsia" w:ascii="仿宋" w:hAnsi="仿宋" w:eastAsia="仿宋" w:cs="仿宋"/>
          <w:sz w:val="24"/>
          <w:szCs w:val="24"/>
        </w:rPr>
        <w:t xml:space="preserve">15.3 </w:t>
      </w:r>
      <w:r>
        <w:rPr>
          <w:rFonts w:hint="eastAsia" w:ascii="仿宋" w:hAnsi="仿宋" w:eastAsia="仿宋" w:cs="仿宋"/>
          <w:b/>
          <w:bCs/>
          <w:i/>
          <w:iCs/>
          <w:sz w:val="24"/>
          <w:szCs w:val="24"/>
          <w:u w:val="single"/>
          <w:lang w:eastAsia="zh-CN"/>
        </w:rPr>
        <w:t>报价一览表</w:t>
      </w:r>
      <w:r>
        <w:rPr>
          <w:rFonts w:hint="eastAsia" w:ascii="仿宋" w:hAnsi="仿宋" w:eastAsia="仿宋" w:cs="仿宋"/>
          <w:b/>
          <w:bCs/>
          <w:i/>
          <w:iCs/>
          <w:sz w:val="24"/>
          <w:szCs w:val="24"/>
          <w:u w:val="single"/>
        </w:rPr>
        <w:t>必须加盖公章，必须单独密封在信封中，在投标截止时间前与投标文件分别递交，否则视为无效投标。</w:t>
      </w:r>
    </w:p>
    <w:p>
      <w:pPr>
        <w:spacing w:after="0" w:line="360" w:lineRule="auto"/>
        <w:ind w:firstLine="468" w:firstLineChars="195"/>
        <w:rPr>
          <w:rFonts w:hint="eastAsia" w:ascii="仿宋" w:hAnsi="仿宋" w:eastAsia="仿宋" w:cs="仿宋"/>
          <w:b/>
          <w:bCs/>
          <w:sz w:val="24"/>
          <w:szCs w:val="24"/>
          <w:lang w:val="en-US" w:eastAsia="zh-CN"/>
        </w:rPr>
      </w:pPr>
      <w:bookmarkStart w:id="83" w:name="_Toc453781893"/>
      <w:r>
        <w:rPr>
          <w:rFonts w:hint="eastAsia" w:ascii="仿宋" w:hAnsi="仿宋" w:eastAsia="仿宋" w:cs="仿宋"/>
          <w:b/>
          <w:bCs/>
          <w:sz w:val="24"/>
          <w:szCs w:val="24"/>
          <w:lang w:val="en-US" w:eastAsia="zh-CN"/>
        </w:rPr>
        <w:t>16、投标保证金</w:t>
      </w:r>
      <w:bookmarkEnd w:id="83"/>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16.1在开标时，未按要求提交投标保证金的投标无效，采购代理机构拒绝接收其投标文件。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16.2未中标的投标供应商的投标保证金，将在中标通知书发出之日起7个工作日内退还，不计利息。</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16.3中标人的投标保证金，将转为履约保证金。</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16.4 下列任何情况发生时，投标保证金将不予退还：</w:t>
      </w:r>
    </w:p>
    <w:p>
      <w:pPr>
        <w:spacing w:after="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（1）投标供应商在投标有效期内撤回其投标；</w:t>
      </w:r>
    </w:p>
    <w:p>
      <w:pPr>
        <w:spacing w:after="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（2）投标供应商提供的有关资料、资格证明文件被确认是不真实的；</w:t>
      </w:r>
    </w:p>
    <w:p>
      <w:pPr>
        <w:spacing w:after="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（3）投标供应商之间被证实有串通（统一哄抬价格）、欺诈行为；</w:t>
      </w:r>
    </w:p>
    <w:p>
      <w:pPr>
        <w:spacing w:after="0" w:line="360" w:lineRule="auto"/>
        <w:ind w:left="1" w:firstLine="357" w:firstLineChars="149"/>
        <w:rPr>
          <w:rFonts w:hint="eastAsia" w:ascii="仿宋" w:hAnsi="仿宋" w:eastAsia="仿宋" w:cs="仿宋"/>
          <w:sz w:val="24"/>
          <w:szCs w:val="24"/>
        </w:rPr>
      </w:pPr>
      <w:r>
        <w:rPr>
          <w:rFonts w:hint="eastAsia" w:ascii="仿宋" w:hAnsi="仿宋" w:eastAsia="仿宋" w:cs="仿宋"/>
          <w:sz w:val="24"/>
          <w:szCs w:val="24"/>
        </w:rPr>
        <w:t>（4）投标供应商被证明有妨碍其他人公平竞争、损害采购代理机构或者其他投标供应商合法权益的；</w:t>
      </w:r>
    </w:p>
    <w:p>
      <w:pPr>
        <w:spacing w:after="0" w:line="360" w:lineRule="auto"/>
        <w:ind w:firstLine="468" w:firstLineChars="195"/>
        <w:rPr>
          <w:rFonts w:hint="eastAsia" w:ascii="仿宋" w:hAnsi="仿宋" w:eastAsia="仿宋" w:cs="仿宋"/>
          <w:b/>
          <w:bCs/>
          <w:sz w:val="24"/>
          <w:szCs w:val="24"/>
          <w:lang w:val="en-US" w:eastAsia="zh-CN"/>
        </w:rPr>
      </w:pPr>
      <w:bookmarkStart w:id="84" w:name="_Toc453781894"/>
      <w:r>
        <w:rPr>
          <w:rFonts w:hint="eastAsia" w:ascii="仿宋" w:hAnsi="仿宋" w:eastAsia="仿宋" w:cs="仿宋"/>
          <w:b/>
          <w:bCs/>
          <w:sz w:val="24"/>
          <w:szCs w:val="24"/>
          <w:lang w:val="en-US" w:eastAsia="zh-CN"/>
        </w:rPr>
        <w:t>17、投标有效期</w:t>
      </w:r>
      <w:bookmarkEnd w:id="84"/>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投标有效期为招标文件中规定的投标文件递交截止时间起</w:t>
      </w:r>
      <w:r>
        <w:rPr>
          <w:rFonts w:hint="eastAsia" w:ascii="仿宋" w:hAnsi="仿宋" w:eastAsia="仿宋" w:cs="仿宋"/>
          <w:b/>
          <w:bCs/>
          <w:sz w:val="24"/>
          <w:szCs w:val="24"/>
          <w:u w:val="single"/>
        </w:rPr>
        <w:t>九十天</w:t>
      </w:r>
      <w:r>
        <w:rPr>
          <w:rFonts w:hint="eastAsia" w:ascii="仿宋" w:hAnsi="仿宋" w:eastAsia="仿宋" w:cs="仿宋"/>
          <w:sz w:val="24"/>
          <w:szCs w:val="24"/>
        </w:rPr>
        <w:t>。投标文件中承诺的投标有效期应当不少于招标文件中载明的投标有效期。投标有效期内投标人撤销投标文件的，采购人或者采购代理机构可以不退还投标保证金。</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在特殊情况下，采购代理机构于原投标有效期满之前，可向投标供应商提出延长投标有效期的要求。这种要求与答复均应采用书面形式。投标供应商可以拒绝采购代理机构的这一要求而放弃投标，采购代理机构在接到投标供应商书面答复后，将在原投标有效期满后五日内</w:t>
      </w:r>
      <w:r>
        <w:rPr>
          <w:rFonts w:hint="eastAsia" w:ascii="仿宋" w:hAnsi="仿宋" w:eastAsia="仿宋" w:cs="仿宋"/>
          <w:b/>
          <w:bCs/>
          <w:sz w:val="24"/>
          <w:szCs w:val="24"/>
        </w:rPr>
        <w:t>无息退还其投标保证金</w:t>
      </w:r>
      <w:r>
        <w:rPr>
          <w:rFonts w:hint="eastAsia" w:ascii="仿宋" w:hAnsi="仿宋" w:eastAsia="仿宋" w:cs="仿宋"/>
          <w:sz w:val="24"/>
          <w:szCs w:val="24"/>
        </w:rPr>
        <w:t>。同意延长投标有效期的投标供应商既不能要求也不允许修改其投标文件。第16条有关投标保证金的规定在延长期内继续有效，同时受投标有效期约束的所有权利与义务均延长至新的有效期。</w:t>
      </w:r>
    </w:p>
    <w:p>
      <w:pPr>
        <w:spacing w:after="0" w:line="360" w:lineRule="auto"/>
        <w:ind w:firstLine="468" w:firstLineChars="195"/>
        <w:rPr>
          <w:rFonts w:hint="eastAsia" w:ascii="仿宋" w:hAnsi="仿宋" w:eastAsia="仿宋" w:cs="仿宋"/>
          <w:b/>
          <w:bCs/>
          <w:sz w:val="24"/>
          <w:szCs w:val="24"/>
          <w:lang w:val="en-US" w:eastAsia="zh-CN"/>
        </w:rPr>
      </w:pPr>
      <w:bookmarkStart w:id="85" w:name="_Toc453781895"/>
      <w:r>
        <w:rPr>
          <w:rFonts w:hint="eastAsia" w:ascii="仿宋" w:hAnsi="仿宋" w:eastAsia="仿宋" w:cs="仿宋"/>
          <w:b/>
          <w:bCs/>
          <w:sz w:val="24"/>
          <w:szCs w:val="24"/>
          <w:lang w:val="en-US" w:eastAsia="zh-CN"/>
        </w:rPr>
        <w:t>18、投标文件份数和签署</w:t>
      </w:r>
      <w:bookmarkEnd w:id="85"/>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18.1投标供应商应严格按照招标公告要求的份数准备投标文件，每份投标文件须清楚地标明“正本”或“副本”字样。一旦正本和副本不符，以正本为准。</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18.2投标文件正本中，除采购文件规定的可提交复印件外，其他文件均须提交原件，文字材料需打印或用不褪色墨水书写。</w:t>
      </w:r>
      <w:r>
        <w:rPr>
          <w:rFonts w:hint="eastAsia" w:ascii="仿宋" w:hAnsi="仿宋" w:eastAsia="仿宋" w:cs="仿宋"/>
          <w:b/>
          <w:bCs/>
          <w:i/>
          <w:iCs/>
          <w:sz w:val="24"/>
          <w:szCs w:val="24"/>
          <w:u w:val="single"/>
        </w:rPr>
        <w:t>投标文件的正本须经法定代表人或授权代表签署签字和加盖投标供应商公章。本采购文件所表述（指定）的公章是指法定名称章，不包括合同专用章、业务专用章等印章。</w:t>
      </w:r>
      <w:r>
        <w:rPr>
          <w:rFonts w:hint="eastAsia" w:ascii="仿宋" w:hAnsi="仿宋" w:eastAsia="仿宋" w:cs="仿宋"/>
          <w:sz w:val="24"/>
          <w:szCs w:val="24"/>
        </w:rPr>
        <w:t>否则作无效投标处理。</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除投标供应商对错处做必要修改外，投标文件不得行间插字、涂改或增删。如有修改错漏处，必须由投标文件签署人签字或盖章。</w:t>
      </w:r>
    </w:p>
    <w:p>
      <w:pPr>
        <w:spacing w:after="0" w:line="360" w:lineRule="auto"/>
        <w:rPr>
          <w:rFonts w:hint="eastAsia" w:ascii="仿宋" w:hAnsi="仿宋" w:eastAsia="仿宋" w:cs="仿宋"/>
          <w:b/>
          <w:bCs w:val="0"/>
          <w:sz w:val="28"/>
          <w:szCs w:val="28"/>
        </w:rPr>
      </w:pPr>
      <w:bookmarkStart w:id="86" w:name="_Toc453781896"/>
      <w:bookmarkStart w:id="87" w:name="_Toc1218"/>
      <w:bookmarkStart w:id="88" w:name="_Toc27647"/>
      <w:bookmarkStart w:id="89" w:name="_Toc444669974"/>
      <w:bookmarkStart w:id="90" w:name="_Toc9835"/>
      <w:bookmarkStart w:id="91" w:name="_Toc16635"/>
      <w:bookmarkStart w:id="92" w:name="_Toc27003"/>
      <w:bookmarkStart w:id="93" w:name="_Toc5541"/>
      <w:bookmarkStart w:id="94" w:name="_Toc26509"/>
      <w:r>
        <w:rPr>
          <w:rFonts w:hint="eastAsia" w:ascii="仿宋" w:hAnsi="仿宋" w:eastAsia="仿宋" w:cs="仿宋"/>
          <w:b/>
          <w:bCs w:val="0"/>
          <w:sz w:val="28"/>
          <w:szCs w:val="28"/>
        </w:rPr>
        <w:t>四、投标文件的递交</w:t>
      </w:r>
      <w:bookmarkEnd w:id="86"/>
      <w:bookmarkEnd w:id="87"/>
      <w:bookmarkEnd w:id="88"/>
      <w:bookmarkEnd w:id="89"/>
      <w:bookmarkEnd w:id="90"/>
      <w:bookmarkEnd w:id="91"/>
      <w:bookmarkEnd w:id="92"/>
      <w:bookmarkEnd w:id="93"/>
      <w:bookmarkEnd w:id="94"/>
    </w:p>
    <w:p>
      <w:pPr>
        <w:spacing w:after="0" w:line="360" w:lineRule="auto"/>
        <w:ind w:firstLine="468" w:firstLineChars="195"/>
        <w:rPr>
          <w:rFonts w:hint="eastAsia" w:ascii="仿宋" w:hAnsi="仿宋" w:eastAsia="仿宋" w:cs="仿宋"/>
          <w:b/>
          <w:bCs/>
          <w:sz w:val="24"/>
          <w:szCs w:val="24"/>
          <w:lang w:val="en-US" w:eastAsia="zh-CN"/>
        </w:rPr>
      </w:pPr>
      <w:bookmarkStart w:id="95" w:name="_Toc453781897"/>
      <w:r>
        <w:rPr>
          <w:rFonts w:hint="eastAsia" w:ascii="仿宋" w:hAnsi="仿宋" w:eastAsia="仿宋" w:cs="仿宋"/>
          <w:b/>
          <w:bCs/>
          <w:sz w:val="24"/>
          <w:szCs w:val="24"/>
          <w:lang w:val="en-US" w:eastAsia="zh-CN"/>
        </w:rPr>
        <w:t>19、投标文件的密封和标记</w:t>
      </w:r>
      <w:bookmarkEnd w:id="95"/>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19.1投标供应商应将投标文件正本和所有副本密封，不论投标供应商中标与否，投标文件均不退回。</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19.2 密封的投标文件应：</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19.2.1 注明投标供应商名称，如因标注不清而产生的后果由投标供应商自负。按招标公告中注明的地址送达；</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19.2.2 注明投标项目名称、标书编号及包号。</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19.2.3 未按要求密封和加写标记，采购代理机构对误投或过早启封概不负责。对由此造成提前开封的投标文件，采购代理机构将予以拒绝，作无效投标处理。</w:t>
      </w:r>
    </w:p>
    <w:p>
      <w:pPr>
        <w:spacing w:after="0" w:line="360" w:lineRule="auto"/>
        <w:ind w:firstLine="468" w:firstLineChars="195"/>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single"/>
          <w:lang w:val="en-US" w:eastAsia="zh-CN"/>
        </w:rPr>
        <w:t>19.2.4</w:t>
      </w:r>
      <w:bookmarkStart w:id="96" w:name="_Toc453781898"/>
      <w:r>
        <w:rPr>
          <w:rFonts w:hint="eastAsia" w:ascii="仿宋" w:hAnsi="仿宋" w:eastAsia="仿宋" w:cs="仿宋"/>
          <w:b/>
          <w:bCs/>
          <w:sz w:val="24"/>
          <w:szCs w:val="24"/>
          <w:u w:val="single"/>
          <w:lang w:val="en-US" w:eastAsia="zh-CN"/>
        </w:rPr>
        <w:t>投标文件的正本和所有的副本均需打印或复印或用不褪色墨水书写并装订成册（建议胶装）。</w:t>
      </w:r>
    </w:p>
    <w:p>
      <w:pPr>
        <w:spacing w:after="0" w:line="360" w:lineRule="auto"/>
        <w:ind w:firstLine="468" w:firstLineChars="195"/>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20、投标截止日期</w:t>
      </w:r>
      <w:bookmarkEnd w:id="96"/>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20.1 采购代理机构收到投标文件的时间不得迟于招标公告中规定的截止时间。</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20.2 采购代理机构可以按照规定，通过修改招标文件有权酌情延长投标截止日期，在此情况下，投标供应商的所有权利和义务以及投标供应商受制的截止日期均应以延长后新的截止日期为准。</w:t>
      </w:r>
    </w:p>
    <w:p>
      <w:pPr>
        <w:spacing w:after="0" w:line="360" w:lineRule="auto"/>
        <w:ind w:firstLine="468" w:firstLineChars="195"/>
        <w:rPr>
          <w:rFonts w:hint="eastAsia" w:ascii="仿宋" w:hAnsi="仿宋" w:eastAsia="仿宋" w:cs="仿宋"/>
          <w:b/>
          <w:bCs/>
          <w:sz w:val="24"/>
          <w:szCs w:val="24"/>
          <w:lang w:val="en-US" w:eastAsia="zh-CN"/>
        </w:rPr>
      </w:pPr>
      <w:bookmarkStart w:id="97" w:name="_Toc453781899"/>
      <w:r>
        <w:rPr>
          <w:rFonts w:hint="eastAsia" w:ascii="仿宋" w:hAnsi="仿宋" w:eastAsia="仿宋" w:cs="仿宋"/>
          <w:b/>
          <w:bCs/>
          <w:sz w:val="24"/>
          <w:szCs w:val="24"/>
          <w:lang w:val="en-US" w:eastAsia="zh-CN"/>
        </w:rPr>
        <w:t>21、迟交的投标文件</w:t>
      </w:r>
      <w:bookmarkEnd w:id="97"/>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 采购代理机构拒绝接收在其规定的投标截止时间后递交的任何投标文件。</w:t>
      </w:r>
    </w:p>
    <w:p>
      <w:pPr>
        <w:spacing w:after="0" w:line="360" w:lineRule="auto"/>
        <w:ind w:firstLine="468" w:firstLineChars="195"/>
        <w:rPr>
          <w:rFonts w:hint="eastAsia" w:ascii="仿宋" w:hAnsi="仿宋" w:eastAsia="仿宋" w:cs="仿宋"/>
          <w:b/>
          <w:bCs/>
          <w:sz w:val="24"/>
          <w:szCs w:val="24"/>
          <w:lang w:val="en-US" w:eastAsia="zh-CN"/>
        </w:rPr>
      </w:pPr>
      <w:bookmarkStart w:id="98" w:name="_Toc453781900"/>
      <w:r>
        <w:rPr>
          <w:rFonts w:hint="eastAsia" w:ascii="仿宋" w:hAnsi="仿宋" w:eastAsia="仿宋" w:cs="仿宋"/>
          <w:b/>
          <w:bCs/>
          <w:sz w:val="24"/>
          <w:szCs w:val="24"/>
          <w:lang w:val="en-US" w:eastAsia="zh-CN"/>
        </w:rPr>
        <w:t>22、投标文件的修改和撤回</w:t>
      </w:r>
      <w:bookmarkEnd w:id="98"/>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投标供应商在递交投标文件后，可以修改或撤回其投标文件，但这种修改和撤回，必须在规定的投标截止时间前，以书面形式通知采购代理机构，修改或撤回其投标文件。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投标供应商的修改或撤回文件应按规定进行编制、密封、标记和发送，并应在封套上加注“修改”或“撤回”字样。上述补充或修改若涉及投标报价，必须注明“最后唯一报价”字样，否则将视为有选择的报价。修改文件必须在投标截止时间前送达采购代理机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22.3 在投标截止时间之后，投标供应商不得对其投标文件作任何修改。</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22.4 在投标截止时间至招标文件中规定的投标有效期满之间的这段时间内，投标供应商不得撤回其投标，否则其投标保证金将不予退还。</w:t>
      </w:r>
    </w:p>
    <w:p>
      <w:pPr>
        <w:spacing w:after="0" w:line="360" w:lineRule="auto"/>
        <w:rPr>
          <w:rFonts w:hint="eastAsia" w:ascii="仿宋" w:hAnsi="仿宋" w:eastAsia="仿宋" w:cs="仿宋"/>
          <w:b/>
          <w:bCs w:val="0"/>
          <w:sz w:val="28"/>
          <w:szCs w:val="28"/>
        </w:rPr>
      </w:pPr>
      <w:bookmarkStart w:id="99" w:name="_Toc12286"/>
      <w:bookmarkStart w:id="100" w:name="_Toc11732"/>
      <w:bookmarkStart w:id="101" w:name="_Toc30320"/>
      <w:bookmarkStart w:id="102" w:name="_Toc12223"/>
      <w:bookmarkStart w:id="103" w:name="_Toc444669975"/>
      <w:bookmarkStart w:id="104" w:name="_Toc14679"/>
      <w:bookmarkStart w:id="105" w:name="_Toc16441"/>
      <w:bookmarkStart w:id="106" w:name="_Toc453781901"/>
      <w:bookmarkStart w:id="107" w:name="_Toc32660"/>
      <w:r>
        <w:rPr>
          <w:rFonts w:hint="eastAsia" w:ascii="仿宋" w:hAnsi="仿宋" w:eastAsia="仿宋" w:cs="仿宋"/>
          <w:b/>
          <w:bCs w:val="0"/>
          <w:sz w:val="28"/>
          <w:szCs w:val="28"/>
        </w:rPr>
        <w:t>五、开标与评标</w:t>
      </w:r>
      <w:bookmarkEnd w:id="99"/>
      <w:bookmarkEnd w:id="100"/>
      <w:bookmarkEnd w:id="101"/>
      <w:bookmarkEnd w:id="102"/>
      <w:bookmarkEnd w:id="103"/>
      <w:bookmarkEnd w:id="104"/>
      <w:bookmarkEnd w:id="105"/>
      <w:bookmarkEnd w:id="106"/>
      <w:bookmarkEnd w:id="107"/>
    </w:p>
    <w:p>
      <w:pPr>
        <w:spacing w:after="0" w:line="360" w:lineRule="auto"/>
        <w:ind w:firstLine="468" w:firstLineChars="195"/>
        <w:rPr>
          <w:rFonts w:hint="eastAsia" w:ascii="仿宋" w:hAnsi="仿宋" w:eastAsia="仿宋" w:cs="仿宋"/>
          <w:b/>
          <w:bCs/>
          <w:sz w:val="24"/>
          <w:szCs w:val="24"/>
          <w:lang w:val="en-US" w:eastAsia="zh-CN"/>
        </w:rPr>
      </w:pPr>
      <w:bookmarkStart w:id="108" w:name="_Toc453781902"/>
      <w:r>
        <w:rPr>
          <w:rFonts w:hint="eastAsia" w:ascii="仿宋" w:hAnsi="仿宋" w:eastAsia="仿宋" w:cs="仿宋"/>
          <w:b/>
          <w:bCs/>
          <w:sz w:val="24"/>
          <w:szCs w:val="24"/>
          <w:lang w:val="en-US" w:eastAsia="zh-CN"/>
        </w:rPr>
        <w:t>23、开标</w:t>
      </w:r>
      <w:bookmarkEnd w:id="108"/>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采购代理机构将在招标公告中规定的时间和地点组织公开开标。投标供应商应委派携带有效证件的代表准时参加，参加开标的代表需签名以证明其出席。</w:t>
      </w:r>
    </w:p>
    <w:p>
      <w:pPr>
        <w:spacing w:after="0" w:line="360" w:lineRule="auto"/>
        <w:rPr>
          <w:rFonts w:hint="eastAsia" w:ascii="仿宋" w:hAnsi="仿宋" w:eastAsia="仿宋" w:cs="仿宋"/>
          <w:sz w:val="24"/>
          <w:szCs w:val="24"/>
        </w:rPr>
      </w:pPr>
      <w:r>
        <w:rPr>
          <w:rFonts w:hint="eastAsia" w:ascii="仿宋" w:hAnsi="仿宋" w:eastAsia="仿宋" w:cs="仿宋"/>
          <w:sz w:val="24"/>
          <w:szCs w:val="24"/>
        </w:rPr>
        <w:t xml:space="preserve">    23.2开标仪式由采购代理机构组织，采购人代表、公证员（必要时）、监管代表、投标供应商代表等参加。</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23.3按照规定同意撤回的投标将不予开封。</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23.4 开标时请公证人员或投标供应商代表查验投标文件密封情况，确认无误后，采购代理机构当众拆封宣读每份投标文件中“</w:t>
      </w:r>
      <w:r>
        <w:rPr>
          <w:rFonts w:hint="eastAsia" w:ascii="仿宋" w:hAnsi="仿宋" w:eastAsia="仿宋" w:cs="仿宋"/>
          <w:sz w:val="24"/>
          <w:szCs w:val="24"/>
          <w:lang w:eastAsia="zh-CN"/>
        </w:rPr>
        <w:t>报价一览表</w:t>
      </w:r>
      <w:r>
        <w:rPr>
          <w:rFonts w:hint="eastAsia" w:ascii="仿宋" w:hAnsi="仿宋" w:eastAsia="仿宋" w:cs="仿宋"/>
          <w:sz w:val="24"/>
          <w:szCs w:val="24"/>
        </w:rPr>
        <w:t>”的内容，未列入</w:t>
      </w:r>
      <w:r>
        <w:rPr>
          <w:rFonts w:hint="eastAsia" w:ascii="仿宋" w:hAnsi="仿宋" w:eastAsia="仿宋" w:cs="仿宋"/>
          <w:sz w:val="24"/>
          <w:szCs w:val="24"/>
          <w:lang w:eastAsia="zh-CN"/>
        </w:rPr>
        <w:t>报价一览表</w:t>
      </w:r>
      <w:r>
        <w:rPr>
          <w:rFonts w:hint="eastAsia" w:ascii="仿宋" w:hAnsi="仿宋" w:eastAsia="仿宋" w:cs="仿宋"/>
          <w:sz w:val="24"/>
          <w:szCs w:val="24"/>
        </w:rPr>
        <w:t>的内容一律不在开标时宣读。开标时未宣读的投标报价信息，不得在评标时采用。</w:t>
      </w:r>
    </w:p>
    <w:p>
      <w:pPr>
        <w:spacing w:after="0" w:line="360" w:lineRule="auto"/>
        <w:rPr>
          <w:rFonts w:hint="eastAsia" w:ascii="仿宋" w:hAnsi="仿宋" w:eastAsia="仿宋" w:cs="仿宋"/>
          <w:sz w:val="24"/>
          <w:szCs w:val="24"/>
        </w:rPr>
      </w:pPr>
      <w:r>
        <w:rPr>
          <w:rFonts w:hint="eastAsia" w:ascii="仿宋" w:hAnsi="仿宋" w:eastAsia="仿宋" w:cs="仿宋"/>
          <w:sz w:val="24"/>
          <w:szCs w:val="24"/>
        </w:rPr>
        <w:t xml:space="preserve">    23.5 采购代理机构将指定专人负责开标记录并存档备查。</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23.6 投标供应商在报价时不允许采用选择性报价，否则将被视为无效投标。</w:t>
      </w:r>
      <w:bookmarkStart w:id="109" w:name="_Toc453781903"/>
    </w:p>
    <w:p>
      <w:pPr>
        <w:spacing w:after="0" w:line="360" w:lineRule="auto"/>
        <w:ind w:firstLine="468" w:firstLineChars="195"/>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24、评标委员会</w:t>
      </w:r>
      <w:bookmarkEnd w:id="109"/>
    </w:p>
    <w:p>
      <w:pPr>
        <w:spacing w:after="0" w:line="360" w:lineRule="auto"/>
        <w:rPr>
          <w:rFonts w:hint="eastAsia" w:ascii="仿宋" w:hAnsi="仿宋" w:eastAsia="仿宋" w:cs="仿宋"/>
          <w:b/>
          <w:bCs/>
          <w:sz w:val="24"/>
          <w:szCs w:val="24"/>
        </w:rPr>
      </w:pPr>
      <w:r>
        <w:rPr>
          <w:rFonts w:hint="eastAsia" w:ascii="仿宋" w:hAnsi="仿宋" w:eastAsia="仿宋" w:cs="仿宋"/>
          <w:sz w:val="24"/>
          <w:szCs w:val="24"/>
        </w:rPr>
        <w:t xml:space="preserve">  24.1开标后，采购代理机构将立即组织评标委员会（以下简称评委会）进行评标。</w:t>
      </w:r>
    </w:p>
    <w:p>
      <w:pPr>
        <w:spacing w:after="0" w:line="360" w:lineRule="auto"/>
        <w:rPr>
          <w:rFonts w:hint="eastAsia" w:ascii="仿宋" w:hAnsi="仿宋" w:eastAsia="仿宋" w:cs="仿宋"/>
          <w:sz w:val="24"/>
          <w:szCs w:val="24"/>
        </w:rPr>
      </w:pPr>
      <w:r>
        <w:rPr>
          <w:rFonts w:hint="eastAsia" w:ascii="仿宋" w:hAnsi="仿宋" w:eastAsia="仿宋" w:cs="仿宋"/>
          <w:sz w:val="24"/>
          <w:szCs w:val="24"/>
        </w:rPr>
        <w:t xml:space="preserve">  24.2 评委会由采购人代表和有关技术、经济等方面的专家组成，且人员构成符合政府采购有关规定。</w:t>
      </w:r>
    </w:p>
    <w:p>
      <w:pPr>
        <w:spacing w:after="0" w:line="360" w:lineRule="auto"/>
        <w:rPr>
          <w:rFonts w:hint="eastAsia" w:ascii="仿宋" w:hAnsi="仿宋" w:eastAsia="仿宋" w:cs="仿宋"/>
          <w:sz w:val="24"/>
          <w:szCs w:val="24"/>
        </w:rPr>
      </w:pPr>
      <w:r>
        <w:rPr>
          <w:rFonts w:hint="eastAsia" w:ascii="仿宋" w:hAnsi="仿宋" w:eastAsia="仿宋" w:cs="仿宋"/>
          <w:sz w:val="24"/>
          <w:szCs w:val="24"/>
        </w:rPr>
        <w:t xml:space="preserve">  24.3评委会独立工作，负责评审所有投标文件并确定中标、成交侯选人。</w:t>
      </w:r>
    </w:p>
    <w:p>
      <w:pPr>
        <w:spacing w:after="0" w:line="360" w:lineRule="auto"/>
        <w:ind w:firstLine="468" w:firstLineChars="195"/>
        <w:rPr>
          <w:rFonts w:hint="eastAsia" w:ascii="仿宋" w:hAnsi="仿宋" w:eastAsia="仿宋" w:cs="仿宋"/>
          <w:b/>
          <w:bCs/>
          <w:sz w:val="24"/>
          <w:szCs w:val="24"/>
          <w:lang w:val="en-US" w:eastAsia="zh-CN"/>
        </w:rPr>
      </w:pPr>
      <w:bookmarkStart w:id="110" w:name="_Toc453781904"/>
      <w:r>
        <w:rPr>
          <w:rFonts w:hint="eastAsia" w:ascii="仿宋" w:hAnsi="仿宋" w:eastAsia="仿宋" w:cs="仿宋"/>
          <w:b/>
          <w:bCs/>
          <w:sz w:val="24"/>
          <w:szCs w:val="24"/>
          <w:lang w:val="en-US" w:eastAsia="zh-CN"/>
        </w:rPr>
        <w:t>25．评标过程的保密与公正</w:t>
      </w:r>
      <w:bookmarkEnd w:id="110"/>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25.1公开开标后，直至向中标的投标供应商授予合同时止，凡是与审查、澄清、评价和比较投标的有关资料以及授标建议等，采购人、评委、采购代理机构均不得向投标供应商或与评标无关的其他人员透露。</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25.2在评标过程中，投标供应商不得以任何行为影响评标过程，否则其投标文件将被作为无效投标文件。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25.3在评标期间，采购代理机构将设专门人员与投标供应商联系。</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25.4 采购代理机构和评标委员会不得向落标的投标供应商解释未中标原因，也不公布评标过程中的相关细节。</w:t>
      </w:r>
    </w:p>
    <w:p>
      <w:pPr>
        <w:spacing w:after="0" w:line="360" w:lineRule="auto"/>
        <w:ind w:firstLine="468" w:firstLineChars="195"/>
        <w:rPr>
          <w:rFonts w:hint="eastAsia" w:ascii="仿宋" w:hAnsi="仿宋" w:eastAsia="仿宋" w:cs="仿宋"/>
          <w:b/>
          <w:bCs/>
          <w:sz w:val="24"/>
          <w:szCs w:val="24"/>
          <w:lang w:val="en-US" w:eastAsia="zh-CN"/>
        </w:rPr>
      </w:pPr>
      <w:bookmarkStart w:id="111" w:name="_Toc453781905"/>
      <w:r>
        <w:rPr>
          <w:rFonts w:hint="eastAsia" w:ascii="仿宋" w:hAnsi="仿宋" w:eastAsia="仿宋" w:cs="仿宋"/>
          <w:b/>
          <w:bCs/>
          <w:sz w:val="24"/>
          <w:szCs w:val="24"/>
          <w:lang w:val="en-US" w:eastAsia="zh-CN"/>
        </w:rPr>
        <w:t>26．投标的澄清</w:t>
      </w:r>
      <w:bookmarkEnd w:id="111"/>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26.1评标期间，为有助于对投标文件的审查、评价和比较，评委会有权以书面形式要求投标供应商对其投标文件进行澄清，但并非对每个投标供应商都作澄清要求。</w:t>
      </w:r>
    </w:p>
    <w:p>
      <w:pPr>
        <w:spacing w:after="0" w:line="360" w:lineRule="auto"/>
        <w:rPr>
          <w:rFonts w:hint="eastAsia" w:ascii="仿宋" w:hAnsi="仿宋" w:eastAsia="仿宋" w:cs="仿宋"/>
          <w:sz w:val="24"/>
          <w:szCs w:val="24"/>
        </w:rPr>
      </w:pPr>
      <w:r>
        <w:rPr>
          <w:rFonts w:hint="eastAsia" w:ascii="仿宋" w:hAnsi="仿宋" w:eastAsia="仿宋" w:cs="仿宋"/>
          <w:sz w:val="24"/>
          <w:szCs w:val="24"/>
        </w:rPr>
        <w:t xml:space="preserve">    26.2接到评委会澄清要求的投标供应商应派人按评委会通知的时间和地点做出书面澄清，书面澄清的内容须由投标供应商法人或授权代表签署，并作为投标文件的补充部分，但投标的价格和实质性的内容不得做任何更改。</w:t>
      </w:r>
    </w:p>
    <w:p>
      <w:pPr>
        <w:spacing w:after="0" w:line="360" w:lineRule="auto"/>
        <w:rPr>
          <w:rFonts w:hint="eastAsia" w:ascii="仿宋" w:hAnsi="仿宋" w:eastAsia="仿宋" w:cs="仿宋"/>
          <w:sz w:val="24"/>
          <w:szCs w:val="24"/>
        </w:rPr>
      </w:pPr>
      <w:r>
        <w:rPr>
          <w:rFonts w:hint="eastAsia" w:ascii="仿宋" w:hAnsi="仿宋" w:eastAsia="仿宋" w:cs="仿宋"/>
          <w:sz w:val="24"/>
          <w:szCs w:val="24"/>
        </w:rPr>
        <w:t xml:space="preserve">    26.3 接到评委会澄清要求的投标供应商如未按规定做出澄清，其风险由投标供应商自行承担。</w:t>
      </w:r>
    </w:p>
    <w:p>
      <w:pPr>
        <w:spacing w:after="0" w:line="360" w:lineRule="auto"/>
        <w:ind w:firstLine="468" w:firstLineChars="195"/>
        <w:rPr>
          <w:rFonts w:hint="eastAsia" w:ascii="仿宋" w:hAnsi="仿宋" w:eastAsia="仿宋" w:cs="仿宋"/>
          <w:b/>
          <w:bCs/>
          <w:sz w:val="24"/>
          <w:szCs w:val="24"/>
          <w:lang w:val="en-US" w:eastAsia="zh-CN"/>
        </w:rPr>
      </w:pPr>
      <w:bookmarkStart w:id="112" w:name="_Toc453781906"/>
      <w:r>
        <w:rPr>
          <w:rFonts w:hint="eastAsia" w:ascii="仿宋" w:hAnsi="仿宋" w:eastAsia="仿宋" w:cs="仿宋"/>
          <w:b/>
          <w:bCs/>
          <w:sz w:val="24"/>
          <w:szCs w:val="24"/>
          <w:lang w:val="en-US" w:eastAsia="zh-CN"/>
        </w:rPr>
        <w:t>27、对投标文件的初审</w:t>
      </w:r>
      <w:bookmarkEnd w:id="112"/>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27.1投标文件初审分为资格性检查和符合性检查。</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格性检查：依据法律法规和招标文件的规定，对投标文件中的资格证明文件、投标保证金等进行资格性审查同时，将在“信用中国”（www.creditchina.gov.cn）、“中国政府采购网"(www.ccgp.gov.cn)、“国家企业信用公示系统”（www.gsxt.gov.cn）网站对投标供应商是否被列入失信被执行人、重大税收违法案件当事人名单、政府采购严重失信行为记录名单、经营异常名录信息、严重违法失信企业名单、受到较大数额罚款行政处罚的情况进行查询，以确定投标供应商是否具备投标资格。查询结果将以网页打印的形式留存并归档。</w:t>
      </w:r>
    </w:p>
    <w:p>
      <w:pPr>
        <w:spacing w:after="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符合性检查：依据招标文件的规定，从投标文件的有效性、完整性和对招标文件的响应程度进行审查，以确定是否对招标文件的实质性要求作出响应。</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27.2在详细评标之前，评委会将首先审查每份投标文件是否实质性响应了招标文件的要求。实质性响应的投标应该是与招标文件要求的全部条款、条件和规格相符，没有重大偏离或保留的投标。</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谓重大偏离或保留是指与招标文件规定的实质性要求存在负偏离，或者在实质上与招标文件不一致，而且限制了合同中买方和见证方的权利或投标供应商的义务，纠正这些偏离或保留将会对其他实质性响应要求的投标供应商的竞争地位产生不公正的影响。重大偏离的认定需经过评委会三分二及以上成员的认定。评委决定投标文件的响应性只根据投标文件本身的内容，而不寻求外部的证据。</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27.3如果投标文件实质上没有响应招标文件的要求，评委会将予以拒绝，投标供应商不得通过修改或撤销不合要求的偏离或保留而使其投标成为实质性响应的投标。</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27.4评委会将对确定为实质性响应的投标进行进一步审核，看其是否有计算上或累加上的算术错误，修正错误的原则如下：</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如果用数字表示的金额和用文字表示的金额不一致时，应以文字表示的金额为准进行修正；</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(2)当单价与数量的乘积和总价不一致时，以单价为准进行修正。只有在评委会认为单价有明显的小数点错误时，才能以标出的总价为准，并修改单价。</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27.5评委会将按上述修正错误的方法调整投标文件中的投标报价，调整后的价格应对投标供应商具有约束力。如果投标供应商不接受修正后的价格，则其投标将被拒绝，其投标保证金不予退还。</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27.6评委会将允许修正投标文件中不构成重大偏离的、微小的、非正规的、不一致的或不规则的地方，但这些修改不能影响任何投标供应商相应的名次排列。</w:t>
      </w:r>
    </w:p>
    <w:p>
      <w:pPr>
        <w:spacing w:after="0" w:line="360" w:lineRule="auto"/>
        <w:ind w:firstLine="468" w:firstLineChars="195"/>
        <w:rPr>
          <w:rFonts w:hint="eastAsia" w:ascii="仿宋" w:hAnsi="仿宋" w:eastAsia="仿宋" w:cs="仿宋"/>
          <w:b/>
          <w:bCs/>
          <w:sz w:val="24"/>
          <w:szCs w:val="24"/>
          <w:lang w:val="zh-CN" w:eastAsia="zh-CN"/>
        </w:rPr>
      </w:pPr>
      <w:bookmarkStart w:id="113" w:name="_Toc453781907"/>
      <w:r>
        <w:rPr>
          <w:rFonts w:hint="eastAsia" w:ascii="仿宋" w:hAnsi="仿宋" w:eastAsia="仿宋" w:cs="仿宋"/>
          <w:b/>
          <w:bCs/>
          <w:sz w:val="24"/>
          <w:szCs w:val="24"/>
          <w:lang w:val="en-US" w:eastAsia="zh-CN"/>
        </w:rPr>
        <w:t>28、</w:t>
      </w:r>
      <w:r>
        <w:rPr>
          <w:rFonts w:hint="eastAsia" w:ascii="仿宋" w:hAnsi="仿宋" w:eastAsia="仿宋" w:cs="仿宋"/>
          <w:b/>
          <w:bCs/>
          <w:sz w:val="24"/>
          <w:szCs w:val="24"/>
          <w:lang w:val="zh-CN" w:eastAsia="zh-CN"/>
        </w:rPr>
        <w:t>评标方法和标准</w:t>
      </w:r>
    </w:p>
    <w:p>
      <w:pPr>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28.1</w:t>
      </w:r>
      <w:r>
        <w:rPr>
          <w:rFonts w:hint="eastAsia" w:ascii="仿宋" w:hAnsi="仿宋" w:eastAsia="仿宋" w:cs="仿宋"/>
          <w:sz w:val="24"/>
          <w:szCs w:val="24"/>
          <w:lang w:val="zh-CN"/>
        </w:rPr>
        <w:t>采用综合评分法。即在最大限度地满足招标文件实质性要求前提下，按照招标文件中规定的各项因素进行综合评审后，以评标总得分最高的投标供应商作为中标候选投标供应商或者中标供应商的评标方法。</w:t>
      </w:r>
    </w:p>
    <w:p>
      <w:pPr>
        <w:spacing w:after="0"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rPr>
        <w:t>8</w:t>
      </w:r>
      <w:r>
        <w:rPr>
          <w:rFonts w:hint="eastAsia" w:ascii="仿宋" w:hAnsi="仿宋" w:eastAsia="仿宋" w:cs="仿宋"/>
          <w:sz w:val="24"/>
          <w:szCs w:val="24"/>
          <w:lang w:val="zh-CN"/>
        </w:rPr>
        <w:t>.2 综合评分的主要因素是：价格、技术或服务水平、售后服务、履约能力等对招标文件响应程度等。</w:t>
      </w:r>
    </w:p>
    <w:p>
      <w:pPr>
        <w:spacing w:after="0" w:line="360" w:lineRule="auto"/>
        <w:ind w:firstLine="480" w:firstLineChars="200"/>
        <w:rPr>
          <w:rFonts w:hint="eastAsia" w:ascii="仿宋" w:hAnsi="仿宋" w:eastAsia="仿宋" w:cs="仿宋"/>
          <w:sz w:val="28"/>
          <w:szCs w:val="28"/>
        </w:rPr>
      </w:pPr>
      <w:r>
        <w:rPr>
          <w:rFonts w:hint="eastAsia" w:ascii="仿宋" w:hAnsi="仿宋" w:eastAsia="仿宋" w:cs="仿宋"/>
          <w:sz w:val="24"/>
          <w:szCs w:val="24"/>
          <w:lang w:val="zh-CN"/>
        </w:rPr>
        <w:t>2</w:t>
      </w:r>
      <w:r>
        <w:rPr>
          <w:rFonts w:hint="eastAsia" w:ascii="仿宋" w:hAnsi="仿宋" w:eastAsia="仿宋" w:cs="仿宋"/>
          <w:sz w:val="24"/>
          <w:szCs w:val="24"/>
        </w:rPr>
        <w:t>8</w:t>
      </w:r>
      <w:r>
        <w:rPr>
          <w:rFonts w:hint="eastAsia" w:ascii="仿宋" w:hAnsi="仿宋" w:eastAsia="仿宋" w:cs="仿宋"/>
          <w:sz w:val="24"/>
          <w:szCs w:val="24"/>
          <w:lang w:val="zh-CN"/>
        </w:rPr>
        <w:t>.3</w:t>
      </w:r>
      <w:r>
        <w:rPr>
          <w:rFonts w:hint="eastAsia" w:ascii="仿宋" w:hAnsi="仿宋" w:eastAsia="仿宋" w:cs="仿宋"/>
          <w:sz w:val="24"/>
          <w:szCs w:val="24"/>
        </w:rPr>
        <w:t xml:space="preserve"> 评分标准详见文件第五章。</w:t>
      </w:r>
    </w:p>
    <w:p>
      <w:pPr>
        <w:spacing w:after="0" w:line="360" w:lineRule="auto"/>
        <w:ind w:firstLine="468" w:firstLineChars="195"/>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29、无效投标条款和废标条款</w:t>
      </w:r>
      <w:bookmarkEnd w:id="113"/>
    </w:p>
    <w:p>
      <w:pPr>
        <w:spacing w:after="0" w:line="360" w:lineRule="auto"/>
        <w:ind w:left="501" w:leftChars="228"/>
        <w:rPr>
          <w:rFonts w:hint="eastAsia" w:ascii="仿宋" w:hAnsi="仿宋" w:eastAsia="仿宋" w:cs="仿宋"/>
          <w:i/>
          <w:iCs/>
          <w:sz w:val="24"/>
          <w:szCs w:val="24"/>
          <w:u w:val="single"/>
        </w:rPr>
      </w:pPr>
      <w:r>
        <w:rPr>
          <w:rFonts w:hint="eastAsia" w:ascii="仿宋" w:hAnsi="仿宋" w:eastAsia="仿宋" w:cs="仿宋"/>
          <w:sz w:val="24"/>
          <w:szCs w:val="24"/>
        </w:rPr>
        <w:t>29.1无效投标条款</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29.1.1未按要求交纳投标保证金的；</w:t>
      </w:r>
    </w:p>
    <w:p>
      <w:pPr>
        <w:spacing w:after="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29.1.2未按照招标文件要求密封、签署、盖章的；</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29.1.3投标供应商在报价时采用选择性报价的；</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29.1.4投标供应商不具备招标文件中规定资格要求及不符合财政部财库（2016）125号文件规定的；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29.1.5投标供应商的报价超过了采购预算的；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29.1.6未通过符合性检查的；</w:t>
      </w:r>
    </w:p>
    <w:p>
      <w:pPr>
        <w:spacing w:after="0"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 29.1.7</w:t>
      </w:r>
      <w:r>
        <w:rPr>
          <w:rFonts w:hint="eastAsia" w:ascii="仿宋" w:hAnsi="仿宋" w:eastAsia="仿宋" w:cs="仿宋"/>
          <w:b/>
          <w:bCs/>
          <w:i/>
          <w:iCs/>
          <w:sz w:val="24"/>
          <w:szCs w:val="24"/>
          <w:u w:val="single"/>
        </w:rPr>
        <w:t>不符合招标文件中规定的其他实质性要求和条件的（本招标文件中斜体且有下划线部分为实质性要求和条件）；</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29.2废标条款：</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29.2.1符合专业条件的投标供应商或者对招标文件作实质响应的投标供应商不足三家的；</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29.2.2出现影响采购公正的违法、违规行为的；</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29.2.3因重大变故，采购任务取消的；</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29.2.4评标委员会认定招标文件存在歧义、 重大缺陷导致评审工作无法进行。</w:t>
      </w:r>
    </w:p>
    <w:p>
      <w:pPr>
        <w:spacing w:after="0" w:line="360" w:lineRule="auto"/>
        <w:ind w:left="501" w:leftChars="228"/>
        <w:rPr>
          <w:rFonts w:hint="eastAsia" w:ascii="仿宋" w:hAnsi="仿宋" w:eastAsia="仿宋" w:cs="仿宋"/>
          <w:sz w:val="24"/>
          <w:szCs w:val="24"/>
        </w:rPr>
      </w:pPr>
      <w:r>
        <w:rPr>
          <w:rFonts w:hint="eastAsia" w:ascii="仿宋" w:hAnsi="仿宋" w:eastAsia="仿宋" w:cs="仿宋"/>
          <w:sz w:val="24"/>
          <w:szCs w:val="24"/>
        </w:rPr>
        <w:t>29.3 投标截止时间结束后参加投标的投标供应商不足三家的处理：</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29.3.1如出现投标截止时间结束后参加投标的投标供应商或者在评标期间对招标文件做出实质响应的投标供应商不足三家情况，按财政部第87号令第四十三条的规定执行。</w:t>
      </w:r>
    </w:p>
    <w:p>
      <w:pPr>
        <w:spacing w:after="0" w:line="360" w:lineRule="auto"/>
        <w:rPr>
          <w:rFonts w:hint="eastAsia" w:ascii="仿宋" w:hAnsi="仿宋" w:eastAsia="仿宋" w:cs="仿宋"/>
          <w:b/>
          <w:bCs w:val="0"/>
          <w:sz w:val="28"/>
          <w:szCs w:val="28"/>
          <w:lang w:eastAsia="zh-CN"/>
        </w:rPr>
      </w:pPr>
      <w:bookmarkStart w:id="114" w:name="_Toc29461"/>
      <w:bookmarkStart w:id="115" w:name="_Toc8408"/>
      <w:bookmarkStart w:id="116" w:name="_Toc25078"/>
      <w:bookmarkStart w:id="117" w:name="_Toc8033"/>
      <w:bookmarkStart w:id="118" w:name="_Toc27240"/>
      <w:bookmarkStart w:id="119" w:name="_Toc27065"/>
      <w:bookmarkStart w:id="120" w:name="_Toc453781908"/>
      <w:bookmarkStart w:id="121" w:name="_Toc444669976"/>
      <w:bookmarkStart w:id="122" w:name="_Toc7390"/>
      <w:r>
        <w:rPr>
          <w:rFonts w:hint="eastAsia" w:ascii="仿宋" w:hAnsi="仿宋" w:eastAsia="仿宋" w:cs="仿宋"/>
          <w:b/>
          <w:bCs w:val="0"/>
          <w:sz w:val="28"/>
          <w:szCs w:val="28"/>
          <w:lang w:eastAsia="zh-CN"/>
        </w:rPr>
        <w:t>六、定标</w:t>
      </w:r>
      <w:bookmarkEnd w:id="114"/>
      <w:bookmarkEnd w:id="115"/>
      <w:bookmarkEnd w:id="116"/>
      <w:bookmarkEnd w:id="117"/>
      <w:bookmarkEnd w:id="118"/>
      <w:bookmarkEnd w:id="119"/>
      <w:bookmarkEnd w:id="120"/>
      <w:bookmarkEnd w:id="121"/>
      <w:bookmarkEnd w:id="122"/>
    </w:p>
    <w:p>
      <w:pPr>
        <w:spacing w:after="0" w:line="360" w:lineRule="auto"/>
        <w:ind w:firstLine="468" w:firstLineChars="195"/>
        <w:rPr>
          <w:rFonts w:hint="eastAsia" w:ascii="仿宋" w:hAnsi="仿宋" w:eastAsia="仿宋" w:cs="仿宋"/>
          <w:b/>
          <w:bCs/>
          <w:sz w:val="24"/>
          <w:szCs w:val="24"/>
          <w:lang w:val="en-US" w:eastAsia="zh-CN"/>
        </w:rPr>
      </w:pPr>
      <w:bookmarkStart w:id="123" w:name="_Toc453781909"/>
      <w:r>
        <w:rPr>
          <w:rFonts w:hint="eastAsia" w:ascii="仿宋" w:hAnsi="仿宋" w:eastAsia="仿宋" w:cs="仿宋"/>
          <w:b/>
          <w:bCs/>
          <w:sz w:val="24"/>
          <w:szCs w:val="24"/>
          <w:lang w:val="en-US" w:eastAsia="zh-CN"/>
        </w:rPr>
        <w:t>30、确定中标单位</w:t>
      </w:r>
      <w:bookmarkEnd w:id="123"/>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30.1评委会根据本招标文件规定评分办法与评分标准向采购人推荐出中标候选人。</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采购人应根据评委会推荐的中标候选人确定中标人。</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30.3采购代理机构将在</w:t>
      </w:r>
      <w:r>
        <w:rPr>
          <w:rFonts w:hint="eastAsia" w:ascii="仿宋" w:hAnsi="仿宋" w:eastAsia="仿宋" w:cs="仿宋"/>
          <w:bCs/>
          <w:sz w:val="24"/>
          <w:szCs w:val="24"/>
        </w:rPr>
        <w:t>“</w:t>
      </w:r>
      <w:r>
        <w:rPr>
          <w:rFonts w:hint="eastAsia" w:ascii="仿宋" w:hAnsi="仿宋" w:eastAsia="仿宋" w:cs="仿宋"/>
          <w:bCs w:val="0"/>
          <w:sz w:val="24"/>
          <w:highlight w:val="none"/>
          <w:lang w:eastAsia="zh-CN"/>
        </w:rPr>
        <w:t>南京医科大学官网（https://www.njmu.edu.cn/）</w:t>
      </w:r>
      <w:r>
        <w:rPr>
          <w:rFonts w:hint="eastAsia" w:ascii="仿宋" w:hAnsi="仿宋" w:eastAsia="仿宋" w:cs="仿宋"/>
          <w:bCs/>
          <w:sz w:val="24"/>
          <w:szCs w:val="24"/>
        </w:rPr>
        <w:t>”</w:t>
      </w:r>
      <w:r>
        <w:rPr>
          <w:rFonts w:hint="eastAsia" w:ascii="仿宋" w:hAnsi="仿宋" w:eastAsia="仿宋" w:cs="仿宋"/>
          <w:sz w:val="24"/>
          <w:szCs w:val="24"/>
        </w:rPr>
        <w:t>发布中标公告，公告期限为1个工作日。</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30.4若有充分证据证明，中标人出现下列情况之一的，一经查实，将被取消中标资格：</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30.4.1提供虚假材料谋取中标的；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30.4.2向采购人、采购代理机构行贿或者提供其他不正当利益的；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30.4.3恶意竞争，投标总报价明显低于其自身合理成本且又无法提供证明的；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30.4.4属于本文件规定的无效条件，但在评标过程中又未被评委会发现的；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30.4.5与采购人或者其他投标供应商恶意串通的；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30.4.6采取不正当手段诋毁、排挤其他投标供应商的；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30.4.7不符合法律、法规的规定的。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30.5.有下列情形之一的，属于恶意串通：</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30.5.1投标供应商直接或者间接从采购人或者采购代理机构处获得其他投标供应商的相关情况并修改其投标文件或者投标文件；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30.5.2投标供应商按照采购人或者采购代理机构的授意撤换、修改投标文件或者投标文件；</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30.5.3投标供应商之间协商报价、技术方案等投标文件或者投标文件的实质性内容；</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30.5.4属于同一集团、协会、商会等组织成员的投标供应商按照该组织要求协同参加政府采购活动；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30.5.5投标供应商之间事先约定由某一特定投标供应商中标、成交；</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30.5.6投标供应商之间商定部分投标供应商放弃参加政府采购活动或者放弃中标、成交；</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30.5.7投标供应商与采购人或者采购代理机构之间、投标供应商相互之间，为谋求特定投标供应商中标、成交或者排斥其他投标供应商的其他串通行为。</w:t>
      </w:r>
    </w:p>
    <w:p>
      <w:pPr>
        <w:spacing w:after="0" w:line="360" w:lineRule="auto"/>
        <w:ind w:firstLine="468" w:firstLineChars="195"/>
        <w:rPr>
          <w:rFonts w:hint="eastAsia" w:ascii="仿宋" w:hAnsi="仿宋" w:eastAsia="仿宋" w:cs="仿宋"/>
          <w:b/>
          <w:bCs/>
          <w:sz w:val="24"/>
          <w:szCs w:val="24"/>
          <w:lang w:val="en-US" w:eastAsia="zh-CN"/>
        </w:rPr>
      </w:pPr>
      <w:bookmarkStart w:id="124" w:name="_Toc453781910"/>
      <w:r>
        <w:rPr>
          <w:rFonts w:hint="eastAsia" w:ascii="仿宋" w:hAnsi="仿宋" w:eastAsia="仿宋" w:cs="仿宋"/>
          <w:b/>
          <w:bCs/>
          <w:sz w:val="24"/>
          <w:szCs w:val="24"/>
          <w:lang w:val="en-US" w:eastAsia="zh-CN"/>
        </w:rPr>
        <w:t>31、质疑处理</w:t>
      </w:r>
      <w:bookmarkEnd w:id="124"/>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31.1参加投标供应商认为采购文件、采购过程和采购结果使自己的权益受到损害的，可以在知道或应知其权益受到损害之日起七个工作日内，以书面形式向采购代理机构或采购人提出质疑。上述应知其权益受到损害之日，是指：</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31.1.1对可以质疑的采购文件提出质疑的，为发出采购公告之日起至采购文件公告期限届满之日；</w:t>
      </w:r>
    </w:p>
    <w:p>
      <w:pPr>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31.1.2对采购过程提出质疑的，为各采购程序环节结束之日；</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31.1.3对中标或者成交结果提出质疑的，为中标或者成交结果公告期限届满之日。</w:t>
      </w:r>
    </w:p>
    <w:p>
      <w:pPr>
        <w:spacing w:line="440" w:lineRule="exact"/>
        <w:ind w:firstLine="468" w:firstLineChars="195"/>
        <w:rPr>
          <w:rFonts w:hint="eastAsia" w:ascii="仿宋" w:hAnsi="仿宋" w:eastAsia="仿宋" w:cs="仿宋"/>
          <w:sz w:val="24"/>
          <w:szCs w:val="24"/>
        </w:rPr>
      </w:pPr>
      <w:r>
        <w:rPr>
          <w:rFonts w:hint="eastAsia" w:ascii="仿宋" w:hAnsi="仿宋" w:eastAsia="仿宋" w:cs="仿宋"/>
          <w:sz w:val="24"/>
          <w:szCs w:val="24"/>
        </w:rPr>
        <w:t>31.2质疑必须按《政府采购法》、《政府采购法实施条例》、中华人民共和国财政部令第94号令《政府采购质疑和投诉办法》的相关规定提交，未按上述要求提交的质疑函（含传真、电子邮件等）采购代理机构有权要求质疑供应商按规定予以修正。</w:t>
      </w:r>
    </w:p>
    <w:p>
      <w:pPr>
        <w:spacing w:after="0"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31.3未参加投标活动的投标供应商或在投标活动中自身权益未受到损害的投标供应商所提出的质疑不予受理。</w:t>
      </w:r>
    </w:p>
    <w:p>
      <w:pPr>
        <w:spacing w:after="0"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31.4提出质疑应当提交质疑函和必要的证明材料。质疑函应当包括下列内容：</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（一）投标供应商的姓名或者名称、地址、邮编、联系人及联系电话；</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（二）质疑项目的名称、编号；</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（三）具体、明确的质疑事项和与质疑事项相关的请求；</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（四）事实依据；</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（五）必要的法律依据；</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（六）提出质疑的日期。</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投标供应商为自然人的，应当由本人签字；投标供应商为法人或者其他组织的，应当由法定代表人、主要负责人，或者其授权代表签字或者盖章，并加盖公章。</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质疑人委托代理质疑的，应当向采购代理机构提交授权委托书，并载明委托代理的具体权限和事项。</w:t>
      </w:r>
    </w:p>
    <w:p>
      <w:pPr>
        <w:spacing w:after="0"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31.5采购代理机构收到质疑函后，将对质疑的形式和内容进行审查，如质疑函内容、格式不符合规定，采购代理机构将告知质疑人进行补正。</w:t>
      </w:r>
    </w:p>
    <w:p>
      <w:pPr>
        <w:spacing w:after="0"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31.6质疑人应当在法定质疑期限内进行补正并重新提交质疑函，拒不补正或者在法定期限内未重新提交质疑函的，为无效质疑，采购代理机构有权不予受理。</w:t>
      </w:r>
    </w:p>
    <w:p>
      <w:pPr>
        <w:spacing w:after="0"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31.7对于内容、格式符合规定的质疑函，采购代理机构应当在收到投标供应商的书面质疑后七个工作日内作出答复，并以书面形式通知质疑供应商和其他有关供应商，但答复的内容不得涉及商业秘密。</w:t>
      </w:r>
    </w:p>
    <w:p>
      <w:pPr>
        <w:spacing w:after="0"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31.8投标供应商提出书面质疑必须有理、有据，不得恶意质疑或提交虚假质疑。否则，一经查实，采购代理机构有权依据政府采购的有关规定，报请政府采购监管部门对该投标供应商进行相应的行政处罚。</w:t>
      </w:r>
    </w:p>
    <w:p>
      <w:pPr>
        <w:spacing w:after="0" w:line="360" w:lineRule="auto"/>
        <w:ind w:firstLine="480" w:firstLineChars="200"/>
        <w:rPr>
          <w:rFonts w:hint="eastAsia" w:ascii="仿宋" w:hAnsi="仿宋" w:eastAsia="仿宋" w:cs="仿宋"/>
          <w:b/>
          <w:bCs w:val="0"/>
          <w:sz w:val="24"/>
        </w:rPr>
      </w:pPr>
      <w:bookmarkStart w:id="125" w:name="_Toc453781911"/>
      <w:r>
        <w:rPr>
          <w:rFonts w:hint="eastAsia" w:ascii="仿宋" w:hAnsi="仿宋" w:eastAsia="仿宋" w:cs="仿宋"/>
          <w:b/>
          <w:bCs w:val="0"/>
          <w:sz w:val="24"/>
        </w:rPr>
        <w:t>32、中标通知书</w:t>
      </w:r>
      <w:bookmarkEnd w:id="125"/>
    </w:p>
    <w:p>
      <w:pPr>
        <w:spacing w:after="0"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32.l 中标结果确定后，采购代理机构将向中标供应商发出中标通知书。</w:t>
      </w:r>
    </w:p>
    <w:p>
      <w:pPr>
        <w:spacing w:after="0"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32.2 中标供应商收到中标通知书后，须立即以书面形式回复采购代理机构，确认中标通知书已收到。若无书面回复，则公告后视同中标人已经知悉并同意接受。</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32.3中标通知书将是合同的一个组成部分。对采购人和中标供应商均具有法律效力。中标通知书发出后，采购人改变中标结果的，或者中标供应商放弃中标项目的，应当依法承担法律责任。</w:t>
      </w:r>
    </w:p>
    <w:p>
      <w:pPr>
        <w:spacing w:after="0" w:line="360" w:lineRule="auto"/>
        <w:rPr>
          <w:rFonts w:hint="eastAsia" w:ascii="仿宋" w:hAnsi="仿宋" w:eastAsia="仿宋" w:cs="仿宋"/>
          <w:b/>
          <w:bCs w:val="0"/>
          <w:sz w:val="28"/>
          <w:szCs w:val="28"/>
          <w:lang w:eastAsia="zh-CN"/>
        </w:rPr>
      </w:pPr>
      <w:bookmarkStart w:id="126" w:name="_Toc16581"/>
      <w:bookmarkStart w:id="127" w:name="_Toc12380"/>
      <w:bookmarkStart w:id="128" w:name="_Toc17071"/>
      <w:bookmarkStart w:id="129" w:name="_Toc444669977"/>
      <w:bookmarkStart w:id="130" w:name="_Toc29192"/>
      <w:bookmarkStart w:id="131" w:name="_Toc11807"/>
      <w:bookmarkStart w:id="132" w:name="_Toc6701"/>
      <w:bookmarkStart w:id="133" w:name="_Toc4657"/>
      <w:bookmarkStart w:id="134" w:name="_Toc453781912"/>
      <w:r>
        <w:rPr>
          <w:rFonts w:hint="eastAsia" w:ascii="仿宋" w:hAnsi="仿宋" w:eastAsia="仿宋" w:cs="仿宋"/>
          <w:b/>
          <w:bCs w:val="0"/>
          <w:sz w:val="28"/>
          <w:szCs w:val="28"/>
          <w:lang w:val="en-US" w:eastAsia="zh-CN"/>
        </w:rPr>
        <w:t>七、授予合同</w:t>
      </w:r>
      <w:bookmarkEnd w:id="126"/>
      <w:bookmarkEnd w:id="127"/>
      <w:bookmarkEnd w:id="128"/>
      <w:bookmarkEnd w:id="129"/>
      <w:bookmarkEnd w:id="130"/>
      <w:bookmarkEnd w:id="131"/>
      <w:bookmarkEnd w:id="132"/>
      <w:bookmarkEnd w:id="133"/>
      <w:bookmarkEnd w:id="134"/>
      <w:r>
        <w:rPr>
          <w:rFonts w:hint="eastAsia" w:ascii="仿宋" w:hAnsi="仿宋" w:eastAsia="仿宋" w:cs="仿宋"/>
          <w:b/>
          <w:bCs w:val="0"/>
          <w:sz w:val="28"/>
          <w:szCs w:val="28"/>
          <w:lang w:eastAsia="zh-CN"/>
        </w:rPr>
        <w:tab/>
      </w:r>
    </w:p>
    <w:p>
      <w:pPr>
        <w:spacing w:after="0" w:line="360" w:lineRule="auto"/>
        <w:ind w:firstLine="468" w:firstLineChars="195"/>
        <w:rPr>
          <w:rFonts w:hint="eastAsia" w:ascii="仿宋" w:hAnsi="仿宋" w:eastAsia="仿宋" w:cs="仿宋"/>
          <w:b/>
          <w:bCs/>
          <w:sz w:val="24"/>
          <w:szCs w:val="24"/>
          <w:lang w:val="en-US" w:eastAsia="zh-CN"/>
        </w:rPr>
      </w:pPr>
      <w:bookmarkStart w:id="135" w:name="_Toc453781913"/>
      <w:r>
        <w:rPr>
          <w:rFonts w:hint="eastAsia" w:ascii="仿宋" w:hAnsi="仿宋" w:eastAsia="仿宋" w:cs="仿宋"/>
          <w:b/>
          <w:bCs/>
          <w:sz w:val="24"/>
          <w:szCs w:val="24"/>
          <w:lang w:val="en-US" w:eastAsia="zh-CN"/>
        </w:rPr>
        <w:t>33. 签订合同</w:t>
      </w:r>
      <w:bookmarkEnd w:id="135"/>
    </w:p>
    <w:p>
      <w:pPr>
        <w:spacing w:after="0"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33.1中标人应按中标通知书规定的时间、地点,按照招标文件确定的事项与采购人签订政府采购合同，且不得迟于中标通知书发出之日起三十日内，由此给采购人造成损失的，中标人还应承担赔偿责任。</w:t>
      </w:r>
    </w:p>
    <w:p>
      <w:pPr>
        <w:spacing w:after="0"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33.2招标文件、中标人的投标文件及招标过程中有关澄清、承诺文件均应作为合同附件。</w:t>
      </w:r>
    </w:p>
    <w:p>
      <w:pPr>
        <w:spacing w:after="0"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33.3 签订合同后</w:t>
      </w:r>
      <w:r>
        <w:rPr>
          <w:rFonts w:hint="eastAsia" w:ascii="仿宋" w:hAnsi="仿宋" w:eastAsia="仿宋" w:cs="仿宋"/>
          <w:b/>
          <w:bCs/>
          <w:sz w:val="24"/>
          <w:szCs w:val="24"/>
        </w:rPr>
        <w:t>，</w:t>
      </w:r>
      <w:r>
        <w:rPr>
          <w:rFonts w:hint="eastAsia" w:ascii="仿宋" w:hAnsi="仿宋" w:eastAsia="仿宋" w:cs="仿宋"/>
          <w:b/>
          <w:bCs/>
          <w:i/>
          <w:iCs/>
          <w:sz w:val="24"/>
          <w:szCs w:val="24"/>
          <w:u w:val="single"/>
        </w:rPr>
        <w:t>中标人不得将货物及其他相关服务进行转包</w:t>
      </w:r>
      <w:r>
        <w:rPr>
          <w:rFonts w:hint="eastAsia" w:ascii="仿宋" w:hAnsi="仿宋" w:eastAsia="仿宋" w:cs="仿宋"/>
          <w:b/>
          <w:bCs/>
          <w:sz w:val="24"/>
          <w:szCs w:val="24"/>
        </w:rPr>
        <w:t>。</w:t>
      </w:r>
      <w:r>
        <w:rPr>
          <w:rFonts w:hint="eastAsia" w:ascii="仿宋" w:hAnsi="仿宋" w:eastAsia="仿宋" w:cs="仿宋"/>
          <w:sz w:val="24"/>
          <w:szCs w:val="24"/>
        </w:rPr>
        <w:t>未经采购人同意，中标人也不得采用分包的形式履行合同，否则采购人有权终止合同，中标人的履约保证金将不予退还。转包或分包造成采购人损失的，中标人应承担相应赔偿责任。</w:t>
      </w:r>
    </w:p>
    <w:p>
      <w:pPr>
        <w:spacing w:after="0" w:line="360" w:lineRule="auto"/>
        <w:ind w:firstLine="468" w:firstLineChars="195"/>
        <w:rPr>
          <w:rFonts w:hint="eastAsia" w:ascii="仿宋" w:hAnsi="仿宋" w:eastAsia="仿宋" w:cs="仿宋"/>
          <w:b/>
          <w:bCs/>
          <w:sz w:val="24"/>
          <w:szCs w:val="24"/>
          <w:lang w:val="en-US" w:eastAsia="zh-CN"/>
        </w:rPr>
      </w:pPr>
      <w:bookmarkStart w:id="136" w:name="_Toc453781914"/>
      <w:r>
        <w:rPr>
          <w:rFonts w:hint="eastAsia" w:ascii="仿宋" w:hAnsi="仿宋" w:eastAsia="仿宋" w:cs="仿宋"/>
          <w:b/>
          <w:bCs/>
          <w:sz w:val="24"/>
          <w:szCs w:val="24"/>
          <w:lang w:val="en-US" w:eastAsia="zh-CN"/>
        </w:rPr>
        <w:t>34、货物和服务的追加、减少和添购。</w:t>
      </w:r>
      <w:bookmarkEnd w:id="136"/>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34.1政府采购合同履行中，采购人需追加与合同标的相同的货物和服务的，在不改变合同其他条款的前提下，可以与中标人协商签订补充合同，但所有补充合同的采购金额不超过原合同金额10%。</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34.2采购结束后，采购人若由于各种客观原因，必须对采购项目所牵涉的货物和服务进行适当的减少时，在双方协商一致的前提下，可以按照招标采购时的价格水平做相应的调减，并据此签订补充合同。</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br w:type="page"/>
      </w:r>
    </w:p>
    <w:p>
      <w:pPr>
        <w:pStyle w:val="28"/>
        <w:spacing w:afterLines="0" w:line="360" w:lineRule="auto"/>
        <w:rPr>
          <w:rFonts w:hint="eastAsia" w:ascii="仿宋" w:hAnsi="仿宋" w:eastAsia="仿宋" w:cs="仿宋"/>
          <w:color w:val="000000"/>
          <w:sz w:val="44"/>
          <w:szCs w:val="44"/>
        </w:rPr>
      </w:pPr>
      <w:bookmarkStart w:id="137" w:name="_Toc16499"/>
      <w:bookmarkStart w:id="138" w:name="_Toc24849"/>
      <w:bookmarkStart w:id="139" w:name="_Toc3904"/>
      <w:bookmarkStart w:id="140" w:name="_Toc25251"/>
      <w:bookmarkStart w:id="141" w:name="_Toc16"/>
      <w:bookmarkStart w:id="142" w:name="_Toc13098"/>
      <w:r>
        <w:rPr>
          <w:rFonts w:hint="eastAsia" w:ascii="仿宋" w:hAnsi="仿宋" w:eastAsia="仿宋" w:cs="仿宋"/>
          <w:color w:val="000000"/>
          <w:sz w:val="44"/>
          <w:szCs w:val="44"/>
        </w:rPr>
        <w:t xml:space="preserve">第三章  </w:t>
      </w:r>
      <w:bookmarkEnd w:id="37"/>
      <w:bookmarkEnd w:id="38"/>
      <w:bookmarkEnd w:id="39"/>
      <w:bookmarkEnd w:id="40"/>
      <w:bookmarkEnd w:id="41"/>
      <w:bookmarkEnd w:id="42"/>
      <w:bookmarkEnd w:id="137"/>
      <w:bookmarkStart w:id="143" w:name="_Toc32263"/>
      <w:bookmarkStart w:id="144" w:name="_Toc324237148"/>
      <w:bookmarkStart w:id="145" w:name="_Toc49090575"/>
      <w:bookmarkStart w:id="146" w:name="_Toc26554093"/>
      <w:bookmarkStart w:id="147" w:name="_Toc120614281"/>
      <w:bookmarkStart w:id="148" w:name="_Toc462564139"/>
      <w:bookmarkStart w:id="149" w:name="_Toc479757211"/>
      <w:r>
        <w:rPr>
          <w:rFonts w:hint="eastAsia" w:ascii="仿宋" w:hAnsi="仿宋" w:eastAsia="仿宋" w:cs="仿宋"/>
          <w:color w:val="000000"/>
          <w:sz w:val="44"/>
          <w:szCs w:val="44"/>
        </w:rPr>
        <w:t>合同条款及格式</w:t>
      </w:r>
      <w:bookmarkEnd w:id="138"/>
      <w:bookmarkEnd w:id="139"/>
      <w:bookmarkEnd w:id="140"/>
      <w:bookmarkEnd w:id="141"/>
      <w:bookmarkEnd w:id="142"/>
    </w:p>
    <w:p>
      <w:pPr>
        <w:spacing w:after="0" w:line="360" w:lineRule="auto"/>
        <w:ind w:firstLine="440" w:firstLineChars="200"/>
        <w:rPr>
          <w:rFonts w:hint="eastAsia" w:ascii="仿宋" w:hAnsi="仿宋" w:eastAsia="仿宋" w:cs="仿宋"/>
        </w:rPr>
      </w:pPr>
      <w:bookmarkStart w:id="150" w:name="_Toc20823315"/>
      <w:bookmarkStart w:id="151" w:name="_Toc16938559"/>
      <w:bookmarkStart w:id="152" w:name="_Toc513029243"/>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甲方：（买方）南京医科大学           乙方：（卖方）               </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地址：                               地址：                       </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联系方式：                           联系方式：                   </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甲、乙双方根据</w:t>
      </w:r>
      <w:r>
        <w:rPr>
          <w:rFonts w:hint="eastAsia" w:ascii="仿宋" w:hAnsi="仿宋" w:eastAsia="仿宋" w:cs="仿宋"/>
          <w:b/>
          <w:bCs/>
          <w:sz w:val="24"/>
          <w:szCs w:val="24"/>
          <w:lang w:eastAsia="zh-CN"/>
        </w:rPr>
        <w:t>南京医科大学智能型荧光显微镜采购</w:t>
      </w:r>
      <w:r>
        <w:rPr>
          <w:rFonts w:hint="eastAsia" w:ascii="仿宋" w:hAnsi="仿宋" w:eastAsia="仿宋" w:cs="仿宋"/>
          <w:bCs/>
          <w:sz w:val="24"/>
        </w:rPr>
        <w:t>公开招标的结果，本着自愿及平等互利的原则，就甲方向乙方购买本合同约定的货物事宜，签署本合同。</w:t>
      </w:r>
    </w:p>
    <w:p>
      <w:pPr>
        <w:spacing w:after="0" w:line="360" w:lineRule="auto"/>
        <w:rPr>
          <w:rFonts w:hint="eastAsia" w:ascii="仿宋" w:hAnsi="仿宋" w:eastAsia="仿宋" w:cs="仿宋"/>
          <w:b/>
          <w:bCs w:val="0"/>
          <w:sz w:val="28"/>
          <w:szCs w:val="28"/>
          <w:lang w:val="en-US" w:eastAsia="zh-CN"/>
        </w:rPr>
      </w:pPr>
      <w:bookmarkStart w:id="153" w:name="_Toc12001"/>
      <w:r>
        <w:rPr>
          <w:rFonts w:hint="eastAsia" w:ascii="仿宋" w:hAnsi="仿宋" w:eastAsia="仿宋" w:cs="仿宋"/>
          <w:b/>
          <w:bCs w:val="0"/>
          <w:sz w:val="28"/>
          <w:szCs w:val="28"/>
          <w:lang w:val="en-US" w:eastAsia="zh-CN"/>
        </w:rPr>
        <w:t>一、货物内容、数量及金额</w:t>
      </w:r>
      <w:bookmarkEnd w:id="153"/>
    </w:p>
    <w:tbl>
      <w:tblPr>
        <w:tblStyle w:val="21"/>
        <w:tblW w:w="934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710"/>
        <w:gridCol w:w="2430"/>
        <w:gridCol w:w="1035"/>
        <w:gridCol w:w="1456"/>
        <w:gridCol w:w="156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150" w:type="dxa"/>
            <w:tcBorders>
              <w:top w:val="single" w:color="auto" w:sz="18" w:space="0"/>
              <w:bottom w:val="single" w:color="auto" w:sz="18" w:space="0"/>
            </w:tcBorders>
            <w:shd w:val="pct10" w:color="auto" w:fill="FFFFFF"/>
            <w:vAlign w:val="center"/>
          </w:tcPr>
          <w:p>
            <w:pPr>
              <w:spacing w:after="0" w:line="360" w:lineRule="auto"/>
              <w:jc w:val="center"/>
              <w:rPr>
                <w:rFonts w:hint="eastAsia" w:ascii="仿宋" w:hAnsi="仿宋" w:eastAsia="仿宋" w:cs="仿宋"/>
                <w:b/>
                <w:bCs w:val="0"/>
                <w:sz w:val="24"/>
              </w:rPr>
            </w:pPr>
            <w:r>
              <w:rPr>
                <w:rFonts w:hint="eastAsia" w:ascii="仿宋" w:hAnsi="仿宋" w:eastAsia="仿宋" w:cs="仿宋"/>
                <w:b/>
                <w:bCs w:val="0"/>
                <w:sz w:val="24"/>
              </w:rPr>
              <w:t>编号</w:t>
            </w:r>
          </w:p>
        </w:tc>
        <w:tc>
          <w:tcPr>
            <w:tcW w:w="1710" w:type="dxa"/>
            <w:tcBorders>
              <w:top w:val="single" w:color="auto" w:sz="18" w:space="0"/>
              <w:bottom w:val="single" w:color="auto" w:sz="18" w:space="0"/>
            </w:tcBorders>
            <w:shd w:val="pct10" w:color="auto" w:fill="FFFFFF"/>
            <w:vAlign w:val="center"/>
          </w:tcPr>
          <w:p>
            <w:pPr>
              <w:spacing w:after="0" w:line="360" w:lineRule="auto"/>
              <w:jc w:val="center"/>
              <w:rPr>
                <w:rFonts w:hint="eastAsia" w:ascii="仿宋" w:hAnsi="仿宋" w:eastAsia="仿宋" w:cs="仿宋"/>
                <w:b/>
                <w:bCs w:val="0"/>
                <w:sz w:val="24"/>
              </w:rPr>
            </w:pPr>
            <w:r>
              <w:rPr>
                <w:rFonts w:hint="eastAsia" w:ascii="仿宋" w:hAnsi="仿宋" w:eastAsia="仿宋" w:cs="仿宋"/>
                <w:b/>
                <w:bCs w:val="0"/>
                <w:sz w:val="24"/>
              </w:rPr>
              <w:t>货物名称</w:t>
            </w:r>
          </w:p>
        </w:tc>
        <w:tc>
          <w:tcPr>
            <w:tcW w:w="2430" w:type="dxa"/>
            <w:tcBorders>
              <w:top w:val="single" w:color="auto" w:sz="18" w:space="0"/>
              <w:bottom w:val="single" w:color="auto" w:sz="18" w:space="0"/>
            </w:tcBorders>
            <w:shd w:val="pct10" w:color="auto" w:fill="FFFFFF"/>
            <w:vAlign w:val="center"/>
          </w:tcPr>
          <w:p>
            <w:pPr>
              <w:spacing w:after="0" w:line="360" w:lineRule="auto"/>
              <w:jc w:val="center"/>
              <w:rPr>
                <w:rFonts w:hint="eastAsia" w:ascii="仿宋" w:hAnsi="仿宋" w:eastAsia="仿宋" w:cs="仿宋"/>
                <w:b/>
                <w:bCs w:val="0"/>
                <w:sz w:val="24"/>
              </w:rPr>
            </w:pPr>
            <w:r>
              <w:rPr>
                <w:rFonts w:hint="eastAsia" w:ascii="仿宋" w:hAnsi="仿宋" w:eastAsia="仿宋" w:cs="仿宋"/>
                <w:b/>
                <w:bCs w:val="0"/>
                <w:sz w:val="24"/>
              </w:rPr>
              <w:t>规格型号（品牌）</w:t>
            </w:r>
          </w:p>
        </w:tc>
        <w:tc>
          <w:tcPr>
            <w:tcW w:w="1035" w:type="dxa"/>
            <w:tcBorders>
              <w:top w:val="single" w:color="auto" w:sz="18" w:space="0"/>
              <w:bottom w:val="single" w:color="auto" w:sz="18" w:space="0"/>
            </w:tcBorders>
            <w:shd w:val="pct10" w:color="auto" w:fill="FFFFFF"/>
            <w:vAlign w:val="center"/>
          </w:tcPr>
          <w:p>
            <w:pPr>
              <w:spacing w:after="0" w:line="360" w:lineRule="auto"/>
              <w:jc w:val="center"/>
              <w:rPr>
                <w:rFonts w:hint="eastAsia" w:ascii="仿宋" w:hAnsi="仿宋" w:eastAsia="仿宋" w:cs="仿宋"/>
                <w:b/>
                <w:bCs w:val="0"/>
                <w:sz w:val="24"/>
              </w:rPr>
            </w:pPr>
            <w:r>
              <w:rPr>
                <w:rFonts w:hint="eastAsia" w:ascii="仿宋" w:hAnsi="仿宋" w:eastAsia="仿宋" w:cs="仿宋"/>
                <w:b/>
                <w:bCs w:val="0"/>
                <w:sz w:val="24"/>
              </w:rPr>
              <w:t>数量</w:t>
            </w:r>
          </w:p>
        </w:tc>
        <w:tc>
          <w:tcPr>
            <w:tcW w:w="1456" w:type="dxa"/>
            <w:tcBorders>
              <w:top w:val="single" w:color="auto" w:sz="18" w:space="0"/>
              <w:bottom w:val="single" w:color="auto" w:sz="18" w:space="0"/>
              <w:right w:val="single" w:color="auto" w:sz="4" w:space="0"/>
            </w:tcBorders>
            <w:shd w:val="pct10" w:color="auto" w:fill="FFFFFF"/>
            <w:vAlign w:val="center"/>
          </w:tcPr>
          <w:p>
            <w:pPr>
              <w:spacing w:after="0" w:line="360" w:lineRule="auto"/>
              <w:jc w:val="center"/>
              <w:rPr>
                <w:rFonts w:hint="eastAsia" w:ascii="仿宋" w:hAnsi="仿宋" w:eastAsia="仿宋" w:cs="仿宋"/>
                <w:b/>
                <w:bCs w:val="0"/>
                <w:sz w:val="24"/>
              </w:rPr>
            </w:pPr>
            <w:r>
              <w:rPr>
                <w:rFonts w:hint="eastAsia" w:ascii="仿宋" w:hAnsi="仿宋" w:eastAsia="仿宋" w:cs="仿宋"/>
                <w:b/>
                <w:bCs w:val="0"/>
                <w:sz w:val="24"/>
              </w:rPr>
              <w:t>单价（元）</w:t>
            </w:r>
          </w:p>
        </w:tc>
        <w:tc>
          <w:tcPr>
            <w:tcW w:w="1560" w:type="dxa"/>
            <w:tcBorders>
              <w:top w:val="single" w:color="auto" w:sz="18" w:space="0"/>
              <w:bottom w:val="single" w:color="auto" w:sz="18" w:space="0"/>
              <w:right w:val="single" w:color="auto" w:sz="4" w:space="0"/>
            </w:tcBorders>
            <w:shd w:val="pct10" w:color="auto" w:fill="FFFFFF"/>
            <w:vAlign w:val="center"/>
          </w:tcPr>
          <w:p>
            <w:pPr>
              <w:spacing w:after="0" w:line="360" w:lineRule="auto"/>
              <w:jc w:val="center"/>
              <w:rPr>
                <w:rFonts w:hint="eastAsia" w:ascii="仿宋" w:hAnsi="仿宋" w:eastAsia="仿宋" w:cs="仿宋"/>
                <w:b/>
                <w:bCs w:val="0"/>
                <w:sz w:val="24"/>
              </w:rPr>
            </w:pPr>
            <w:r>
              <w:rPr>
                <w:rFonts w:hint="eastAsia" w:ascii="仿宋" w:hAnsi="仿宋" w:eastAsia="仿宋" w:cs="仿宋"/>
                <w:b/>
                <w:bCs w:val="0"/>
                <w:sz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50" w:type="dxa"/>
            <w:tcBorders>
              <w:top w:val="nil"/>
              <w:bottom w:val="single" w:color="auto" w:sz="4" w:space="0"/>
            </w:tcBorders>
            <w:vAlign w:val="center"/>
          </w:tcPr>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p>
        </w:tc>
        <w:tc>
          <w:tcPr>
            <w:tcW w:w="1710" w:type="dxa"/>
            <w:tcBorders>
              <w:top w:val="nil"/>
              <w:bottom w:val="single" w:color="auto" w:sz="4" w:space="0"/>
            </w:tcBorders>
            <w:vAlign w:val="center"/>
          </w:tcPr>
          <w:p>
            <w:pPr>
              <w:spacing w:after="0" w:line="360" w:lineRule="auto"/>
              <w:ind w:firstLine="480" w:firstLineChars="200"/>
              <w:rPr>
                <w:rFonts w:hint="eastAsia" w:ascii="仿宋" w:hAnsi="仿宋" w:eastAsia="仿宋" w:cs="仿宋"/>
                <w:bCs/>
                <w:sz w:val="24"/>
              </w:rPr>
            </w:pPr>
          </w:p>
        </w:tc>
        <w:tc>
          <w:tcPr>
            <w:tcW w:w="2430" w:type="dxa"/>
            <w:tcBorders>
              <w:top w:val="nil"/>
              <w:bottom w:val="single" w:color="auto" w:sz="4" w:space="0"/>
            </w:tcBorders>
            <w:vAlign w:val="center"/>
          </w:tcPr>
          <w:p>
            <w:pPr>
              <w:spacing w:after="0" w:line="360" w:lineRule="auto"/>
              <w:ind w:firstLine="480" w:firstLineChars="200"/>
              <w:rPr>
                <w:rFonts w:hint="eastAsia" w:ascii="仿宋" w:hAnsi="仿宋" w:eastAsia="仿宋" w:cs="仿宋"/>
                <w:bCs/>
                <w:sz w:val="24"/>
              </w:rPr>
            </w:pPr>
          </w:p>
        </w:tc>
        <w:tc>
          <w:tcPr>
            <w:tcW w:w="1035" w:type="dxa"/>
            <w:tcBorders>
              <w:top w:val="nil"/>
              <w:bottom w:val="single" w:color="auto" w:sz="4" w:space="0"/>
            </w:tcBorders>
            <w:vAlign w:val="center"/>
          </w:tcPr>
          <w:p>
            <w:pPr>
              <w:spacing w:after="0" w:line="360" w:lineRule="auto"/>
              <w:ind w:firstLine="480" w:firstLineChars="200"/>
              <w:rPr>
                <w:rFonts w:hint="eastAsia" w:ascii="仿宋" w:hAnsi="仿宋" w:eastAsia="仿宋" w:cs="仿宋"/>
                <w:bCs/>
                <w:sz w:val="24"/>
              </w:rPr>
            </w:pPr>
          </w:p>
        </w:tc>
        <w:tc>
          <w:tcPr>
            <w:tcW w:w="1456" w:type="dxa"/>
            <w:tcBorders>
              <w:top w:val="nil"/>
              <w:bottom w:val="single" w:color="auto" w:sz="4" w:space="0"/>
              <w:right w:val="single" w:color="auto" w:sz="4" w:space="0"/>
            </w:tcBorders>
            <w:vAlign w:val="center"/>
          </w:tcPr>
          <w:p>
            <w:pPr>
              <w:spacing w:after="0" w:line="360" w:lineRule="auto"/>
              <w:ind w:firstLine="480" w:firstLineChars="200"/>
              <w:rPr>
                <w:rFonts w:hint="eastAsia" w:ascii="仿宋" w:hAnsi="仿宋" w:eastAsia="仿宋" w:cs="仿宋"/>
                <w:bCs/>
                <w:sz w:val="24"/>
              </w:rPr>
            </w:pPr>
          </w:p>
        </w:tc>
        <w:tc>
          <w:tcPr>
            <w:tcW w:w="1560" w:type="dxa"/>
            <w:tcBorders>
              <w:top w:val="nil"/>
              <w:bottom w:val="single" w:color="auto" w:sz="4" w:space="0"/>
              <w:right w:val="single" w:color="auto" w:sz="4" w:space="0"/>
            </w:tcBorders>
            <w:vAlign w:val="center"/>
          </w:tcPr>
          <w:p>
            <w:pPr>
              <w:spacing w:after="0" w:line="360" w:lineRule="auto"/>
              <w:ind w:firstLine="480" w:firstLineChars="200"/>
              <w:rPr>
                <w:rFonts w:hint="eastAsia" w:ascii="仿宋" w:hAnsi="仿宋" w:eastAsia="仿宋" w:cs="仿宋"/>
                <w:bCs/>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41" w:type="dxa"/>
            <w:gridSpan w:val="6"/>
            <w:tcBorders>
              <w:top w:val="single" w:color="auto" w:sz="4" w:space="0"/>
              <w:bottom w:val="single" w:color="auto" w:sz="4" w:space="0"/>
              <w:right w:val="single" w:color="auto" w:sz="4" w:space="0"/>
            </w:tcBorders>
            <w:vAlign w:val="center"/>
          </w:tcPr>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总价（人民币大写）：合计（小写）：元</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本合同总价款是货物设计、制造、包装、仓储、运输、安装及验收合格之前以及保修期内备品备件发生的所有含税费用。本合同总价款还包含乙方应当提供的伴随服务/售后服务费用。</w:t>
            </w:r>
          </w:p>
        </w:tc>
      </w:tr>
    </w:tbl>
    <w:p>
      <w:pPr>
        <w:spacing w:after="0" w:line="360" w:lineRule="auto"/>
        <w:rPr>
          <w:rFonts w:hint="eastAsia" w:ascii="仿宋" w:hAnsi="仿宋" w:eastAsia="仿宋" w:cs="仿宋"/>
          <w:b/>
          <w:bCs w:val="0"/>
          <w:sz w:val="28"/>
          <w:szCs w:val="28"/>
          <w:lang w:val="en-US" w:eastAsia="zh-CN"/>
        </w:rPr>
      </w:pPr>
      <w:bookmarkStart w:id="154" w:name="_Toc18392"/>
      <w:r>
        <w:rPr>
          <w:rFonts w:hint="eastAsia" w:ascii="仿宋" w:hAnsi="仿宋" w:eastAsia="仿宋" w:cs="仿宋"/>
          <w:b/>
          <w:bCs w:val="0"/>
          <w:sz w:val="28"/>
          <w:szCs w:val="28"/>
          <w:lang w:val="en-US" w:eastAsia="zh-CN"/>
        </w:rPr>
        <w:t>二、结算方式</w:t>
      </w:r>
      <w:bookmarkEnd w:id="154"/>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2.1结算方式：（请根据实际情况选择和修改）</w:t>
      </w:r>
    </w:p>
    <w:p>
      <w:pPr>
        <w:pStyle w:val="13"/>
        <w:ind w:firstLine="480"/>
        <w:rPr>
          <w:rFonts w:hint="eastAsia" w:ascii="仿宋" w:hAnsi="仿宋" w:eastAsia="仿宋" w:cs="仿宋"/>
          <w:lang w:val="en-US" w:eastAsia="zh-CN"/>
        </w:rPr>
      </w:pPr>
      <w:r>
        <w:rPr>
          <w:rFonts w:hint="eastAsia" w:ascii="仿宋" w:hAnsi="仿宋" w:eastAsia="仿宋" w:cs="仿宋"/>
          <w:lang w:val="en-US" w:eastAsia="zh-CN"/>
        </w:rPr>
        <w:t xml:space="preserve">A（进口设备-免税）：采购人与外贸代理公司进行价款结算，合同签订后，由外贸代理公司开具90%信用证，使用部门借款支付90%的货款给外贸公司，待货到验收合格后，支付余下的10%货款给外贸公司。 </w:t>
      </w:r>
    </w:p>
    <w:p>
      <w:pPr>
        <w:pStyle w:val="13"/>
        <w:ind w:firstLine="480"/>
        <w:rPr>
          <w:rFonts w:hint="eastAsia" w:ascii="仿宋" w:hAnsi="仿宋" w:eastAsia="仿宋" w:cs="仿宋"/>
          <w:lang w:val="en-US" w:eastAsia="zh-CN"/>
        </w:rPr>
      </w:pPr>
      <w:r>
        <w:rPr>
          <w:rFonts w:hint="eastAsia" w:ascii="仿宋" w:hAnsi="仿宋" w:eastAsia="仿宋" w:cs="仿宋"/>
          <w:lang w:val="en-US" w:eastAsia="zh-CN"/>
        </w:rPr>
        <w:t>B（国产设备及进口设备-非免税）：货物交付且安装、调试后，并通过验收后一周内使用方支付合同总金额的90%，付款之前需收到中标方开具的合法有效的相应金额发票；自验收合格日起，使用方正常使用满一年后的一周内，支付剩余合同总金额的10%。</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2.2当采购数量与实际使用数量不一致时，乙方应根据实际使用量供货，合同的最终结算金额按实际使用量乘以成交单价进行计算。</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2.3乙方指定账户信息：</w:t>
      </w:r>
    </w:p>
    <w:p>
      <w:pPr>
        <w:spacing w:after="0"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开户行</w:t>
      </w:r>
      <w:r>
        <w:rPr>
          <w:rFonts w:hint="eastAsia" w:ascii="仿宋" w:hAnsi="仿宋" w:eastAsia="仿宋" w:cs="仿宋"/>
          <w:bCs/>
          <w:sz w:val="24"/>
          <w:lang w:eastAsia="zh-CN"/>
        </w:rPr>
        <w:t>：</w:t>
      </w:r>
      <w:r>
        <w:rPr>
          <w:rFonts w:hint="eastAsia" w:ascii="仿宋" w:hAnsi="仿宋" w:eastAsia="仿宋" w:cs="仿宋"/>
          <w:bCs/>
          <w:sz w:val="24"/>
        </w:rPr>
        <w:t>_______________</w:t>
      </w:r>
    </w:p>
    <w:p>
      <w:pPr>
        <w:spacing w:after="0"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rPr>
        <w:t>户名：_______________</w:t>
      </w:r>
      <w:r>
        <w:rPr>
          <w:rFonts w:hint="eastAsia" w:ascii="仿宋" w:hAnsi="仿宋" w:eastAsia="仿宋" w:cs="仿宋"/>
          <w:bCs/>
          <w:sz w:val="24"/>
          <w:lang w:val="en-US" w:eastAsia="zh-CN"/>
        </w:rPr>
        <w:t xml:space="preserve">   </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账号：_______________</w:t>
      </w:r>
    </w:p>
    <w:p>
      <w:pPr>
        <w:spacing w:after="0" w:line="360" w:lineRule="auto"/>
        <w:rPr>
          <w:rFonts w:hint="eastAsia" w:ascii="仿宋" w:hAnsi="仿宋" w:eastAsia="仿宋" w:cs="仿宋"/>
          <w:b/>
          <w:bCs w:val="0"/>
          <w:sz w:val="28"/>
          <w:szCs w:val="28"/>
          <w:lang w:val="en-US" w:eastAsia="zh-CN"/>
        </w:rPr>
      </w:pPr>
      <w:bookmarkStart w:id="155" w:name="_Toc12749"/>
      <w:r>
        <w:rPr>
          <w:rFonts w:hint="eastAsia" w:ascii="仿宋" w:hAnsi="仿宋" w:eastAsia="仿宋" w:cs="仿宋"/>
          <w:b/>
          <w:bCs w:val="0"/>
          <w:sz w:val="28"/>
          <w:szCs w:val="28"/>
          <w:lang w:val="en-US" w:eastAsia="zh-CN"/>
        </w:rPr>
        <w:t>三、交付方式、时间及地点</w:t>
      </w:r>
      <w:bookmarkEnd w:id="155"/>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3.1交付方式：乙方按甲方书面通知之日，运送至甲方指定地点，经甲方指定收货人书面签收，则为完成交付</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3.1交付时间：___________________</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3.2交付地点：___________________</w:t>
      </w:r>
    </w:p>
    <w:p>
      <w:pPr>
        <w:spacing w:after="0" w:line="360" w:lineRule="auto"/>
        <w:rPr>
          <w:rFonts w:hint="eastAsia" w:ascii="仿宋" w:hAnsi="仿宋" w:eastAsia="仿宋" w:cs="仿宋"/>
          <w:b/>
          <w:bCs w:val="0"/>
          <w:sz w:val="28"/>
          <w:szCs w:val="28"/>
          <w:lang w:val="en-US" w:eastAsia="zh-CN"/>
        </w:rPr>
      </w:pPr>
      <w:bookmarkStart w:id="156" w:name="_Toc8337"/>
      <w:r>
        <w:rPr>
          <w:rFonts w:hint="eastAsia" w:ascii="仿宋" w:hAnsi="仿宋" w:eastAsia="仿宋" w:cs="仿宋"/>
          <w:b/>
          <w:bCs w:val="0"/>
          <w:sz w:val="28"/>
          <w:szCs w:val="28"/>
          <w:lang w:val="en-US" w:eastAsia="zh-CN"/>
        </w:rPr>
        <w:t>四、货物包装、发运及运输</w:t>
      </w:r>
      <w:bookmarkEnd w:id="156"/>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4.1 乙方应在货物发运前根据运输距离、防潮、防震、防锈和防破损装卸等要求进行相应的包装，以保证货物安全运达甲方指定地点。</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4.2 使用说明书、质量检验证明书、随配附件和工具以及清单一并附于货物内。</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4.3 乙方在货物发运手续办理完毕后24小时内或货到甲方48小时前通知甲方，以准备接货。</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4.4 货物在交付甲方前发生的风险均由乙方负责。</w:t>
      </w:r>
    </w:p>
    <w:p>
      <w:pPr>
        <w:spacing w:after="0" w:line="360" w:lineRule="auto"/>
        <w:rPr>
          <w:rFonts w:hint="eastAsia" w:ascii="仿宋" w:hAnsi="仿宋" w:eastAsia="仿宋" w:cs="仿宋"/>
          <w:b/>
          <w:bCs w:val="0"/>
          <w:sz w:val="28"/>
          <w:szCs w:val="28"/>
          <w:lang w:val="en-US" w:eastAsia="zh-CN"/>
        </w:rPr>
      </w:pPr>
      <w:bookmarkStart w:id="157" w:name="_Toc11464"/>
      <w:r>
        <w:rPr>
          <w:rFonts w:hint="eastAsia" w:ascii="仿宋" w:hAnsi="仿宋" w:eastAsia="仿宋" w:cs="仿宋"/>
          <w:b/>
          <w:bCs w:val="0"/>
          <w:sz w:val="28"/>
          <w:szCs w:val="28"/>
          <w:lang w:val="en-US" w:eastAsia="zh-CN"/>
        </w:rPr>
        <w:t>五、质量保证及售后服务</w:t>
      </w:r>
      <w:bookmarkEnd w:id="157"/>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5.3上述货物的质保期</w:t>
      </w:r>
      <w:r>
        <w:rPr>
          <w:rFonts w:hint="eastAsia" w:ascii="仿宋" w:hAnsi="仿宋" w:eastAsia="仿宋" w:cs="仿宋"/>
          <w:bCs/>
          <w:sz w:val="24"/>
          <w:lang w:val="en-US" w:eastAsia="zh-CN"/>
        </w:rPr>
        <w:t>___</w:t>
      </w:r>
      <w:r>
        <w:rPr>
          <w:rFonts w:hint="eastAsia" w:ascii="仿宋" w:hAnsi="仿宋" w:eastAsia="仿宋" w:cs="仿宋"/>
          <w:bCs/>
          <w:sz w:val="24"/>
        </w:rPr>
        <w:t>年。（自交货验收合格次日起计算），因人为因素出现的故障不在免费保修范围内。</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5.4在质保期内，如在使用过程中发生质量问题，乙方在接到甲方通知后在_________小时内响应，并在小时内赶到甲方现场，免费予以排除故障、修复或者更换零部件。如未及时维修的，甲方委托他人维修，维修费从合同款中扣除或由乙方承担。</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5.5 在质保期内，乙方应对货物出现的质量及安全问题负责处理解决并承担一切费用。</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spacing w:after="0" w:line="360" w:lineRule="auto"/>
        <w:rPr>
          <w:rFonts w:hint="eastAsia" w:ascii="仿宋" w:hAnsi="仿宋" w:eastAsia="仿宋" w:cs="仿宋"/>
          <w:b/>
          <w:bCs w:val="0"/>
          <w:sz w:val="28"/>
          <w:szCs w:val="28"/>
          <w:lang w:val="en-US" w:eastAsia="zh-CN"/>
        </w:rPr>
      </w:pPr>
      <w:bookmarkStart w:id="158" w:name="_Toc9039"/>
      <w:r>
        <w:rPr>
          <w:rFonts w:hint="eastAsia" w:ascii="仿宋" w:hAnsi="仿宋" w:eastAsia="仿宋" w:cs="仿宋"/>
          <w:b/>
          <w:bCs w:val="0"/>
          <w:sz w:val="28"/>
          <w:szCs w:val="28"/>
          <w:lang w:val="en-US" w:eastAsia="zh-CN"/>
        </w:rPr>
        <w:t>六、调试和验收</w:t>
      </w:r>
      <w:bookmarkEnd w:id="158"/>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6.1 乙方交货前应对货物全面检查并对验收文件进行整理，列出清单提交甲方，检验的结果亦应随货物交甲方。</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6.2 甲方对乙方提供的货物在使用前进行调试时，乙方需负责安装并培训甲方的使用操作人员，并协助甲方一起调试，直到符合技术要求。</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6.3 在安装、调试和验收过程中，如发现有漏件、缺件，乙方应无条件、无偿补齐，所发生的一切费用，视为已包含在投标时的投标报价中，且并不因此而影响交付甲方使用的时间。</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6.5 设备、材料安装、调试结束，甲、乙双方派员共同验收，达到验收标准则验收合格。验收完毕后出具验收结果报告并经双方签字确认；验收相关费用由乙方承担。</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spacing w:after="0" w:line="360" w:lineRule="auto"/>
        <w:rPr>
          <w:rFonts w:hint="eastAsia" w:ascii="仿宋" w:hAnsi="仿宋" w:eastAsia="仿宋" w:cs="仿宋"/>
          <w:b/>
          <w:bCs w:val="0"/>
          <w:sz w:val="28"/>
          <w:szCs w:val="28"/>
          <w:lang w:val="en-US" w:eastAsia="zh-CN"/>
        </w:rPr>
      </w:pPr>
      <w:bookmarkStart w:id="159" w:name="_Toc16423"/>
      <w:r>
        <w:rPr>
          <w:rFonts w:hint="eastAsia" w:ascii="仿宋" w:hAnsi="仿宋" w:eastAsia="仿宋" w:cs="仿宋"/>
          <w:b/>
          <w:bCs w:val="0"/>
          <w:sz w:val="28"/>
          <w:szCs w:val="28"/>
          <w:lang w:val="en-US" w:eastAsia="zh-CN"/>
        </w:rPr>
        <w:t>七、技术资料</w:t>
      </w:r>
      <w:bookmarkEnd w:id="159"/>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7.1乙方应按招标文件规定的时间向甲方提供使用货物的有关技术资料。</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spacing w:after="0" w:line="360" w:lineRule="auto"/>
        <w:rPr>
          <w:rFonts w:hint="eastAsia" w:ascii="仿宋" w:hAnsi="仿宋" w:eastAsia="仿宋" w:cs="仿宋"/>
          <w:b/>
          <w:bCs w:val="0"/>
          <w:sz w:val="28"/>
          <w:szCs w:val="28"/>
          <w:lang w:val="en-US" w:eastAsia="zh-CN"/>
        </w:rPr>
      </w:pPr>
      <w:bookmarkStart w:id="160" w:name="_Toc12935"/>
      <w:r>
        <w:rPr>
          <w:rFonts w:hint="eastAsia" w:ascii="仿宋" w:hAnsi="仿宋" w:eastAsia="仿宋" w:cs="仿宋"/>
          <w:b/>
          <w:bCs w:val="0"/>
          <w:sz w:val="28"/>
          <w:szCs w:val="28"/>
          <w:lang w:val="en-US" w:eastAsia="zh-CN"/>
        </w:rPr>
        <w:t>八、知识产权</w:t>
      </w:r>
      <w:bookmarkEnd w:id="160"/>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spacing w:after="0" w:line="360" w:lineRule="auto"/>
        <w:rPr>
          <w:rFonts w:hint="eastAsia" w:ascii="仿宋" w:hAnsi="仿宋" w:eastAsia="仿宋" w:cs="仿宋"/>
          <w:b/>
          <w:bCs w:val="0"/>
          <w:sz w:val="28"/>
          <w:szCs w:val="28"/>
          <w:lang w:val="en-US" w:eastAsia="zh-CN"/>
        </w:rPr>
      </w:pPr>
      <w:bookmarkStart w:id="161" w:name="_Toc25115"/>
      <w:r>
        <w:rPr>
          <w:rFonts w:hint="eastAsia" w:ascii="仿宋" w:hAnsi="仿宋" w:eastAsia="仿宋" w:cs="仿宋"/>
          <w:b/>
          <w:bCs w:val="0"/>
          <w:sz w:val="28"/>
          <w:szCs w:val="28"/>
          <w:lang w:val="en-US" w:eastAsia="zh-CN"/>
        </w:rPr>
        <w:t>九、违约责任</w:t>
      </w:r>
      <w:bookmarkEnd w:id="161"/>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9.1 甲方无正当理由拒收货物的，甲方向乙方偿付拒收货款总值的万分之五违约金。甲方未按合同规定的时间和要求向乙方提供相关安装条件，乙方交付时间顺延。</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9.2 甲方无故迟延支付货款的,甲方应按逾期付款总额每日万分之五向乙方支付违约金。</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9.4 乙方供给甲方的设备、材料及乙方自己的施工用具，进入甲方工地现场后的保管，由乙方负责，乙方在甲方工地现场安装、调试、验收人员的安全、保险、食宿和交通由乙方全权负责。</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9.8 乙方履行义务不符合合同约定时，甲方有权扣减本合同总金额的10%的货款，尾款不足10%的，乙方应当补足。</w:t>
      </w:r>
    </w:p>
    <w:p>
      <w:pPr>
        <w:spacing w:after="0" w:line="360" w:lineRule="auto"/>
        <w:rPr>
          <w:rFonts w:hint="eastAsia" w:ascii="仿宋" w:hAnsi="仿宋" w:eastAsia="仿宋" w:cs="仿宋"/>
          <w:b/>
          <w:bCs w:val="0"/>
          <w:sz w:val="28"/>
          <w:szCs w:val="28"/>
          <w:lang w:val="en-US" w:eastAsia="zh-CN"/>
        </w:rPr>
      </w:pPr>
      <w:bookmarkStart w:id="162" w:name="_Toc23286"/>
      <w:r>
        <w:rPr>
          <w:rFonts w:hint="eastAsia" w:ascii="仿宋" w:hAnsi="仿宋" w:eastAsia="仿宋" w:cs="仿宋"/>
          <w:b/>
          <w:bCs w:val="0"/>
          <w:sz w:val="28"/>
          <w:szCs w:val="28"/>
          <w:lang w:val="en-US" w:eastAsia="zh-CN"/>
        </w:rPr>
        <w:t>十、不可抗力事件处理</w:t>
      </w:r>
      <w:bookmarkEnd w:id="162"/>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10.1 在合同有效期内，任何一方因不可抗力事件导致不能履行合同，则合同履行期可延长，其延长期与不可抗力影响期相同。</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10.2 不可抗力事件发生后，应立即通知对方，并寄送有关权威机构出具的证明。</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10.3 不可抗力事件延续30天以上，双方应通过友好协商，确定是否继续履行合同。</w:t>
      </w:r>
    </w:p>
    <w:p>
      <w:pPr>
        <w:spacing w:after="0" w:line="360" w:lineRule="auto"/>
        <w:rPr>
          <w:rFonts w:hint="eastAsia" w:ascii="仿宋" w:hAnsi="仿宋" w:eastAsia="仿宋" w:cs="仿宋"/>
          <w:b/>
          <w:bCs w:val="0"/>
          <w:sz w:val="28"/>
          <w:szCs w:val="28"/>
          <w:lang w:val="en-US" w:eastAsia="zh-CN"/>
        </w:rPr>
      </w:pPr>
      <w:bookmarkStart w:id="163" w:name="_Toc18064"/>
      <w:r>
        <w:rPr>
          <w:rFonts w:hint="eastAsia" w:ascii="仿宋" w:hAnsi="仿宋" w:eastAsia="仿宋" w:cs="仿宋"/>
          <w:b/>
          <w:bCs w:val="0"/>
          <w:sz w:val="28"/>
          <w:szCs w:val="28"/>
          <w:lang w:val="en-US" w:eastAsia="zh-CN"/>
        </w:rPr>
        <w:t>十一、诉讼</w:t>
      </w:r>
      <w:bookmarkEnd w:id="163"/>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双方在执行合同中所发生的一切争议，应通过协商解决。如协商不成，双方均应向甲方所在地人民法院提起诉讼。</w:t>
      </w:r>
    </w:p>
    <w:p>
      <w:pPr>
        <w:spacing w:after="0" w:line="360" w:lineRule="auto"/>
        <w:rPr>
          <w:rFonts w:hint="eastAsia" w:ascii="仿宋" w:hAnsi="仿宋" w:eastAsia="仿宋" w:cs="仿宋"/>
          <w:b/>
          <w:bCs w:val="0"/>
          <w:sz w:val="28"/>
          <w:szCs w:val="28"/>
          <w:lang w:val="en-US" w:eastAsia="zh-CN"/>
        </w:rPr>
      </w:pPr>
      <w:bookmarkStart w:id="164" w:name="_Toc31342"/>
      <w:r>
        <w:rPr>
          <w:rFonts w:hint="eastAsia" w:ascii="仿宋" w:hAnsi="仿宋" w:eastAsia="仿宋" w:cs="仿宋"/>
          <w:b/>
          <w:bCs w:val="0"/>
          <w:sz w:val="28"/>
          <w:szCs w:val="28"/>
          <w:lang w:val="en-US" w:eastAsia="zh-CN"/>
        </w:rPr>
        <w:t>十二、合同生效及其它</w:t>
      </w:r>
      <w:bookmarkEnd w:id="164"/>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12.1招投标文件作为合同的附件，与本合同具有同等法律效力。合同经双方法定代表人或授权委托代表人签字、盖章后生效。</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2</w:t>
      </w:r>
      <w:r>
        <w:rPr>
          <w:rFonts w:hint="eastAsia" w:ascii="仿宋" w:hAnsi="仿宋" w:eastAsia="仿宋" w:cs="仿宋"/>
          <w:bCs/>
          <w:sz w:val="24"/>
        </w:rPr>
        <w:t xml:space="preserve"> 本合同未尽事宜，遵照《中华人民共和国民法典》有关条文执行。</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 xml:space="preserve"> 本合同正本一式柒份，中文书写。甲方伍份，乙方壹份，代理机构留存壹份，具有同等法律效力。</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 xml:space="preserve"> 其他：</w:t>
      </w:r>
      <w:r>
        <w:rPr>
          <w:rFonts w:hint="eastAsia" w:ascii="仿宋" w:hAnsi="仿宋" w:eastAsia="仿宋" w:cs="仿宋"/>
          <w:bCs/>
          <w:sz w:val="24"/>
          <w:u w:val="single"/>
        </w:rPr>
        <w:t xml:space="preserve">                    /                         </w:t>
      </w:r>
      <w:r>
        <w:rPr>
          <w:rFonts w:hint="eastAsia" w:ascii="仿宋" w:hAnsi="仿宋" w:eastAsia="仿宋" w:cs="仿宋"/>
          <w:bCs/>
          <w:sz w:val="24"/>
        </w:rPr>
        <w:t xml:space="preserve"> 。    </w:t>
      </w:r>
    </w:p>
    <w:p>
      <w:pPr>
        <w:spacing w:after="0" w:line="360" w:lineRule="auto"/>
        <w:ind w:firstLine="480" w:firstLineChars="200"/>
        <w:rPr>
          <w:rFonts w:hint="eastAsia" w:ascii="仿宋" w:hAnsi="仿宋" w:eastAsia="仿宋" w:cs="仿宋"/>
          <w:bCs/>
          <w:sz w:val="24"/>
        </w:rPr>
      </w:pP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甲方：                   (盖章)         乙方：              (盖章)</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地址：                                 地址：</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法定代表人或授权代表：                 法定代表人或授权代表：</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联系电话</w:t>
      </w:r>
      <w:r>
        <w:rPr>
          <w:rFonts w:hint="eastAsia" w:ascii="仿宋" w:hAnsi="仿宋" w:eastAsia="仿宋" w:cs="仿宋"/>
          <w:b/>
          <w:bCs w:val="0"/>
          <w:sz w:val="24"/>
        </w:rPr>
        <w:t xml:space="preserve">：                             </w:t>
      </w:r>
      <w:r>
        <w:rPr>
          <w:rFonts w:hint="eastAsia" w:ascii="仿宋" w:hAnsi="仿宋" w:eastAsia="仿宋" w:cs="仿宋"/>
          <w:bCs/>
          <w:sz w:val="24"/>
        </w:rPr>
        <w:t>联系电话：</w:t>
      </w:r>
    </w:p>
    <w:p>
      <w:pPr>
        <w:rPr>
          <w:rFonts w:hint="eastAsia" w:ascii="仿宋" w:hAnsi="仿宋" w:eastAsia="仿宋" w:cs="仿宋"/>
          <w:b/>
          <w:bCs/>
          <w:color w:val="000000"/>
          <w:kern w:val="2"/>
          <w:sz w:val="40"/>
          <w:szCs w:val="44"/>
        </w:rPr>
        <w:sectPr>
          <w:headerReference r:id="rId8" w:type="default"/>
          <w:footerReference r:id="rId9" w:type="default"/>
          <w:pgSz w:w="11906" w:h="16838"/>
          <w:pgMar w:top="1440" w:right="1080" w:bottom="1440" w:left="1080" w:header="1020" w:footer="964" w:gutter="0"/>
          <w:pgNumType w:fmt="decimal" w:start="1"/>
          <w:cols w:space="720" w:num="1"/>
          <w:docGrid w:type="linesAndChars" w:linePitch="312" w:charSpace="0"/>
        </w:sectPr>
      </w:pPr>
    </w:p>
    <w:bookmarkEnd w:id="150"/>
    <w:bookmarkEnd w:id="151"/>
    <w:bookmarkEnd w:id="152"/>
    <w:p>
      <w:pPr>
        <w:pStyle w:val="28"/>
        <w:spacing w:afterLines="0" w:line="360" w:lineRule="auto"/>
        <w:rPr>
          <w:rFonts w:hint="eastAsia" w:ascii="仿宋" w:hAnsi="仿宋" w:eastAsia="仿宋" w:cs="仿宋"/>
          <w:color w:val="000000"/>
          <w:sz w:val="44"/>
          <w:szCs w:val="44"/>
        </w:rPr>
      </w:pPr>
      <w:bookmarkStart w:id="165" w:name="_Toc2319"/>
      <w:bookmarkStart w:id="166" w:name="_Toc16910"/>
      <w:bookmarkStart w:id="167" w:name="_Toc15482"/>
      <w:bookmarkStart w:id="168" w:name="_Toc26827"/>
      <w:bookmarkStart w:id="169" w:name="_Toc16156"/>
      <w:r>
        <w:rPr>
          <w:rFonts w:hint="eastAsia" w:ascii="仿宋" w:hAnsi="仿宋" w:eastAsia="仿宋" w:cs="仿宋"/>
          <w:color w:val="000000"/>
          <w:sz w:val="44"/>
          <w:szCs w:val="44"/>
          <w:lang w:eastAsia="zh-CN"/>
        </w:rPr>
        <w:t>第四章</w:t>
      </w:r>
      <w:r>
        <w:rPr>
          <w:rFonts w:hint="eastAsia" w:ascii="仿宋" w:hAnsi="仿宋" w:eastAsia="仿宋" w:cs="仿宋"/>
          <w:color w:val="000000"/>
          <w:sz w:val="44"/>
          <w:szCs w:val="44"/>
          <w:lang w:val="en-US" w:eastAsia="zh-CN"/>
        </w:rPr>
        <w:t xml:space="preserve"> </w:t>
      </w:r>
      <w:r>
        <w:rPr>
          <w:rFonts w:hint="eastAsia" w:ascii="仿宋" w:hAnsi="仿宋" w:eastAsia="仿宋" w:cs="仿宋"/>
          <w:color w:val="000000"/>
          <w:sz w:val="44"/>
          <w:szCs w:val="44"/>
        </w:rPr>
        <w:t>项目需求</w:t>
      </w:r>
      <w:bookmarkEnd w:id="143"/>
      <w:bookmarkEnd w:id="144"/>
      <w:bookmarkEnd w:id="165"/>
      <w:bookmarkEnd w:id="166"/>
      <w:bookmarkEnd w:id="167"/>
      <w:bookmarkEnd w:id="168"/>
      <w:bookmarkEnd w:id="169"/>
      <w:bookmarkStart w:id="170" w:name="_Toc14548"/>
      <w:bookmarkStart w:id="171" w:name="_Toc10011"/>
      <w:bookmarkStart w:id="172" w:name="_Toc324237156"/>
      <w:bookmarkStart w:id="173" w:name="_Toc18960"/>
    </w:p>
    <w:p>
      <w:pPr>
        <w:spacing w:after="0"/>
        <w:ind w:firstLine="1920" w:firstLineChars="800"/>
        <w:jc w:val="both"/>
        <w:rPr>
          <w:rFonts w:hint="eastAsia" w:ascii="仿宋" w:hAnsi="仿宋" w:eastAsia="仿宋" w:cs="仿宋"/>
          <w:color w:val="000000" w:themeColor="text1"/>
          <w:sz w:val="24"/>
          <w:szCs w:val="24"/>
          <w:lang w:eastAsia="zh-CN"/>
          <w14:textFill>
            <w14:solidFill>
              <w14:schemeClr w14:val="tx1"/>
            </w14:solidFill>
          </w14:textFill>
        </w:rPr>
      </w:pPr>
      <w:bookmarkStart w:id="174" w:name="_Toc16923"/>
      <w:r>
        <w:rPr>
          <w:rFonts w:hint="eastAsia" w:ascii="仿宋" w:hAnsi="仿宋" w:eastAsia="仿宋" w:cs="仿宋"/>
          <w:color w:val="000000" w:themeColor="text1"/>
          <w:sz w:val="24"/>
          <w:szCs w:val="24"/>
          <w:lang w:eastAsia="zh-CN"/>
          <w14:textFill>
            <w14:solidFill>
              <w14:schemeClr w14:val="tx1"/>
            </w14:solidFill>
          </w14:textFill>
        </w:rPr>
        <w:t>项目需求人：</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 xml:space="preserve">  联系方式：</w:t>
      </w:r>
      <w:bookmarkEnd w:id="174"/>
    </w:p>
    <w:p>
      <w:pPr>
        <w:pStyle w:val="29"/>
        <w:numPr>
          <w:ilvl w:val="0"/>
          <w:numId w:val="0"/>
        </w:numPr>
        <w:rPr>
          <w:rFonts w:hint="eastAsia" w:ascii="仿宋" w:hAnsi="仿宋" w:eastAsia="仿宋" w:cs="仿宋"/>
          <w:lang w:eastAsia="zh-CN"/>
        </w:rPr>
      </w:pPr>
      <w:bookmarkStart w:id="175" w:name="_Toc3932"/>
      <w:bookmarkStart w:id="176" w:name="_Toc3246"/>
      <w:bookmarkStart w:id="177" w:name="_Toc27315"/>
      <w:r>
        <w:rPr>
          <w:rFonts w:hint="eastAsia" w:ascii="仿宋" w:hAnsi="仿宋" w:eastAsia="仿宋" w:cs="仿宋"/>
        </w:rPr>
        <w:t>一、项目</w:t>
      </w:r>
      <w:bookmarkEnd w:id="175"/>
      <w:r>
        <w:rPr>
          <w:rFonts w:hint="eastAsia" w:ascii="仿宋" w:hAnsi="仿宋" w:eastAsia="仿宋" w:cs="仿宋"/>
          <w:lang w:eastAsia="zh-CN"/>
        </w:rPr>
        <w:t>概述</w:t>
      </w:r>
      <w:bookmarkEnd w:id="176"/>
      <w:bookmarkEnd w:id="177"/>
    </w:p>
    <w:p>
      <w:pPr>
        <w:spacing w:after="0"/>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bookmarkStart w:id="178" w:name="_Toc311"/>
      <w:bookmarkStart w:id="179" w:name="_Toc32119"/>
      <w:r>
        <w:rPr>
          <w:rFonts w:hint="eastAsia" w:ascii="仿宋" w:hAnsi="仿宋" w:eastAsia="仿宋" w:cs="仿宋"/>
          <w:color w:val="000000" w:themeColor="text1"/>
          <w:sz w:val="24"/>
          <w:szCs w:val="24"/>
          <w14:textFill>
            <w14:solidFill>
              <w14:schemeClr w14:val="tx1"/>
            </w14:solidFill>
          </w14:textFill>
        </w:rPr>
        <w:t>南京医科大学为满足</w:t>
      </w:r>
      <w:r>
        <w:rPr>
          <w:rFonts w:hint="eastAsia" w:ascii="仿宋" w:hAnsi="仿宋" w:eastAsia="仿宋" w:cs="仿宋"/>
          <w:color w:val="000000" w:themeColor="text1"/>
          <w:sz w:val="24"/>
          <w:szCs w:val="24"/>
          <w:lang w:eastAsia="zh-CN"/>
          <w14:textFill>
            <w14:solidFill>
              <w14:schemeClr w14:val="tx1"/>
            </w14:solidFill>
          </w14:textFill>
        </w:rPr>
        <w:t>教学实验需</w:t>
      </w:r>
      <w:r>
        <w:rPr>
          <w:rFonts w:hint="eastAsia" w:ascii="仿宋" w:hAnsi="仿宋" w:eastAsia="仿宋" w:cs="仿宋"/>
          <w:color w:val="000000" w:themeColor="text1"/>
          <w:sz w:val="24"/>
          <w:szCs w:val="24"/>
          <w14:textFill>
            <w14:solidFill>
              <w14:schemeClr w14:val="tx1"/>
            </w14:solidFill>
          </w14:textFill>
        </w:rPr>
        <w:t>要，需采购一台</w:t>
      </w:r>
      <w:r>
        <w:rPr>
          <w:rFonts w:hint="eastAsia" w:ascii="仿宋" w:hAnsi="仿宋" w:eastAsia="仿宋" w:cs="仿宋"/>
          <w:color w:val="000000" w:themeColor="text1"/>
          <w:sz w:val="24"/>
          <w:szCs w:val="24"/>
          <w:lang w:eastAsia="zh-CN"/>
          <w14:textFill>
            <w14:solidFill>
              <w14:schemeClr w14:val="tx1"/>
            </w14:solidFill>
          </w14:textFill>
        </w:rPr>
        <w:t>智能型荧光显微镜。</w:t>
      </w:r>
    </w:p>
    <w:p>
      <w:pPr>
        <w:pStyle w:val="29"/>
        <w:numPr>
          <w:ilvl w:val="0"/>
          <w:numId w:val="0"/>
        </w:numPr>
        <w:rPr>
          <w:rFonts w:hint="eastAsia" w:ascii="仿宋" w:hAnsi="仿宋" w:eastAsia="仿宋" w:cs="仿宋"/>
        </w:rPr>
      </w:pPr>
      <w:bookmarkStart w:id="180" w:name="_Toc25566"/>
      <w:r>
        <w:rPr>
          <w:rFonts w:hint="eastAsia" w:ascii="仿宋" w:hAnsi="仿宋" w:eastAsia="仿宋" w:cs="仿宋"/>
        </w:rPr>
        <w:t>二、</w:t>
      </w:r>
      <w:bookmarkEnd w:id="178"/>
      <w:bookmarkEnd w:id="179"/>
      <w:bookmarkStart w:id="181" w:name="_Toc4968"/>
      <w:r>
        <w:rPr>
          <w:rFonts w:hint="eastAsia" w:ascii="仿宋" w:hAnsi="仿宋" w:eastAsia="仿宋" w:cs="仿宋"/>
        </w:rPr>
        <w:t>技术参数要求</w:t>
      </w:r>
      <w:bookmarkEnd w:id="180"/>
      <w:bookmarkEnd w:id="181"/>
    </w:p>
    <w:p>
      <w:pPr>
        <w:pStyle w:val="36"/>
        <w:numPr>
          <w:ilvl w:val="0"/>
          <w:numId w:val="5"/>
        </w:numPr>
        <w:spacing w:line="360" w:lineRule="auto"/>
        <w:ind w:left="0" w:leftChars="0" w:firstLine="400" w:firstLineChars="0"/>
        <w:jc w:val="left"/>
        <w:rPr>
          <w:rFonts w:hint="eastAsia" w:ascii="仿宋" w:hAnsi="仿宋" w:eastAsia="仿宋" w:cs="仿宋"/>
          <w:sz w:val="24"/>
          <w:szCs w:val="24"/>
        </w:rPr>
      </w:pPr>
      <w:bookmarkStart w:id="182" w:name="_Toc29315"/>
      <w:bookmarkStart w:id="183" w:name="_Toc9991"/>
      <w:r>
        <w:rPr>
          <w:rStyle w:val="37"/>
          <w:rFonts w:hint="eastAsia" w:ascii="仿宋" w:hAnsi="仿宋" w:eastAsia="仿宋" w:cs="仿宋"/>
          <w:sz w:val="24"/>
          <w:szCs w:val="24"/>
        </w:rPr>
        <w:t>显微镜光路采用无限远</w:t>
      </w:r>
      <w:r>
        <w:rPr>
          <w:rFonts w:hint="eastAsia" w:ascii="仿宋" w:hAnsi="仿宋" w:eastAsia="仿宋" w:cs="仿宋"/>
          <w:sz w:val="24"/>
          <w:szCs w:val="24"/>
        </w:rPr>
        <w:t>校正光学系统，齐焦距离≤45mm；</w:t>
      </w:r>
    </w:p>
    <w:p>
      <w:pPr>
        <w:numPr>
          <w:ilvl w:val="0"/>
          <w:numId w:val="5"/>
        </w:numPr>
        <w:spacing w:line="360" w:lineRule="auto"/>
        <w:ind w:left="0" w:leftChars="0" w:firstLine="400" w:firstLineChars="0"/>
        <w:textAlignment w:val="baseline"/>
        <w:rPr>
          <w:rStyle w:val="37"/>
          <w:rFonts w:hint="eastAsia" w:ascii="仿宋" w:hAnsi="仿宋" w:eastAsia="仿宋" w:cs="仿宋"/>
          <w:sz w:val="24"/>
          <w:szCs w:val="24"/>
        </w:rPr>
      </w:pPr>
      <w:r>
        <w:rPr>
          <w:rFonts w:hint="eastAsia" w:ascii="仿宋" w:hAnsi="仿宋" w:eastAsia="仿宋" w:cs="仿宋"/>
          <w:bCs/>
          <w:sz w:val="24"/>
          <w:szCs w:val="24"/>
          <w:lang w:val="en-GB"/>
        </w:rPr>
        <w:t>具有明场、荧光功能，可升级至微分干涉，二十五人共揽等功能</w:t>
      </w:r>
      <w:r>
        <w:rPr>
          <w:rFonts w:hint="eastAsia" w:ascii="仿宋" w:hAnsi="仿宋" w:eastAsia="仿宋" w:cs="仿宋"/>
          <w:sz w:val="24"/>
          <w:szCs w:val="24"/>
        </w:rPr>
        <w:t>。</w:t>
      </w:r>
    </w:p>
    <w:p>
      <w:pPr>
        <w:numPr>
          <w:ilvl w:val="0"/>
          <w:numId w:val="5"/>
        </w:numPr>
        <w:spacing w:line="360" w:lineRule="auto"/>
        <w:ind w:left="0" w:leftChars="0" w:firstLine="400" w:firstLineChars="0"/>
        <w:textAlignment w:val="baseline"/>
        <w:rPr>
          <w:rStyle w:val="37"/>
          <w:rFonts w:hint="eastAsia" w:ascii="仿宋" w:hAnsi="仿宋" w:eastAsia="仿宋" w:cs="仿宋"/>
          <w:sz w:val="24"/>
          <w:szCs w:val="24"/>
        </w:rPr>
      </w:pPr>
      <w:r>
        <w:rPr>
          <w:rFonts w:hint="eastAsia" w:ascii="仿宋" w:hAnsi="仿宋" w:eastAsia="仿宋" w:cs="仿宋"/>
          <w:sz w:val="24"/>
          <w:szCs w:val="24"/>
        </w:rPr>
        <w:t>目镜：10X，视野数≥25mm，含目镜罩，屈光度可调节。</w:t>
      </w:r>
    </w:p>
    <w:p>
      <w:pPr>
        <w:numPr>
          <w:ilvl w:val="0"/>
          <w:numId w:val="5"/>
        </w:numPr>
        <w:spacing w:line="360" w:lineRule="auto"/>
        <w:ind w:left="0" w:leftChars="0" w:firstLine="400" w:firstLineChars="0"/>
        <w:textAlignment w:val="baseline"/>
        <w:rPr>
          <w:rStyle w:val="37"/>
          <w:rFonts w:hint="eastAsia" w:ascii="仿宋" w:hAnsi="仿宋" w:eastAsia="仿宋" w:cs="仿宋"/>
          <w:sz w:val="24"/>
          <w:szCs w:val="24"/>
        </w:rPr>
      </w:pPr>
      <w:r>
        <w:rPr>
          <w:rFonts w:hint="eastAsia" w:ascii="仿宋" w:hAnsi="仿宋" w:eastAsia="仿宋" w:cs="仿宋"/>
          <w:sz w:val="24"/>
          <w:szCs w:val="24"/>
        </w:rPr>
        <w:t>透射光照明：长寿命LED光源，自动光强管理，电动视场和孔径光阑调节，</w:t>
      </w:r>
      <w:bookmarkStart w:id="184" w:name="_Hlk498692391"/>
      <w:r>
        <w:rPr>
          <w:rFonts w:hint="eastAsia" w:ascii="仿宋" w:hAnsi="仿宋" w:eastAsia="仿宋" w:cs="仿宋"/>
          <w:sz w:val="24"/>
          <w:szCs w:val="24"/>
        </w:rPr>
        <w:t>带有色温恒定保持系统</w:t>
      </w:r>
      <w:bookmarkEnd w:id="184"/>
      <w:r>
        <w:rPr>
          <w:rFonts w:hint="eastAsia" w:ascii="仿宋" w:hAnsi="仿宋" w:eastAsia="仿宋" w:cs="仿宋"/>
          <w:sz w:val="24"/>
          <w:szCs w:val="24"/>
        </w:rPr>
        <w:t>。</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六位物镜转换器，智能编码，光强随物镜变换自动调整并记忆（非软件设定）。</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★成像视野≥19mm。</w:t>
      </w:r>
    </w:p>
    <w:p>
      <w:pPr>
        <w:numPr>
          <w:ilvl w:val="0"/>
          <w:numId w:val="5"/>
        </w:numPr>
        <w:spacing w:line="360" w:lineRule="auto"/>
        <w:ind w:left="0" w:leftChars="0" w:firstLine="400" w:firstLineChars="0"/>
        <w:textAlignment w:val="baseline"/>
        <w:rPr>
          <w:rFonts w:hint="eastAsia" w:ascii="仿宋" w:hAnsi="仿宋" w:eastAsia="仿宋" w:cs="仿宋"/>
          <w:bCs/>
          <w:sz w:val="24"/>
          <w:szCs w:val="24"/>
          <w:lang w:val="en-GB"/>
        </w:rPr>
      </w:pPr>
      <w:r>
        <w:rPr>
          <w:rFonts w:hint="eastAsia" w:ascii="仿宋" w:hAnsi="仿宋" w:eastAsia="仿宋" w:cs="仿宋"/>
          <w:bCs/>
          <w:sz w:val="24"/>
          <w:szCs w:val="24"/>
          <w:lang w:val="en-GB"/>
        </w:rPr>
        <w:t>载物台：高精度电动载物台。</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机身自带大尺寸显示屏，便于查看显微镜工作状态：可显示当前物镜倍数、物镜类型（干镜、水镜、油镜）；当前光强、光源类型（透射光、荧光、混合）；当前的视场光阑及孔径光阑；荧光强度等。</w:t>
      </w:r>
    </w:p>
    <w:p>
      <w:pPr>
        <w:pStyle w:val="2"/>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电动聚光镜、电动视场光阑、孔径光阑、电动荧光滤色块转轮；</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智能式恒定色温（CCIC）,智能型光强管理（AIM）</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b/>
          <w:sz w:val="24"/>
          <w:szCs w:val="24"/>
        </w:rPr>
        <w:t>物镜</w:t>
      </w:r>
      <w:r>
        <w:rPr>
          <w:rFonts w:hint="eastAsia" w:ascii="仿宋" w:hAnsi="仿宋" w:eastAsia="仿宋" w:cs="仿宋"/>
          <w:sz w:val="24"/>
          <w:szCs w:val="24"/>
        </w:rPr>
        <w:t>，编码物镜转换器，智能识别标尺；</w:t>
      </w:r>
    </w:p>
    <w:p>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平场半复消消色差物镜5X(NA≥0.15)</w:t>
      </w:r>
    </w:p>
    <w:p>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平场半复消色差物镜10X(NA≥0.32)</w:t>
      </w:r>
    </w:p>
    <w:p>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平场半复消色差物镜20X (NA≥0.55)</w:t>
      </w:r>
    </w:p>
    <w:p>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平场半复消色差物镜40X (NA≥0.80)；</w:t>
      </w:r>
    </w:p>
    <w:p>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平场半复消色差油镜100X (NA≥1.32)</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显微镜主机荧光光强五档电动调节。</w:t>
      </w:r>
    </w:p>
    <w:p>
      <w:pPr>
        <w:pStyle w:val="2"/>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★电动视场光阑具有 6 个圆形和方形的视场光圈，与照相机的芯片尺寸实现最佳结合，能够防止尚未成像的横截面被漂白，同时还能够改善信噪比。</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荧光光源：长寿命金属卤素灯，单个灯泡使用时间≥2000小时；紫外, 蓝色. 绿色荧光激发：适应如DAPI, PI，Hotchest，FITC, Rhodanmin, TexasRED，GFP等多种染料。</w:t>
      </w:r>
    </w:p>
    <w:p>
      <w:pPr>
        <w:pStyle w:val="2"/>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全自动荧光滤块转换：一键实现不同颜色的荧光激发。</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 xml:space="preserve"> 智能荧光光强记忆，转换物镜时自动匹配荧光光强。</w:t>
      </w:r>
    </w:p>
    <w:p>
      <w:pPr>
        <w:numPr>
          <w:ilvl w:val="0"/>
          <w:numId w:val="5"/>
        </w:numPr>
        <w:spacing w:line="360" w:lineRule="auto"/>
        <w:ind w:left="0" w:leftChars="0" w:firstLine="400" w:firstLineChars="0"/>
        <w:rPr>
          <w:rFonts w:hint="eastAsia" w:ascii="仿宋" w:hAnsi="仿宋" w:eastAsia="仿宋" w:cs="仿宋"/>
          <w:sz w:val="24"/>
          <w:szCs w:val="24"/>
        </w:rPr>
      </w:pPr>
      <w:r>
        <w:rPr>
          <w:rFonts w:hint="eastAsia" w:ascii="仿宋" w:hAnsi="仿宋" w:eastAsia="仿宋" w:cs="仿宋"/>
          <w:sz w:val="24"/>
          <w:szCs w:val="24"/>
        </w:rPr>
        <w:t>荧光零漂移技术，确保多色荧光无错位。</w:t>
      </w:r>
    </w:p>
    <w:p>
      <w:pPr>
        <w:numPr>
          <w:ilvl w:val="0"/>
          <w:numId w:val="5"/>
        </w:numPr>
        <w:spacing w:line="360" w:lineRule="auto"/>
        <w:ind w:left="0" w:leftChars="0" w:firstLine="400" w:firstLineChars="0"/>
        <w:rPr>
          <w:rFonts w:hint="eastAsia" w:ascii="仿宋" w:hAnsi="仿宋" w:eastAsia="仿宋" w:cs="仿宋"/>
          <w:bCs/>
          <w:sz w:val="24"/>
          <w:szCs w:val="24"/>
          <w:lang w:val="en-GB"/>
        </w:rPr>
      </w:pPr>
      <w:r>
        <w:rPr>
          <w:rFonts w:hint="eastAsia" w:ascii="仿宋" w:hAnsi="仿宋" w:eastAsia="仿宋" w:cs="仿宋"/>
          <w:sz w:val="24"/>
          <w:szCs w:val="24"/>
        </w:rPr>
        <w:t>★</w:t>
      </w:r>
      <w:r>
        <w:rPr>
          <w:rFonts w:hint="eastAsia" w:ascii="仿宋" w:hAnsi="仿宋" w:eastAsia="仿宋" w:cs="仿宋"/>
          <w:b/>
          <w:sz w:val="24"/>
          <w:szCs w:val="24"/>
        </w:rPr>
        <w:t>图像捕捉及分析系统</w:t>
      </w:r>
      <w:r>
        <w:rPr>
          <w:rFonts w:hint="eastAsia" w:ascii="仿宋" w:hAnsi="仿宋" w:eastAsia="仿宋" w:cs="仿宋"/>
          <w:sz w:val="24"/>
          <w:szCs w:val="24"/>
        </w:rPr>
        <w:t>：与显微镜同品牌专用成像系统 性能包括:有效像素≥2050万象素；动态范围≥71dB；采集速度达32fps；</w:t>
      </w:r>
    </w:p>
    <w:p>
      <w:pPr>
        <w:numPr>
          <w:ilvl w:val="0"/>
          <w:numId w:val="5"/>
        </w:numPr>
        <w:spacing w:line="360" w:lineRule="auto"/>
        <w:ind w:left="0" w:leftChars="0" w:firstLine="400" w:firstLineChars="0"/>
        <w:textAlignment w:val="baseline"/>
        <w:rPr>
          <w:rStyle w:val="37"/>
          <w:rFonts w:hint="eastAsia" w:ascii="仿宋" w:hAnsi="仿宋" w:eastAsia="仿宋" w:cs="仿宋"/>
          <w:sz w:val="24"/>
          <w:szCs w:val="24"/>
        </w:rPr>
      </w:pPr>
      <w:r>
        <w:rPr>
          <w:rStyle w:val="37"/>
          <w:rFonts w:hint="eastAsia" w:ascii="仿宋" w:hAnsi="仿宋" w:eastAsia="仿宋" w:cs="仿宋"/>
          <w:sz w:val="24"/>
          <w:szCs w:val="24"/>
        </w:rPr>
        <w:t>软件功能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.1 能对所有打开的图片进行一键批量化自动添加正确标尺；能对所有打开的图片实现一键批量化LIF与JPG / TIFF/AVI/Quicktime等格式的输出转换。实验采图过程中即使电脑断电，未保存的图片依然会自动出现在再打开的软件中。也能自动保存图片在指定文件夹。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.2 图像导航器与图像画廊：可进行XYZ、XYT、XYλ、XYZT、XYλZT等多维图像的浏览、编辑、 图象剪裁。具有多视野比对功能，特别适合多孔板活细胞图像回放和分析。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.3荧光图像叠加：能进行多个荧光通道图像的叠加。10.4 荧光图像叠加：能进行多个荧光通道图像的叠加；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图像处理与编辑功能：具有锐化、降噪、色彩、去背景、分离、形态、边缘等滤镜。包括图像剪切、改变图像分辨率、灰阶深度，多维度图像切割、叠加、组合等功能。能进行图像与图像之间的相加、相减、扣除、交集、Ratio（比例）、移位等运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19.5、</w:t>
      </w:r>
      <w:r>
        <w:rPr>
          <w:rFonts w:hint="eastAsia" w:ascii="仿宋" w:hAnsi="仿宋" w:eastAsia="仿宋" w:cs="仿宋"/>
          <w:sz w:val="24"/>
          <w:szCs w:val="24"/>
        </w:rPr>
        <w:t xml:space="preserve">图像测量分析: </w:t>
      </w:r>
    </w:p>
    <w:p>
      <w:pPr>
        <w:pStyle w:val="2"/>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19.5.1</w:t>
      </w:r>
      <w:r>
        <w:rPr>
          <w:rFonts w:hint="eastAsia" w:ascii="仿宋" w:hAnsi="仿宋" w:eastAsia="仿宋" w:cs="仿宋"/>
          <w:sz w:val="24"/>
          <w:szCs w:val="24"/>
        </w:rPr>
        <w:t>能实现不规则ROI的长度/面积/周长/总光强度/中心点测量。能统计最大值、最小值、平均差、标准差、总值、平均值等。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19.5.2</w:t>
      </w:r>
      <w:r>
        <w:rPr>
          <w:rFonts w:hint="eastAsia" w:ascii="仿宋" w:hAnsi="仿宋" w:eastAsia="仿宋" w:cs="仿宋"/>
          <w:sz w:val="24"/>
          <w:szCs w:val="24"/>
        </w:rPr>
        <w:t>荧光强度手动定量测量：能进行单线、区域、序列以及整个图象堆叠区域光强度测量；在实时图上在线测量比率测量。</w:t>
      </w:r>
    </w:p>
    <w:p>
      <w:pPr>
        <w:pStyle w:val="2"/>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19.5.3</w:t>
      </w:r>
      <w:r>
        <w:rPr>
          <w:rFonts w:hint="eastAsia" w:ascii="仿宋" w:hAnsi="仿宋" w:eastAsia="仿宋" w:cs="仿宋"/>
          <w:sz w:val="24"/>
          <w:szCs w:val="24"/>
        </w:rPr>
        <w:t xml:space="preserve"> 长度无需校准，测量单位（um）直接显示无需校准。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.5.4 配有比例荧光校准公式，可实现测量分析双波长比例荧光测定。</w:t>
      </w:r>
    </w:p>
    <w:p>
      <w:pPr>
        <w:numPr>
          <w:ilvl w:val="0"/>
          <w:numId w:val="5"/>
        </w:numPr>
        <w:spacing w:line="360" w:lineRule="auto"/>
        <w:ind w:left="0" w:leftChars="0" w:firstLine="400" w:firstLineChars="0"/>
        <w:textAlignment w:val="baseline"/>
        <w:rPr>
          <w:rStyle w:val="37"/>
          <w:rFonts w:hint="eastAsia" w:ascii="仿宋" w:hAnsi="仿宋" w:eastAsia="仿宋" w:cs="仿宋"/>
          <w:sz w:val="24"/>
          <w:szCs w:val="24"/>
        </w:rPr>
      </w:pPr>
      <w:r>
        <w:rPr>
          <w:rStyle w:val="37"/>
          <w:rFonts w:hint="eastAsia" w:ascii="仿宋" w:hAnsi="仿宋" w:eastAsia="仿宋" w:cs="仿宋"/>
          <w:sz w:val="24"/>
          <w:szCs w:val="24"/>
        </w:rPr>
        <w:t>拼图功能：多功能全标本导航、全标本拼图。能进行自定义ROI形状的拼图，能拼接出长条形或圆形的大图，节省不必需的区域成像，加快拼图速度。能指定不同ROI区域使用不同的物镜进行拼图。能一次性批量化扫描多个标本多个ROI拼图。</w:t>
      </w:r>
    </w:p>
    <w:p>
      <w:pPr>
        <w:numPr>
          <w:ilvl w:val="0"/>
          <w:numId w:val="5"/>
        </w:numPr>
        <w:spacing w:line="360" w:lineRule="auto"/>
        <w:ind w:left="0" w:leftChars="0" w:firstLine="400" w:firstLineChars="0"/>
        <w:textAlignment w:val="baseline"/>
        <w:rPr>
          <w:rStyle w:val="37"/>
          <w:rFonts w:hint="eastAsia" w:ascii="仿宋" w:hAnsi="仿宋" w:eastAsia="仿宋" w:cs="仿宋"/>
          <w:sz w:val="24"/>
          <w:szCs w:val="24"/>
        </w:rPr>
      </w:pPr>
      <w:r>
        <w:rPr>
          <w:rStyle w:val="37"/>
          <w:rFonts w:hint="eastAsia" w:ascii="仿宋" w:hAnsi="仿宋" w:eastAsia="仿宋" w:cs="仿宋"/>
          <w:sz w:val="24"/>
          <w:szCs w:val="24"/>
        </w:rPr>
        <w:t>产品部件如显微镜、CCD、图像分析系统由一家制造厂商生产提供，以保证提供优越的图像质量和完善可靠的售后服务。</w:t>
      </w:r>
    </w:p>
    <w:p>
      <w:pPr>
        <w:pStyle w:val="29"/>
        <w:numPr>
          <w:ilvl w:val="0"/>
          <w:numId w:val="0"/>
        </w:numPr>
        <w:rPr>
          <w:rFonts w:hint="eastAsia" w:ascii="仿宋" w:hAnsi="仿宋" w:eastAsia="仿宋" w:cs="仿宋"/>
        </w:rPr>
      </w:pPr>
      <w:bookmarkStart w:id="185" w:name="_Toc22677"/>
      <w:r>
        <w:rPr>
          <w:rFonts w:hint="eastAsia" w:ascii="仿宋" w:hAnsi="仿宋" w:eastAsia="仿宋" w:cs="仿宋"/>
        </w:rPr>
        <w:t>三、服务要求</w:t>
      </w:r>
      <w:bookmarkEnd w:id="182"/>
      <w:bookmarkEnd w:id="183"/>
      <w:bookmarkEnd w:id="185"/>
    </w:p>
    <w:p>
      <w:pPr>
        <w:spacing w:line="360" w:lineRule="auto"/>
        <w:ind w:firstLine="220" w:firstLineChars="100"/>
        <w:rPr>
          <w:rFonts w:hint="eastAsia" w:ascii="仿宋" w:hAnsi="仿宋" w:eastAsia="仿宋" w:cs="仿宋"/>
          <w:sz w:val="24"/>
          <w:szCs w:val="24"/>
        </w:rPr>
      </w:pPr>
      <w:bookmarkStart w:id="186" w:name="_Toc11488"/>
      <w:bookmarkStart w:id="187" w:name="_Toc15882"/>
      <w:r>
        <w:rPr>
          <w:rFonts w:hint="eastAsia" w:ascii="微软雅黑" w:hAnsi="微软雅黑" w:cs="微软雅黑"/>
          <w:b/>
          <w:bCs/>
          <w:szCs w:val="21"/>
        </w:rPr>
        <w:t>（</w:t>
      </w:r>
      <w:r>
        <w:rPr>
          <w:rFonts w:hint="eastAsia" w:ascii="仿宋" w:hAnsi="仿宋" w:eastAsia="仿宋" w:cs="仿宋"/>
          <w:b/>
          <w:bCs/>
          <w:sz w:val="24"/>
          <w:szCs w:val="24"/>
        </w:rPr>
        <w:t>1）技术培训：</w:t>
      </w:r>
      <w:r>
        <w:rPr>
          <w:rFonts w:hint="eastAsia" w:ascii="仿宋" w:hAnsi="仿宋" w:eastAsia="仿宋" w:cs="仿宋"/>
          <w:sz w:val="24"/>
          <w:szCs w:val="24"/>
        </w:rPr>
        <w:t>供应商应为采购方进行人员培训，提供每年不少于1次的设备操作培训，对人员培训不低于2人。</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b/>
          <w:bCs/>
          <w:sz w:val="24"/>
          <w:szCs w:val="24"/>
        </w:rPr>
        <w:t>（2）保修期：</w:t>
      </w:r>
      <w:r>
        <w:rPr>
          <w:rFonts w:hint="eastAsia" w:ascii="仿宋" w:hAnsi="仿宋" w:eastAsia="仿宋" w:cs="仿宋"/>
          <w:sz w:val="24"/>
          <w:szCs w:val="24"/>
        </w:rPr>
        <w:t>自验收合格之日起，由卖方提供一年的免费保修服务。</w:t>
      </w:r>
    </w:p>
    <w:p>
      <w:pPr>
        <w:spacing w:line="360" w:lineRule="auto"/>
        <w:ind w:firstLine="240" w:firstLineChars="100"/>
        <w:rPr>
          <w:rFonts w:hint="eastAsia" w:ascii="微软雅黑" w:hAnsi="微软雅黑" w:cs="微软雅黑"/>
          <w:szCs w:val="21"/>
        </w:rPr>
      </w:pPr>
      <w:r>
        <w:rPr>
          <w:rFonts w:hint="eastAsia" w:ascii="仿宋" w:hAnsi="仿宋" w:eastAsia="仿宋" w:cs="仿宋"/>
          <w:b/>
          <w:bCs/>
          <w:sz w:val="24"/>
          <w:szCs w:val="24"/>
        </w:rPr>
        <w:t>（3）售后技术服务要求：</w:t>
      </w:r>
      <w:r>
        <w:rPr>
          <w:rFonts w:hint="eastAsia" w:ascii="仿宋" w:hAnsi="仿宋" w:eastAsia="仿宋" w:cs="仿宋"/>
          <w:sz w:val="24"/>
          <w:szCs w:val="24"/>
        </w:rPr>
        <w:t>接到故障通知后8小时内作出答复，一般问题24小时之内解决；若采购方有需求，48小时内到达现场解决；若遇重大问题在一周内解决</w:t>
      </w:r>
      <w:r>
        <w:rPr>
          <w:rFonts w:hint="eastAsia" w:ascii="微软雅黑" w:hAnsi="微软雅黑" w:cs="微软雅黑"/>
          <w:szCs w:val="21"/>
        </w:rPr>
        <w:t>。</w:t>
      </w:r>
    </w:p>
    <w:p>
      <w:pPr>
        <w:pStyle w:val="29"/>
        <w:numPr>
          <w:ilvl w:val="0"/>
          <w:numId w:val="0"/>
        </w:numPr>
        <w:spacing w:line="240" w:lineRule="auto"/>
        <w:rPr>
          <w:rFonts w:hint="eastAsia" w:ascii="仿宋" w:hAnsi="仿宋" w:eastAsia="仿宋" w:cs="仿宋"/>
        </w:rPr>
      </w:pPr>
      <w:bookmarkStart w:id="188" w:name="_Toc27208"/>
      <w:r>
        <w:rPr>
          <w:rFonts w:hint="eastAsia" w:ascii="仿宋" w:hAnsi="仿宋" w:eastAsia="仿宋" w:cs="仿宋"/>
        </w:rPr>
        <w:t>四、安装要求</w:t>
      </w:r>
      <w:bookmarkEnd w:id="186"/>
      <w:bookmarkEnd w:id="187"/>
      <w:bookmarkEnd w:id="188"/>
      <w:r>
        <w:rPr>
          <w:rFonts w:hint="eastAsia" w:ascii="仿宋" w:hAnsi="仿宋" w:eastAsia="仿宋" w:cs="仿宋"/>
        </w:rPr>
        <w:t xml:space="preserve">  </w:t>
      </w:r>
    </w:p>
    <w:p>
      <w:pPr>
        <w:pStyle w:val="12"/>
        <w:numPr>
          <w:ilvl w:val="0"/>
          <w:numId w:val="6"/>
        </w:numPr>
        <w:spacing w:before="62" w:beforeLines="20" w:line="440" w:lineRule="exact"/>
        <w:ind w:left="0" w:leftChars="0" w:firstLine="480" w:firstLineChars="200"/>
        <w:rPr>
          <w:rFonts w:hint="eastAsia" w:ascii="仿宋" w:hAnsi="仿宋" w:eastAsia="仿宋" w:cs="仿宋"/>
          <w:sz w:val="24"/>
          <w:szCs w:val="24"/>
          <w:lang w:val="en-US" w:eastAsia="zh-CN" w:bidi="ar-SA"/>
        </w:rPr>
      </w:pPr>
      <w:bookmarkStart w:id="189" w:name="_Toc867"/>
      <w:bookmarkStart w:id="190" w:name="_Toc14629"/>
      <w:r>
        <w:rPr>
          <w:rFonts w:hint="eastAsia" w:ascii="仿宋" w:hAnsi="仿宋" w:eastAsia="仿宋" w:cs="仿宋"/>
          <w:sz w:val="24"/>
          <w:szCs w:val="24"/>
          <w:lang w:val="en-US" w:eastAsia="zh-CN" w:bidi="ar-SA"/>
        </w:rPr>
        <w:t>按照国家现行行业规范标准进行安装，符合国家或行业质量检验评定标准，没有行业标准的产品，投标人应提供相关制造商标准。</w:t>
      </w:r>
    </w:p>
    <w:p>
      <w:pPr>
        <w:pStyle w:val="12"/>
        <w:numPr>
          <w:ilvl w:val="0"/>
          <w:numId w:val="6"/>
        </w:numPr>
        <w:spacing w:before="62" w:beforeLines="20" w:line="440" w:lineRule="exact"/>
        <w:ind w:left="0" w:leftChars="0"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设备安装调试：仪器到货后，卖方在接到通知的7个工作日内派人前往负责该设备的安装、调试和操作培训，直至达到各项验收指标合格。</w:t>
      </w:r>
    </w:p>
    <w:p>
      <w:pPr>
        <w:pStyle w:val="29"/>
        <w:numPr>
          <w:ilvl w:val="0"/>
          <w:numId w:val="0"/>
        </w:numPr>
        <w:spacing w:line="360" w:lineRule="auto"/>
        <w:rPr>
          <w:rFonts w:hint="eastAsia" w:ascii="仿宋" w:hAnsi="仿宋" w:eastAsia="仿宋" w:cs="仿宋"/>
        </w:rPr>
      </w:pPr>
      <w:bookmarkStart w:id="191" w:name="_Toc2456"/>
      <w:r>
        <w:rPr>
          <w:rFonts w:hint="eastAsia" w:ascii="仿宋" w:hAnsi="仿宋" w:eastAsia="仿宋" w:cs="仿宋"/>
        </w:rPr>
        <w:t>五、交货期、交货方式及交货地点</w:t>
      </w:r>
      <w:bookmarkEnd w:id="189"/>
      <w:bookmarkEnd w:id="190"/>
      <w:bookmarkEnd w:id="191"/>
    </w:p>
    <w:p>
      <w:pPr>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1. 交货期：合同签订生效后，进口设备（免税）三个月内、国产设备及进口设备（非免税）一个月内全部设备、材料运抵现场，并安装、调试结束，验收合格，交付买方使用</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bookmarkStart w:id="192" w:name="_Toc2709"/>
      <w:bookmarkStart w:id="193" w:name="_Toc26881"/>
      <w:r>
        <w:rPr>
          <w:rFonts w:hint="eastAsia" w:ascii="仿宋" w:hAnsi="仿宋" w:eastAsia="仿宋" w:cs="仿宋"/>
          <w:bCs/>
          <w:sz w:val="24"/>
        </w:rPr>
        <w:t>2、中标人在买方指定地点交货，并完成安装、调试。</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3、交货地点：南京医科大学。</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4、交付使用要同时向采购人提供详细的技术文件、安装记录等，同时提供两份产品使用说明书。</w:t>
      </w:r>
    </w:p>
    <w:p>
      <w:pPr>
        <w:pStyle w:val="29"/>
        <w:numPr>
          <w:ilvl w:val="0"/>
          <w:numId w:val="0"/>
        </w:numPr>
        <w:spacing w:line="360" w:lineRule="auto"/>
        <w:rPr>
          <w:rFonts w:hint="eastAsia" w:ascii="仿宋" w:hAnsi="仿宋" w:eastAsia="仿宋" w:cs="仿宋"/>
        </w:rPr>
      </w:pPr>
      <w:bookmarkStart w:id="194" w:name="_Toc674"/>
      <w:r>
        <w:rPr>
          <w:rFonts w:hint="eastAsia" w:ascii="仿宋" w:hAnsi="仿宋" w:eastAsia="仿宋" w:cs="仿宋"/>
        </w:rPr>
        <w:t>六、其他技术服务</w:t>
      </w:r>
      <w:r>
        <w:rPr>
          <w:rFonts w:hint="eastAsia" w:ascii="仿宋" w:hAnsi="仿宋" w:eastAsia="仿宋" w:cs="仿宋"/>
          <w:lang w:eastAsia="zh-CN"/>
        </w:rPr>
        <w:t>要求</w:t>
      </w:r>
      <w:r>
        <w:rPr>
          <w:rFonts w:hint="eastAsia" w:ascii="仿宋" w:hAnsi="仿宋" w:eastAsia="仿宋" w:cs="仿宋"/>
        </w:rPr>
        <w:t>：</w:t>
      </w:r>
      <w:bookmarkEnd w:id="192"/>
      <w:bookmarkEnd w:id="193"/>
      <w:bookmarkEnd w:id="194"/>
    </w:p>
    <w:p>
      <w:pPr>
        <w:pStyle w:val="13"/>
        <w:ind w:firstLine="480"/>
        <w:rPr>
          <w:rFonts w:hint="eastAsia" w:ascii="仿宋" w:hAnsi="仿宋" w:eastAsia="仿宋" w:cs="仿宋"/>
        </w:rPr>
      </w:pPr>
      <w:r>
        <w:rPr>
          <w:rFonts w:hint="eastAsia" w:ascii="仿宋" w:hAnsi="仿宋" w:eastAsia="仿宋" w:cs="仿宋"/>
        </w:rPr>
        <w:t>1、供应商须保证本次投标产品系优质材料和先进工艺制成新出厂的产品，且完全与投标文件所述相符。</w:t>
      </w:r>
    </w:p>
    <w:p>
      <w:pPr>
        <w:pStyle w:val="13"/>
        <w:ind w:firstLine="480"/>
        <w:rPr>
          <w:rFonts w:hint="eastAsia" w:ascii="仿宋" w:hAnsi="仿宋" w:eastAsia="仿宋" w:cs="仿宋"/>
        </w:rPr>
      </w:pPr>
      <w:r>
        <w:rPr>
          <w:rFonts w:hint="eastAsia" w:ascii="仿宋" w:hAnsi="仿宋" w:eastAsia="仿宋" w:cs="仿宋"/>
        </w:rPr>
        <w:t>2、交付使用前发生的产品硬件损坏和不合格，一律退换新品。在质保期开始的前三个月内，若发生产品损坏和性能不合格（非使用不当原因造成），除采购人同意修理者外，亦应退换新品。</w:t>
      </w:r>
    </w:p>
    <w:p>
      <w:pPr>
        <w:pStyle w:val="29"/>
        <w:numPr>
          <w:ilvl w:val="0"/>
          <w:numId w:val="0"/>
        </w:numPr>
        <w:spacing w:line="360" w:lineRule="auto"/>
        <w:rPr>
          <w:rFonts w:hint="eastAsia" w:ascii="仿宋" w:hAnsi="仿宋" w:eastAsia="仿宋" w:cs="仿宋"/>
          <w:highlight w:val="none"/>
        </w:rPr>
      </w:pPr>
      <w:bookmarkStart w:id="195" w:name="_Toc22020"/>
      <w:bookmarkStart w:id="196" w:name="_Toc20183"/>
      <w:bookmarkStart w:id="197" w:name="_Toc1143"/>
      <w:r>
        <w:rPr>
          <w:rFonts w:hint="eastAsia" w:ascii="仿宋" w:hAnsi="仿宋" w:eastAsia="仿宋" w:cs="仿宋"/>
          <w:highlight w:val="none"/>
        </w:rPr>
        <w:t>七、货款支付</w:t>
      </w:r>
      <w:bookmarkEnd w:id="195"/>
      <w:bookmarkEnd w:id="196"/>
      <w:bookmarkEnd w:id="197"/>
    </w:p>
    <w:p>
      <w:pPr>
        <w:pStyle w:val="13"/>
        <w:ind w:firstLine="480"/>
        <w:rPr>
          <w:rFonts w:hint="eastAsia" w:ascii="仿宋" w:hAnsi="仿宋" w:eastAsia="仿宋" w:cs="仿宋"/>
          <w:lang w:val="en-US" w:eastAsia="zh-CN"/>
        </w:rPr>
      </w:pPr>
      <w:r>
        <w:rPr>
          <w:rFonts w:hint="eastAsia" w:ascii="仿宋" w:hAnsi="仿宋" w:eastAsia="仿宋" w:cs="仿宋"/>
          <w:lang w:val="en-US" w:eastAsia="zh-CN"/>
        </w:rPr>
        <w:t xml:space="preserve">（进口设备-免税）：采购人与外贸代理公司进行价款结算，合同签订后，由外贸代理公司开具90%信用证，使用部门借款支付90%的货款给外贸公司，待货到验收合格后，支付余下的10%货款给外贸公司。 </w:t>
      </w:r>
    </w:p>
    <w:p>
      <w:pPr>
        <w:pStyle w:val="13"/>
        <w:ind w:firstLine="480"/>
        <w:rPr>
          <w:rFonts w:hint="eastAsia" w:ascii="仿宋" w:hAnsi="仿宋" w:eastAsia="仿宋" w:cs="仿宋"/>
          <w:lang w:val="en-US" w:eastAsia="zh-CN"/>
        </w:rPr>
      </w:pPr>
      <w:r>
        <w:rPr>
          <w:rFonts w:hint="eastAsia" w:ascii="仿宋" w:hAnsi="仿宋" w:eastAsia="仿宋" w:cs="仿宋"/>
          <w:lang w:val="en-US" w:eastAsia="zh-CN"/>
        </w:rPr>
        <w:t>（国产设备及进口设备-非免税）：货物交付且安装、调试后，并通过验收后一周内使用方支付合同总金额的90%，付款之前需收到中标方开具的合法有效的相应金额发票；自验收合格日起，使用方正常使用满一年后的一周内，支付剩余合同总金额的10%。</w:t>
      </w:r>
    </w:p>
    <w:p>
      <w:pPr>
        <w:pStyle w:val="29"/>
        <w:numPr>
          <w:ilvl w:val="0"/>
          <w:numId w:val="0"/>
        </w:numPr>
        <w:spacing w:after="0" w:line="360" w:lineRule="auto"/>
        <w:rPr>
          <w:rFonts w:hint="eastAsia" w:ascii="仿宋" w:hAnsi="仿宋" w:eastAsia="仿宋" w:cs="仿宋"/>
        </w:rPr>
      </w:pPr>
      <w:bookmarkStart w:id="198" w:name="_Toc29234"/>
      <w:bookmarkStart w:id="199" w:name="_Toc5641"/>
      <w:bookmarkStart w:id="200" w:name="_Toc3797"/>
      <w:r>
        <w:rPr>
          <w:rFonts w:hint="eastAsia" w:ascii="仿宋" w:hAnsi="仿宋" w:eastAsia="仿宋" w:cs="仿宋"/>
        </w:rPr>
        <w:t>八、外贸渠道要求</w:t>
      </w:r>
      <w:bookmarkEnd w:id="198"/>
      <w:bookmarkEnd w:id="199"/>
      <w:bookmarkEnd w:id="200"/>
    </w:p>
    <w:p>
      <w:pPr>
        <w:pStyle w:val="19"/>
        <w:numPr>
          <w:ilvl w:val="255"/>
          <w:numId w:val="0"/>
        </w:numPr>
        <w:spacing w:line="360" w:lineRule="auto"/>
        <w:ind w:firstLine="480" w:firstLineChars="200"/>
        <w:rPr>
          <w:rFonts w:hint="eastAsia" w:ascii="仿宋" w:hAnsi="仿宋" w:eastAsia="仿宋" w:cs="仿宋"/>
          <w:bCs/>
          <w:szCs w:val="22"/>
          <w:highlight w:val="none"/>
        </w:rPr>
      </w:pPr>
      <w:r>
        <w:rPr>
          <w:rFonts w:hint="eastAsia" w:ascii="仿宋" w:hAnsi="仿宋" w:eastAsia="仿宋" w:cs="仿宋"/>
          <w:bCs/>
          <w:szCs w:val="22"/>
          <w:highlight w:val="none"/>
        </w:rPr>
        <w:t>外贸渠道要求：（本项目接受免税报价）</w:t>
      </w:r>
    </w:p>
    <w:p>
      <w:pPr>
        <w:pStyle w:val="19"/>
        <w:numPr>
          <w:ilvl w:val="255"/>
          <w:numId w:val="0"/>
        </w:numPr>
        <w:spacing w:line="360" w:lineRule="auto"/>
        <w:ind w:firstLine="480" w:firstLineChars="200"/>
        <w:rPr>
          <w:rFonts w:hint="eastAsia" w:ascii="仿宋" w:hAnsi="仿宋" w:eastAsia="仿宋" w:cs="仿宋"/>
          <w:bCs/>
          <w:szCs w:val="22"/>
        </w:rPr>
      </w:pPr>
      <w:r>
        <w:rPr>
          <w:rFonts w:hint="eastAsia" w:ascii="仿宋" w:hAnsi="仿宋" w:eastAsia="仿宋" w:cs="仿宋"/>
          <w:bCs/>
          <w:szCs w:val="22"/>
        </w:rPr>
        <w:t>南京医科大学前期通过招标方式确定了外贸代理公司，统一了代理费率，具体信息如下：</w:t>
      </w:r>
    </w:p>
    <w:tbl>
      <w:tblPr>
        <w:tblStyle w:val="21"/>
        <w:tblW w:w="6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84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61"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档列</w:t>
            </w:r>
          </w:p>
        </w:tc>
        <w:tc>
          <w:tcPr>
            <w:tcW w:w="3840" w:type="dxa"/>
            <w:shd w:val="clear" w:color="auto" w:fill="auto"/>
            <w:vAlign w:val="center"/>
          </w:tcPr>
          <w:p>
            <w:pPr>
              <w:spacing w:after="0" w:line="360" w:lineRule="auto"/>
              <w:ind w:firstLine="480" w:firstLineChars="200"/>
              <w:jc w:val="center"/>
              <w:rPr>
                <w:rFonts w:hint="eastAsia" w:ascii="仿宋" w:hAnsi="仿宋" w:eastAsia="仿宋" w:cs="仿宋"/>
                <w:bCs/>
                <w:sz w:val="24"/>
              </w:rPr>
            </w:pPr>
            <w:r>
              <w:rPr>
                <w:rFonts w:hint="eastAsia" w:ascii="仿宋" w:hAnsi="仿宋" w:eastAsia="仿宋" w:cs="仿宋"/>
                <w:bCs/>
                <w:sz w:val="24"/>
              </w:rPr>
              <w:t>合同价（单位：美元）</w:t>
            </w:r>
          </w:p>
        </w:tc>
        <w:tc>
          <w:tcPr>
            <w:tcW w:w="2026"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每段代理费率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1"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1</w:t>
            </w:r>
          </w:p>
        </w:tc>
        <w:tc>
          <w:tcPr>
            <w:tcW w:w="3840" w:type="dxa"/>
            <w:shd w:val="clear" w:color="auto" w:fill="auto"/>
            <w:vAlign w:val="center"/>
          </w:tcPr>
          <w:p>
            <w:pPr>
              <w:spacing w:after="0" w:line="360" w:lineRule="auto"/>
              <w:ind w:firstLine="480" w:firstLineChars="200"/>
              <w:jc w:val="center"/>
              <w:rPr>
                <w:rFonts w:hint="eastAsia" w:ascii="仿宋" w:hAnsi="仿宋" w:eastAsia="仿宋" w:cs="仿宋"/>
                <w:bCs/>
                <w:sz w:val="24"/>
              </w:rPr>
            </w:pPr>
            <w:r>
              <w:rPr>
                <w:rFonts w:hint="eastAsia" w:ascii="仿宋" w:hAnsi="仿宋" w:eastAsia="仿宋" w:cs="仿宋"/>
                <w:bCs/>
                <w:sz w:val="24"/>
              </w:rPr>
              <w:t>合同价＜10000</w:t>
            </w:r>
          </w:p>
        </w:tc>
        <w:tc>
          <w:tcPr>
            <w:tcW w:w="2026"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1"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3840" w:type="dxa"/>
            <w:shd w:val="clear" w:color="auto" w:fill="auto"/>
            <w:vAlign w:val="center"/>
          </w:tcPr>
          <w:p>
            <w:pPr>
              <w:spacing w:after="0" w:line="360" w:lineRule="auto"/>
              <w:ind w:firstLine="480" w:firstLineChars="200"/>
              <w:jc w:val="center"/>
              <w:rPr>
                <w:rFonts w:hint="eastAsia" w:ascii="仿宋" w:hAnsi="仿宋" w:eastAsia="仿宋" w:cs="仿宋"/>
                <w:bCs/>
                <w:sz w:val="24"/>
              </w:rPr>
            </w:pPr>
            <w:r>
              <w:rPr>
                <w:rFonts w:hint="eastAsia" w:ascii="仿宋" w:hAnsi="仿宋" w:eastAsia="仿宋" w:cs="仿宋"/>
                <w:bCs/>
                <w:sz w:val="24"/>
              </w:rPr>
              <w:t>10，000≤合同价＜30，000</w:t>
            </w:r>
          </w:p>
        </w:tc>
        <w:tc>
          <w:tcPr>
            <w:tcW w:w="2026"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1"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3</w:t>
            </w:r>
          </w:p>
        </w:tc>
        <w:tc>
          <w:tcPr>
            <w:tcW w:w="3840" w:type="dxa"/>
            <w:shd w:val="clear" w:color="auto" w:fill="auto"/>
            <w:vAlign w:val="center"/>
          </w:tcPr>
          <w:p>
            <w:pPr>
              <w:spacing w:after="0" w:line="360" w:lineRule="auto"/>
              <w:ind w:firstLine="480" w:firstLineChars="200"/>
              <w:jc w:val="center"/>
              <w:rPr>
                <w:rFonts w:hint="eastAsia" w:ascii="仿宋" w:hAnsi="仿宋" w:eastAsia="仿宋" w:cs="仿宋"/>
                <w:bCs/>
                <w:sz w:val="24"/>
              </w:rPr>
            </w:pPr>
            <w:r>
              <w:rPr>
                <w:rFonts w:hint="eastAsia" w:ascii="仿宋" w:hAnsi="仿宋" w:eastAsia="仿宋" w:cs="仿宋"/>
                <w:bCs/>
                <w:sz w:val="24"/>
              </w:rPr>
              <w:t>30，000≤合同价＜50，000</w:t>
            </w:r>
          </w:p>
        </w:tc>
        <w:tc>
          <w:tcPr>
            <w:tcW w:w="2026"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61"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4</w:t>
            </w:r>
          </w:p>
        </w:tc>
        <w:tc>
          <w:tcPr>
            <w:tcW w:w="3840" w:type="dxa"/>
            <w:shd w:val="clear" w:color="auto" w:fill="auto"/>
            <w:vAlign w:val="center"/>
          </w:tcPr>
          <w:p>
            <w:pPr>
              <w:spacing w:after="0" w:line="360" w:lineRule="auto"/>
              <w:ind w:firstLine="480" w:firstLineChars="200"/>
              <w:jc w:val="center"/>
              <w:rPr>
                <w:rFonts w:hint="eastAsia" w:ascii="仿宋" w:hAnsi="仿宋" w:eastAsia="仿宋" w:cs="仿宋"/>
                <w:bCs/>
                <w:sz w:val="24"/>
              </w:rPr>
            </w:pPr>
            <w:r>
              <w:rPr>
                <w:rFonts w:hint="eastAsia" w:ascii="仿宋" w:hAnsi="仿宋" w:eastAsia="仿宋" w:cs="仿宋"/>
                <w:bCs/>
                <w:sz w:val="24"/>
              </w:rPr>
              <w:t>50，000≤合同价＜100，000</w:t>
            </w:r>
          </w:p>
        </w:tc>
        <w:tc>
          <w:tcPr>
            <w:tcW w:w="2026"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61"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5</w:t>
            </w:r>
          </w:p>
        </w:tc>
        <w:tc>
          <w:tcPr>
            <w:tcW w:w="3840" w:type="dxa"/>
            <w:shd w:val="clear" w:color="auto" w:fill="auto"/>
            <w:vAlign w:val="center"/>
          </w:tcPr>
          <w:p>
            <w:pPr>
              <w:spacing w:after="0" w:line="360" w:lineRule="auto"/>
              <w:ind w:firstLine="480" w:firstLineChars="200"/>
              <w:jc w:val="center"/>
              <w:rPr>
                <w:rFonts w:hint="eastAsia" w:ascii="仿宋" w:hAnsi="仿宋" w:eastAsia="仿宋" w:cs="仿宋"/>
                <w:bCs/>
                <w:sz w:val="24"/>
              </w:rPr>
            </w:pPr>
            <w:r>
              <w:rPr>
                <w:rFonts w:hint="eastAsia" w:ascii="仿宋" w:hAnsi="仿宋" w:eastAsia="仿宋" w:cs="仿宋"/>
                <w:bCs/>
                <w:sz w:val="24"/>
              </w:rPr>
              <w:t>100，000≤合同价＜200，000</w:t>
            </w:r>
          </w:p>
        </w:tc>
        <w:tc>
          <w:tcPr>
            <w:tcW w:w="2026" w:type="dxa"/>
            <w:shd w:val="clear" w:color="auto" w:fill="auto"/>
            <w:vAlign w:val="center"/>
          </w:tcPr>
          <w:p>
            <w:pPr>
              <w:spacing w:after="0" w:line="360" w:lineRule="auto"/>
              <w:jc w:val="center"/>
              <w:rPr>
                <w:rFonts w:hint="eastAsia" w:ascii="仿宋" w:hAnsi="仿宋" w:eastAsia="仿宋" w:cs="仿宋"/>
                <w:bCs/>
                <w:sz w:val="24"/>
              </w:rPr>
            </w:pPr>
            <w:r>
              <w:rPr>
                <w:rFonts w:hint="eastAsia" w:ascii="仿宋" w:hAnsi="仿宋" w:eastAsia="仿宋" w:cs="仿宋"/>
                <w:bCs/>
                <w:sz w:val="24"/>
              </w:rPr>
              <w:t>0.06</w:t>
            </w:r>
          </w:p>
        </w:tc>
      </w:tr>
    </w:tbl>
    <w:p>
      <w:pPr>
        <w:spacing w:after="0" w:line="360" w:lineRule="auto"/>
        <w:ind w:firstLine="480" w:firstLineChars="200"/>
        <w:rPr>
          <w:rFonts w:hint="eastAsia" w:ascii="仿宋" w:hAnsi="仿宋" w:eastAsia="仿宋" w:cs="仿宋"/>
          <w:bCs/>
          <w:sz w:val="24"/>
        </w:rPr>
      </w:pPr>
    </w:p>
    <w:p>
      <w:pPr>
        <w:spacing w:after="0" w:line="360" w:lineRule="auto"/>
        <w:ind w:firstLine="1200" w:firstLineChars="500"/>
        <w:rPr>
          <w:rFonts w:hint="eastAsia" w:ascii="仿宋" w:hAnsi="仿宋" w:eastAsia="仿宋" w:cs="仿宋"/>
        </w:rPr>
      </w:pPr>
      <w:r>
        <w:rPr>
          <w:rFonts w:hint="eastAsia" w:ascii="仿宋" w:hAnsi="仿宋" w:eastAsia="仿宋" w:cs="仿宋"/>
          <w:bCs/>
          <w:sz w:val="24"/>
        </w:rPr>
        <w:t>合同价为20万美元及以上的，代理费率不高于上述代理费中最低一档。</w:t>
      </w:r>
    </w:p>
    <w:p>
      <w:pPr>
        <w:numPr>
          <w:ilvl w:val="255"/>
          <w:numId w:val="0"/>
        </w:numPr>
        <w:spacing w:line="360" w:lineRule="auto"/>
        <w:ind w:firstLine="960" w:firstLineChars="400"/>
        <w:rPr>
          <w:rFonts w:hint="eastAsia" w:ascii="仿宋" w:hAnsi="仿宋" w:eastAsia="仿宋" w:cs="仿宋"/>
          <w:sz w:val="24"/>
          <w:szCs w:val="24"/>
        </w:rPr>
        <w:sectPr>
          <w:pgSz w:w="11906" w:h="16838"/>
          <w:pgMar w:top="1440" w:right="1080" w:bottom="1440" w:left="1080" w:header="851" w:footer="992" w:gutter="0"/>
          <w:pgNumType w:fmt="decimal"/>
          <w:cols w:space="720" w:num="1"/>
          <w:docGrid w:type="linesAndChars" w:linePitch="312" w:charSpace="0"/>
        </w:sectPr>
      </w:pPr>
      <w:r>
        <w:rPr>
          <w:rFonts w:hint="eastAsia" w:ascii="仿宋" w:hAnsi="仿宋" w:eastAsia="仿宋" w:cs="仿宋"/>
          <w:b/>
          <w:bCs/>
          <w:i/>
          <w:iCs/>
          <w:sz w:val="24"/>
          <w:szCs w:val="24"/>
          <w:u w:val="single"/>
        </w:rPr>
        <w:t>如潜在投标人所投产品为进口产品，请自行综合考虑外贸代理费等报价事</w:t>
      </w:r>
    </w:p>
    <w:p>
      <w:pPr>
        <w:pStyle w:val="5"/>
        <w:keepNext w:val="0"/>
        <w:pageBreakBefore/>
        <w:numPr>
          <w:ilvl w:val="255"/>
          <w:numId w:val="0"/>
        </w:numPr>
        <w:spacing w:after="0"/>
        <w:rPr>
          <w:rFonts w:hint="eastAsia" w:ascii="仿宋" w:hAnsi="仿宋" w:eastAsia="仿宋" w:cs="仿宋"/>
          <w:b/>
          <w:bCs/>
          <w:sz w:val="44"/>
          <w:szCs w:val="44"/>
        </w:rPr>
      </w:pPr>
      <w:bookmarkStart w:id="201" w:name="_Toc6509"/>
      <w:bookmarkStart w:id="202" w:name="_Toc1643"/>
      <w:bookmarkStart w:id="203" w:name="_Toc32446"/>
      <w:r>
        <w:rPr>
          <w:rFonts w:hint="eastAsia" w:ascii="仿宋" w:hAnsi="仿宋" w:eastAsia="仿宋" w:cs="仿宋"/>
          <w:b/>
          <w:bCs/>
          <w:sz w:val="44"/>
          <w:szCs w:val="44"/>
        </w:rPr>
        <w:t>第五章  评标方法与评标标准</w:t>
      </w:r>
      <w:bookmarkEnd w:id="170"/>
      <w:bookmarkEnd w:id="171"/>
      <w:bookmarkEnd w:id="172"/>
      <w:bookmarkEnd w:id="173"/>
      <w:bookmarkEnd w:id="201"/>
      <w:bookmarkEnd w:id="202"/>
      <w:bookmarkEnd w:id="203"/>
    </w:p>
    <w:p>
      <w:pPr>
        <w:pStyle w:val="29"/>
        <w:numPr>
          <w:ilvl w:val="0"/>
          <w:numId w:val="7"/>
        </w:numPr>
        <w:spacing w:after="0" w:line="360" w:lineRule="auto"/>
        <w:rPr>
          <w:rFonts w:hint="eastAsia" w:ascii="仿宋" w:hAnsi="仿宋" w:eastAsia="仿宋" w:cs="仿宋"/>
          <w:snapToGrid w:val="0"/>
          <w:kern w:val="0"/>
        </w:rPr>
      </w:pPr>
      <w:bookmarkStart w:id="204" w:name="_Toc28964"/>
      <w:bookmarkStart w:id="205" w:name="_Toc18216"/>
      <w:bookmarkStart w:id="206" w:name="_Toc24009"/>
      <w:bookmarkStart w:id="207" w:name="_Toc21937"/>
      <w:bookmarkStart w:id="208" w:name="_Toc20795"/>
      <w:bookmarkStart w:id="209" w:name="_Toc3128"/>
      <w:bookmarkStart w:id="210" w:name="_Toc11049"/>
      <w:bookmarkStart w:id="211" w:name="_Toc2852"/>
      <w:r>
        <w:rPr>
          <w:rFonts w:hint="eastAsia" w:ascii="仿宋" w:hAnsi="仿宋" w:eastAsia="仿宋" w:cs="仿宋"/>
          <w:snapToGrid w:val="0"/>
          <w:kern w:val="0"/>
        </w:rPr>
        <w:t>评标方法与定标原则</w:t>
      </w:r>
      <w:bookmarkEnd w:id="204"/>
      <w:bookmarkEnd w:id="205"/>
      <w:bookmarkEnd w:id="206"/>
      <w:bookmarkEnd w:id="207"/>
      <w:bookmarkEnd w:id="208"/>
      <w:bookmarkEnd w:id="209"/>
      <w:bookmarkEnd w:id="210"/>
      <w:bookmarkEnd w:id="211"/>
    </w:p>
    <w:p>
      <w:pPr>
        <w:pStyle w:val="8"/>
        <w:spacing w:after="0"/>
        <w:ind w:firstLine="480"/>
        <w:rPr>
          <w:rFonts w:hint="eastAsia" w:ascii="仿宋" w:hAnsi="仿宋" w:eastAsia="仿宋" w:cs="仿宋"/>
        </w:rPr>
      </w:pPr>
      <w:r>
        <w:rPr>
          <w:rFonts w:hint="eastAsia" w:ascii="仿宋" w:hAnsi="仿宋" w:eastAsia="仿宋" w:cs="仿宋"/>
        </w:rPr>
        <w:t>评委会将对确定为实质性响应招标文件要求的投标文件进行评价和比较，评标采用综合评分法，总分为100分，按评审后得分由高到低顺序排列，得分相同的，按投标报价由低到高顺序排列，得分且投标报价相同的，按技术指标优劣顺序排列，由评标委员会推荐三名中标候选人，采购人确定一名中标人。</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lang w:val="en-US" w:eastAsia="zh-CN"/>
        </w:rPr>
        <w:t>(一)</w:t>
      </w:r>
      <w:r>
        <w:rPr>
          <w:rFonts w:hint="eastAsia" w:ascii="仿宋" w:hAnsi="仿宋" w:eastAsia="仿宋" w:cs="仿宋"/>
          <w:bCs/>
          <w:sz w:val="24"/>
        </w:rPr>
        <w:t>中小企业政策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中小企业（含中型、小型、微型企业）应当符合《政府采购促进中小企业发展管理办法》（财库〔2020〕46号,以下简称46号文）第二条、《关于政府采购支持监狱企业发展有关问题的通知》（财库〔2014〕68号）第一条或《关于促进残疾人就业政府采购政策的通知》（财库〔2017〕141号）第一条的规定。本项目对残疾人福利性单位、监狱和戒毒企业（简称监狱企业）视同小型、微型企业。残疾人福利单位、监狱企业属于小型、微型企业的，不重复享受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（2）对于专门面向中小企业或小型、微型企业的项目，只面向中小企业或小型、微型企业采购。对于非专门面向中小企业的项目，对小型和微型企业产品的价格给予10%的扣除，用扣除后的价格参与评审。</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（二）</w:t>
      </w:r>
      <w:r>
        <w:rPr>
          <w:rFonts w:hint="eastAsia" w:ascii="仿宋" w:hAnsi="仿宋" w:eastAsia="仿宋" w:cs="仿宋"/>
          <w:bCs/>
          <w:sz w:val="24"/>
        </w:rPr>
        <w:t>供应商提供的货物、工程或者服务符合下列情形的，享受本办法规定的中小企业扶持政策：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1</w:t>
      </w:r>
      <w:r>
        <w:rPr>
          <w:rFonts w:hint="eastAsia" w:ascii="仿宋" w:hAnsi="仿宋" w:eastAsia="仿宋" w:cs="仿宋"/>
          <w:bCs/>
          <w:sz w:val="24"/>
        </w:rPr>
        <w:t>）在货物采购项目中，货物由中小企业制造，即货物由中小企业生产且使用该中小企业商号或者注册商标；</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2</w:t>
      </w:r>
      <w:r>
        <w:rPr>
          <w:rFonts w:hint="eastAsia" w:ascii="仿宋" w:hAnsi="仿宋" w:eastAsia="仿宋" w:cs="仿宋"/>
          <w:bCs/>
          <w:sz w:val="24"/>
        </w:rPr>
        <w:t>）在工程采购项目中，工程由中小企业承建，即工程施工单位为中小企业；</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）在服务采购项目中，服务由中小企业承接，即提供服务的人员为中小企业依照《中华人民共和国劳动合同法》订立劳动合同的从业人员。</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在货物采购项目中，供应商提供的货物既有中小企业制造货物，也有大型企业制造货物的，不享受本办法规定的中小企业扶持政策。</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（三）</w:t>
      </w:r>
      <w:r>
        <w:rPr>
          <w:rFonts w:hint="eastAsia" w:ascii="仿宋" w:hAnsi="仿宋" w:eastAsia="仿宋" w:cs="仿宋"/>
          <w:bCs/>
          <w:sz w:val="24"/>
        </w:rPr>
        <w:t>以联合体形式参加政府采购活动，联合体各方均为中小企业的，联合体视同中小企业。其中，联合体各方均为小微企业的，联合体视同小微企业。</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1</w:t>
      </w:r>
      <w:r>
        <w:rPr>
          <w:rFonts w:hint="eastAsia" w:ascii="仿宋" w:hAnsi="仿宋" w:eastAsia="仿宋" w:cs="仿宋"/>
          <w:bCs/>
          <w:sz w:val="24"/>
        </w:rPr>
        <w:t>）参加政府采购活动的中小企业应当提供《中小企业声明函》、由省级以上监狱管理局戒毒管理局(含新疆生产建设兵团)出具的属于监狱企业的证明文件或《残疾人福利性单位声明函》。</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2</w:t>
      </w:r>
      <w:r>
        <w:rPr>
          <w:rFonts w:hint="eastAsia" w:ascii="仿宋" w:hAnsi="仿宋" w:eastAsia="仿宋" w:cs="仿宋"/>
          <w:bCs/>
          <w:sz w:val="24"/>
        </w:rPr>
        <w:t>）根据46号文第九条的规定，接受大中型企业与小微企业组成联合体或者允许大中型企业向一家或者多家小微企业分包的采购项目，对于联合协议或者分包意向协议约定小微企业的合同份额占到合同总金额 30%以上的，给予联合体2%的价格扣除，用扣除后的价格参加评审。</w:t>
      </w:r>
    </w:p>
    <w:p>
      <w:pPr>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）中小企业依据46号文规定的政策获取政府采购合同后，小型、微型企业不得分包或转包给大型、中型企业，中型企业不得分包或转包给大型企业。</w:t>
      </w:r>
    </w:p>
    <w:p>
      <w:pPr>
        <w:pStyle w:val="8"/>
        <w:spacing w:after="0"/>
        <w:ind w:left="0" w:leftChars="0" w:firstLine="480" w:firstLineChars="200"/>
        <w:rPr>
          <w:rFonts w:hint="eastAsia" w:ascii="仿宋" w:hAnsi="仿宋" w:eastAsia="仿宋" w:cs="仿宋"/>
        </w:rPr>
      </w:pP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）政府采购监督检查、投诉处理及政府采购行政处罚中对中小企业的认定，由货物制造商或者工程、服务供应商注册登记所在地的县级以上人民政府中小企业主管部门负责。</w:t>
      </w:r>
    </w:p>
    <w:p>
      <w:pPr>
        <w:pStyle w:val="29"/>
        <w:numPr>
          <w:ilvl w:val="0"/>
          <w:numId w:val="0"/>
        </w:numPr>
        <w:spacing w:after="0" w:line="360" w:lineRule="auto"/>
        <w:rPr>
          <w:rFonts w:hint="eastAsia" w:ascii="仿宋" w:hAnsi="仿宋" w:eastAsia="仿宋" w:cs="仿宋"/>
          <w:sz w:val="24"/>
          <w:szCs w:val="24"/>
        </w:rPr>
      </w:pPr>
      <w:bookmarkStart w:id="212" w:name="_Toc7630"/>
      <w:bookmarkStart w:id="213" w:name="_Toc27488"/>
      <w:bookmarkStart w:id="214" w:name="_Toc15050"/>
      <w:bookmarkStart w:id="215" w:name="_Toc23769"/>
      <w:bookmarkStart w:id="216" w:name="_Toc21264"/>
      <w:bookmarkStart w:id="217" w:name="_Toc9657"/>
      <w:bookmarkStart w:id="218" w:name="_Toc1171"/>
      <w:bookmarkStart w:id="219" w:name="_Toc31170"/>
      <w:r>
        <w:rPr>
          <w:rFonts w:hint="eastAsia" w:ascii="仿宋" w:hAnsi="仿宋" w:eastAsia="仿宋" w:cs="仿宋"/>
          <w:snapToGrid w:val="0"/>
          <w:kern w:val="0"/>
        </w:rPr>
        <w:t>二、 评审标准</w:t>
      </w:r>
      <w:bookmarkEnd w:id="212"/>
      <w:bookmarkEnd w:id="213"/>
      <w:bookmarkEnd w:id="214"/>
      <w:bookmarkEnd w:id="215"/>
      <w:bookmarkEnd w:id="216"/>
      <w:bookmarkEnd w:id="217"/>
      <w:bookmarkEnd w:id="218"/>
      <w:bookmarkEnd w:id="219"/>
    </w:p>
    <w:tbl>
      <w:tblPr>
        <w:tblStyle w:val="21"/>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33"/>
        <w:gridCol w:w="7337"/>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74" w:type="dxa"/>
            <w:vAlign w:val="center"/>
          </w:tcPr>
          <w:p>
            <w:pPr>
              <w:spacing w:after="0"/>
              <w:jc w:val="center"/>
              <w:rPr>
                <w:rFonts w:hint="eastAsia" w:ascii="仿宋" w:hAnsi="仿宋" w:eastAsia="仿宋" w:cs="仿宋"/>
                <w:bCs/>
                <w:sz w:val="24"/>
                <w:szCs w:val="24"/>
              </w:rPr>
            </w:pPr>
            <w:r>
              <w:rPr>
                <w:rFonts w:hint="eastAsia" w:ascii="仿宋" w:hAnsi="仿宋" w:eastAsia="仿宋" w:cs="仿宋"/>
                <w:b/>
                <w:sz w:val="24"/>
                <w:szCs w:val="24"/>
              </w:rPr>
              <w:t>序号</w:t>
            </w:r>
          </w:p>
        </w:tc>
        <w:tc>
          <w:tcPr>
            <w:tcW w:w="733" w:type="dxa"/>
            <w:vAlign w:val="center"/>
          </w:tcPr>
          <w:p>
            <w:pPr>
              <w:spacing w:after="0"/>
              <w:jc w:val="center"/>
              <w:rPr>
                <w:rFonts w:hint="eastAsia" w:ascii="仿宋" w:hAnsi="仿宋" w:eastAsia="仿宋" w:cs="仿宋"/>
                <w:bCs/>
                <w:sz w:val="24"/>
                <w:szCs w:val="24"/>
              </w:rPr>
            </w:pPr>
            <w:r>
              <w:rPr>
                <w:rFonts w:hint="eastAsia" w:ascii="仿宋" w:hAnsi="仿宋" w:eastAsia="仿宋" w:cs="仿宋"/>
                <w:b/>
                <w:sz w:val="24"/>
                <w:szCs w:val="24"/>
              </w:rPr>
              <w:t>评分因素</w:t>
            </w:r>
          </w:p>
        </w:tc>
        <w:tc>
          <w:tcPr>
            <w:tcW w:w="7337" w:type="dxa"/>
            <w:vAlign w:val="center"/>
          </w:tcPr>
          <w:p>
            <w:pPr>
              <w:spacing w:after="0"/>
              <w:jc w:val="center"/>
              <w:rPr>
                <w:rFonts w:hint="eastAsia" w:ascii="仿宋" w:hAnsi="仿宋" w:eastAsia="仿宋" w:cs="仿宋"/>
                <w:bCs/>
                <w:sz w:val="24"/>
                <w:szCs w:val="24"/>
              </w:rPr>
            </w:pPr>
            <w:r>
              <w:rPr>
                <w:rFonts w:hint="eastAsia" w:ascii="仿宋" w:hAnsi="仿宋" w:eastAsia="仿宋" w:cs="仿宋"/>
                <w:b/>
                <w:sz w:val="24"/>
                <w:szCs w:val="24"/>
              </w:rPr>
              <w:t>评  分  细  则</w:t>
            </w:r>
          </w:p>
        </w:tc>
        <w:tc>
          <w:tcPr>
            <w:tcW w:w="618" w:type="dxa"/>
            <w:vAlign w:val="center"/>
          </w:tcPr>
          <w:p>
            <w:pPr>
              <w:spacing w:after="0"/>
              <w:jc w:val="center"/>
              <w:rPr>
                <w:rFonts w:hint="eastAsia" w:ascii="仿宋" w:hAnsi="仿宋" w:eastAsia="仿宋" w:cs="仿宋"/>
                <w:bCs/>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74" w:type="dxa"/>
            <w:vAlign w:val="center"/>
          </w:tcPr>
          <w:p>
            <w:pPr>
              <w:spacing w:before="62" w:beforeLines="20" w:after="4"/>
              <w:jc w:val="center"/>
              <w:rPr>
                <w:rFonts w:hint="eastAsia" w:ascii="仿宋" w:hAnsi="仿宋" w:eastAsia="仿宋" w:cs="仿宋"/>
                <w:bCs/>
                <w:sz w:val="21"/>
                <w:szCs w:val="21"/>
              </w:rPr>
            </w:pPr>
            <w:r>
              <w:rPr>
                <w:rFonts w:hint="eastAsia" w:ascii="仿宋" w:hAnsi="仿宋" w:eastAsia="仿宋" w:cs="仿宋"/>
                <w:bCs/>
                <w:sz w:val="21"/>
                <w:szCs w:val="21"/>
              </w:rPr>
              <w:t>1</w:t>
            </w:r>
          </w:p>
        </w:tc>
        <w:tc>
          <w:tcPr>
            <w:tcW w:w="733" w:type="dxa"/>
            <w:vAlign w:val="center"/>
          </w:tcPr>
          <w:p>
            <w:pPr>
              <w:spacing w:after="0"/>
              <w:jc w:val="center"/>
              <w:rPr>
                <w:rFonts w:hint="eastAsia" w:ascii="仿宋" w:hAnsi="仿宋" w:eastAsia="仿宋" w:cs="仿宋"/>
                <w:sz w:val="24"/>
                <w:szCs w:val="24"/>
              </w:rPr>
            </w:pPr>
            <w:r>
              <w:rPr>
                <w:rFonts w:hint="eastAsia" w:ascii="仿宋" w:hAnsi="仿宋" w:eastAsia="仿宋" w:cs="仿宋"/>
                <w:sz w:val="24"/>
                <w:szCs w:val="24"/>
              </w:rPr>
              <w:t>价格</w:t>
            </w:r>
          </w:p>
          <w:p>
            <w:pPr>
              <w:spacing w:after="0"/>
              <w:jc w:val="center"/>
              <w:rPr>
                <w:rFonts w:hint="eastAsia" w:ascii="仿宋" w:hAnsi="仿宋" w:eastAsia="仿宋" w:cs="仿宋"/>
                <w:bCs/>
                <w:sz w:val="21"/>
                <w:szCs w:val="21"/>
              </w:rPr>
            </w:pPr>
          </w:p>
        </w:tc>
        <w:tc>
          <w:tcPr>
            <w:tcW w:w="7337"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rPr>
              <w:t>本次招标，以进入详细评审的各投标人评标价的最低值为A值，A值为价格分的满分，即30分。其他投标人的价格分统一按照以下公式计算：投标人评标价得分=（A／该投标人评标价）×30。（保留小数点后两位）</w:t>
            </w:r>
          </w:p>
        </w:tc>
        <w:tc>
          <w:tcPr>
            <w:tcW w:w="618" w:type="dxa"/>
            <w:vAlign w:val="center"/>
          </w:tcPr>
          <w:p>
            <w:pPr>
              <w:widowControl w:val="0"/>
              <w:adjustRightInd/>
              <w:snapToGrid/>
              <w:spacing w:after="0"/>
              <w:jc w:val="center"/>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74" w:type="dxa"/>
            <w:vAlign w:val="center"/>
          </w:tcPr>
          <w:p>
            <w:pPr>
              <w:spacing w:before="62" w:beforeLines="20" w:after="4"/>
              <w:jc w:val="center"/>
              <w:rPr>
                <w:rFonts w:hint="eastAsia" w:ascii="仿宋" w:hAnsi="仿宋" w:eastAsia="仿宋" w:cs="仿宋"/>
                <w:bCs/>
                <w:sz w:val="21"/>
                <w:szCs w:val="21"/>
              </w:rPr>
            </w:pPr>
            <w:r>
              <w:rPr>
                <w:rFonts w:hint="eastAsia" w:ascii="仿宋" w:hAnsi="仿宋" w:eastAsia="仿宋" w:cs="仿宋"/>
                <w:bCs/>
                <w:sz w:val="21"/>
                <w:szCs w:val="21"/>
              </w:rPr>
              <w:t>2</w:t>
            </w:r>
          </w:p>
        </w:tc>
        <w:tc>
          <w:tcPr>
            <w:tcW w:w="733" w:type="dxa"/>
            <w:vAlign w:val="center"/>
          </w:tcPr>
          <w:p>
            <w:pPr>
              <w:spacing w:after="0"/>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技术响应</w:t>
            </w:r>
          </w:p>
        </w:tc>
        <w:tc>
          <w:tcPr>
            <w:tcW w:w="7337"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rPr>
              <w:t>投标产品对招标文件具体需求的响应程度能够满足招标文件技术要求的得</w:t>
            </w:r>
            <w:r>
              <w:rPr>
                <w:rFonts w:hint="eastAsia" w:ascii="仿宋" w:hAnsi="仿宋" w:eastAsia="仿宋" w:cs="仿宋"/>
                <w:sz w:val="24"/>
                <w:szCs w:val="24"/>
                <w:lang w:val="en-US" w:eastAsia="zh-CN"/>
              </w:rPr>
              <w:t>46</w:t>
            </w:r>
            <w:r>
              <w:rPr>
                <w:rFonts w:hint="eastAsia" w:ascii="仿宋" w:hAnsi="仿宋" w:eastAsia="仿宋" w:cs="仿宋"/>
                <w:sz w:val="24"/>
                <w:szCs w:val="24"/>
              </w:rPr>
              <w:t>分。带</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条款为重要</w:t>
            </w:r>
            <w:r>
              <w:rPr>
                <w:rFonts w:hint="eastAsia" w:ascii="仿宋" w:hAnsi="仿宋" w:eastAsia="仿宋" w:cs="仿宋"/>
                <w:sz w:val="24"/>
                <w:szCs w:val="24"/>
                <w:lang w:eastAsia="zh-CN"/>
              </w:rPr>
              <w:t>技术参数</w:t>
            </w:r>
            <w:r>
              <w:rPr>
                <w:rFonts w:hint="eastAsia" w:ascii="仿宋" w:hAnsi="仿宋" w:eastAsia="仿宋" w:cs="仿宋"/>
                <w:sz w:val="24"/>
                <w:szCs w:val="24"/>
              </w:rPr>
              <w:t>指标</w:t>
            </w:r>
            <w:r>
              <w:rPr>
                <w:rFonts w:hint="eastAsia" w:ascii="仿宋" w:hAnsi="仿宋" w:eastAsia="仿宋" w:cs="仿宋"/>
                <w:sz w:val="24"/>
                <w:szCs w:val="24"/>
                <w:lang w:eastAsia="zh-CN"/>
              </w:rPr>
              <w:t>项</w:t>
            </w:r>
            <w:r>
              <w:rPr>
                <w:rFonts w:hint="eastAsia" w:ascii="仿宋" w:hAnsi="仿宋" w:eastAsia="仿宋" w:cs="仿宋"/>
                <w:sz w:val="24"/>
                <w:szCs w:val="24"/>
                <w:lang w:val="en-US" w:eastAsia="zh-CN"/>
              </w:rPr>
              <w:t>计21分</w:t>
            </w:r>
            <w:r>
              <w:rPr>
                <w:rFonts w:hint="eastAsia" w:ascii="仿宋" w:hAnsi="仿宋" w:eastAsia="仿宋" w:cs="仿宋"/>
                <w:sz w:val="24"/>
                <w:szCs w:val="24"/>
              </w:rPr>
              <w:t>，如带</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条款存在负偏离的，每一条负偏离扣</w:t>
            </w:r>
            <w:r>
              <w:rPr>
                <w:rFonts w:hint="eastAsia" w:ascii="仿宋" w:hAnsi="仿宋" w:eastAsia="仿宋" w:cs="仿宋"/>
                <w:sz w:val="24"/>
                <w:szCs w:val="24"/>
                <w:lang w:val="en-US" w:eastAsia="zh-CN"/>
              </w:rPr>
              <w:t>7</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其他</w:t>
            </w:r>
            <w:r>
              <w:rPr>
                <w:rFonts w:hint="eastAsia" w:ascii="仿宋" w:hAnsi="仿宋" w:eastAsia="仿宋" w:cs="仿宋"/>
                <w:sz w:val="24"/>
                <w:szCs w:val="24"/>
                <w:lang w:val="en-US" w:eastAsia="zh-CN"/>
              </w:rPr>
              <w:t>技术参数项计25分，</w:t>
            </w:r>
            <w:r>
              <w:rPr>
                <w:rFonts w:hint="eastAsia" w:ascii="仿宋" w:hAnsi="仿宋" w:eastAsia="仿宋" w:cs="仿宋"/>
                <w:sz w:val="24"/>
                <w:szCs w:val="24"/>
              </w:rPr>
              <w:t>负偏离</w:t>
            </w:r>
            <w:r>
              <w:rPr>
                <w:rFonts w:hint="eastAsia" w:ascii="仿宋" w:hAnsi="仿宋" w:eastAsia="仿宋" w:cs="仿宋"/>
                <w:sz w:val="24"/>
                <w:szCs w:val="24"/>
                <w:lang w:val="en-US" w:eastAsia="zh-CN"/>
              </w:rPr>
              <w:t>1项</w:t>
            </w:r>
            <w:r>
              <w:rPr>
                <w:rFonts w:hint="eastAsia" w:ascii="仿宋" w:hAnsi="仿宋" w:eastAsia="仿宋" w:cs="仿宋"/>
                <w:sz w:val="24"/>
                <w:szCs w:val="24"/>
              </w:rPr>
              <w:t>扣</w:t>
            </w:r>
            <w:r>
              <w:rPr>
                <w:rFonts w:hint="eastAsia" w:ascii="仿宋" w:hAnsi="仿宋" w:eastAsia="仿宋" w:cs="仿宋"/>
                <w:sz w:val="24"/>
                <w:szCs w:val="24"/>
                <w:lang w:val="en-US" w:eastAsia="zh-CN"/>
              </w:rPr>
              <w:t>1</w:t>
            </w:r>
            <w:r>
              <w:rPr>
                <w:rFonts w:hint="eastAsia" w:ascii="仿宋" w:hAnsi="仿宋" w:eastAsia="仿宋" w:cs="仿宋"/>
                <w:sz w:val="24"/>
                <w:szCs w:val="24"/>
              </w:rPr>
              <w:t>分；负偏离≥</w:t>
            </w:r>
            <w:r>
              <w:rPr>
                <w:rFonts w:hint="eastAsia" w:ascii="仿宋" w:hAnsi="仿宋" w:eastAsia="仿宋" w:cs="仿宋"/>
                <w:sz w:val="24"/>
                <w:szCs w:val="24"/>
                <w:lang w:val="en-US" w:eastAsia="zh-CN"/>
              </w:rPr>
              <w:t>8</w:t>
            </w:r>
            <w:r>
              <w:rPr>
                <w:rFonts w:hint="eastAsia" w:ascii="仿宋" w:hAnsi="仿宋" w:eastAsia="仿宋" w:cs="仿宋"/>
                <w:sz w:val="24"/>
                <w:szCs w:val="24"/>
              </w:rPr>
              <w:t>条的本项不得分。</w:t>
            </w:r>
          </w:p>
          <w:p>
            <w:pPr>
              <w:spacing w:after="0" w:line="300" w:lineRule="auto"/>
              <w:rPr>
                <w:rFonts w:hint="eastAsia" w:ascii="仿宋" w:hAnsi="仿宋" w:eastAsia="仿宋" w:cs="仿宋"/>
                <w:sz w:val="24"/>
                <w:szCs w:val="24"/>
                <w:lang w:val="en-US" w:eastAsia="zh-CN" w:bidi="ar-SA"/>
              </w:rPr>
            </w:pPr>
            <w:r>
              <w:rPr>
                <w:rFonts w:hint="eastAsia" w:ascii="仿宋" w:hAnsi="仿宋" w:eastAsia="仿宋" w:cs="仿宋"/>
                <w:sz w:val="24"/>
                <w:szCs w:val="24"/>
              </w:rPr>
              <w:t>投标人需在“技术</w:t>
            </w:r>
            <w:r>
              <w:rPr>
                <w:rFonts w:hint="eastAsia" w:ascii="仿宋" w:hAnsi="仿宋" w:eastAsia="仿宋" w:cs="仿宋"/>
                <w:sz w:val="24"/>
                <w:szCs w:val="24"/>
                <w:lang w:eastAsia="zh-CN"/>
              </w:rPr>
              <w:t>条款偏离表</w:t>
            </w:r>
            <w:r>
              <w:rPr>
                <w:rFonts w:hint="eastAsia" w:ascii="仿宋" w:hAnsi="仿宋" w:eastAsia="仿宋" w:cs="仿宋"/>
                <w:sz w:val="24"/>
                <w:szCs w:val="24"/>
              </w:rPr>
              <w:t>”中如实详细填列所投产品的技术指标，并按采购文件要求提供相应证明材料并在偏离表中标明所在页码</w:t>
            </w:r>
            <w:r>
              <w:rPr>
                <w:rFonts w:hint="eastAsia" w:ascii="仿宋" w:hAnsi="仿宋" w:eastAsia="仿宋" w:cs="仿宋"/>
                <w:sz w:val="24"/>
                <w:szCs w:val="24"/>
                <w:lang w:eastAsia="zh-CN"/>
              </w:rPr>
              <w:t>。</w:t>
            </w:r>
          </w:p>
        </w:tc>
        <w:tc>
          <w:tcPr>
            <w:tcW w:w="618" w:type="dxa"/>
            <w:vAlign w:val="center"/>
          </w:tcPr>
          <w:p>
            <w:pPr>
              <w:widowControl w:val="0"/>
              <w:adjustRightInd/>
              <w:snapToGrid/>
              <w:spacing w:after="0"/>
              <w:jc w:val="center"/>
              <w:rPr>
                <w:rFonts w:hint="default"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74" w:type="dxa"/>
            <w:vAlign w:val="center"/>
          </w:tcPr>
          <w:p>
            <w:pPr>
              <w:spacing w:before="62" w:beforeLines="20" w:after="4"/>
              <w:jc w:val="center"/>
              <w:rPr>
                <w:rFonts w:hint="eastAsia" w:ascii="仿宋" w:hAnsi="仿宋" w:eastAsia="仿宋" w:cs="仿宋"/>
                <w:bCs/>
                <w:sz w:val="21"/>
                <w:szCs w:val="21"/>
              </w:rPr>
            </w:pPr>
            <w:r>
              <w:rPr>
                <w:rFonts w:hint="eastAsia" w:ascii="仿宋" w:hAnsi="仿宋" w:eastAsia="仿宋" w:cs="仿宋"/>
                <w:bCs/>
                <w:sz w:val="21"/>
                <w:szCs w:val="21"/>
              </w:rPr>
              <w:t>3</w:t>
            </w:r>
          </w:p>
        </w:tc>
        <w:tc>
          <w:tcPr>
            <w:tcW w:w="733" w:type="dxa"/>
            <w:vAlign w:val="center"/>
          </w:tcPr>
          <w:p>
            <w:pPr>
              <w:spacing w:after="0"/>
              <w:jc w:val="center"/>
              <w:rPr>
                <w:rFonts w:hint="eastAsia" w:ascii="仿宋" w:hAnsi="仿宋" w:eastAsia="仿宋" w:cs="仿宋"/>
                <w:bCs/>
                <w:sz w:val="21"/>
                <w:szCs w:val="21"/>
              </w:rPr>
            </w:pPr>
            <w:r>
              <w:rPr>
                <w:rFonts w:hint="eastAsia" w:ascii="仿宋" w:hAnsi="仿宋" w:eastAsia="仿宋" w:cs="仿宋"/>
                <w:sz w:val="24"/>
                <w:szCs w:val="24"/>
              </w:rPr>
              <w:t>业绩</w:t>
            </w:r>
          </w:p>
        </w:tc>
        <w:tc>
          <w:tcPr>
            <w:tcW w:w="7337" w:type="dxa"/>
            <w:vAlign w:val="center"/>
          </w:tcPr>
          <w:p>
            <w:pPr>
              <w:spacing w:after="0" w:line="300" w:lineRule="auto"/>
              <w:rPr>
                <w:rFonts w:hint="eastAsia" w:ascii="仿宋" w:hAnsi="仿宋" w:eastAsia="仿宋" w:cs="仿宋"/>
                <w:bCs/>
                <w:sz w:val="21"/>
                <w:szCs w:val="21"/>
              </w:rPr>
            </w:pPr>
            <w:r>
              <w:rPr>
                <w:rFonts w:hint="eastAsia" w:ascii="仿宋" w:hAnsi="仿宋" w:eastAsia="仿宋" w:cs="仿宋"/>
                <w:sz w:val="24"/>
                <w:szCs w:val="24"/>
              </w:rPr>
              <w:t>提供所投同类产品</w:t>
            </w:r>
            <w:r>
              <w:rPr>
                <w:rFonts w:hint="eastAsia" w:ascii="仿宋" w:hAnsi="仿宋" w:eastAsia="仿宋" w:cs="仿宋"/>
                <w:sz w:val="24"/>
                <w:szCs w:val="24"/>
                <w:lang w:val="en-US" w:eastAsia="zh-CN"/>
              </w:rPr>
              <w:t>自</w:t>
            </w:r>
            <w:r>
              <w:rPr>
                <w:rFonts w:hint="eastAsia" w:ascii="仿宋" w:hAnsi="仿宋" w:eastAsia="仿宋" w:cs="仿宋"/>
                <w:sz w:val="24"/>
                <w:szCs w:val="24"/>
              </w:rPr>
              <w:t>20</w:t>
            </w:r>
            <w:r>
              <w:rPr>
                <w:rFonts w:hint="eastAsia" w:ascii="仿宋" w:hAnsi="仿宋" w:eastAsia="仿宋" w:cs="仿宋"/>
                <w:sz w:val="24"/>
                <w:szCs w:val="24"/>
                <w:lang w:val="en-US" w:eastAsia="zh-CN"/>
              </w:rPr>
              <w:t>18</w:t>
            </w:r>
            <w:r>
              <w:rPr>
                <w:rFonts w:hint="eastAsia" w:ascii="仿宋" w:hAnsi="仿宋" w:eastAsia="仿宋" w:cs="仿宋"/>
                <w:sz w:val="24"/>
                <w:szCs w:val="24"/>
              </w:rPr>
              <w:t>年01月01日以来国内的销售业绩（须提供加盖公章的有效的合同复印件，原件备查），每提供一份得</w:t>
            </w:r>
            <w:r>
              <w:rPr>
                <w:rFonts w:hint="eastAsia" w:ascii="仿宋" w:hAnsi="仿宋" w:eastAsia="仿宋" w:cs="仿宋"/>
                <w:sz w:val="24"/>
                <w:szCs w:val="24"/>
                <w:lang w:val="en-US" w:eastAsia="zh-CN"/>
              </w:rPr>
              <w:t>3</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，未提供或者提供不全不得分。</w:t>
            </w:r>
          </w:p>
        </w:tc>
        <w:tc>
          <w:tcPr>
            <w:tcW w:w="618" w:type="dxa"/>
            <w:vAlign w:val="center"/>
          </w:tcPr>
          <w:p>
            <w:pPr>
              <w:widowControl w:val="0"/>
              <w:adjustRightInd/>
              <w:snapToGrid/>
              <w:spacing w:after="0"/>
              <w:jc w:val="center"/>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4" w:type="dxa"/>
            <w:vAlign w:val="center"/>
          </w:tcPr>
          <w:p>
            <w:pPr>
              <w:spacing w:before="62" w:beforeLines="20" w:after="4"/>
              <w:jc w:val="center"/>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4</w:t>
            </w:r>
          </w:p>
        </w:tc>
        <w:tc>
          <w:tcPr>
            <w:tcW w:w="733"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rPr>
              <w:t>培训方案</w:t>
            </w:r>
          </w:p>
        </w:tc>
        <w:tc>
          <w:tcPr>
            <w:tcW w:w="7337"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rPr>
              <w:t>对买方操作、维护人员的培训方案及计划，需有合理的培训计划，明确给出培训目标、内容、时长，地点等。</w:t>
            </w:r>
          </w:p>
          <w:p>
            <w:pPr>
              <w:spacing w:after="0" w:line="300" w:lineRule="auto"/>
              <w:rPr>
                <w:rFonts w:hint="eastAsia" w:ascii="仿宋" w:hAnsi="仿宋" w:eastAsia="仿宋" w:cs="仿宋"/>
                <w:sz w:val="24"/>
                <w:szCs w:val="24"/>
              </w:rPr>
            </w:pPr>
            <w:r>
              <w:rPr>
                <w:rFonts w:hint="eastAsia" w:ascii="仿宋" w:hAnsi="仿宋" w:eastAsia="仿宋" w:cs="仿宋"/>
                <w:sz w:val="24"/>
                <w:szCs w:val="24"/>
              </w:rPr>
              <w:t>培训计划内容编写充分完善、合理科学的得</w:t>
            </w:r>
            <w:r>
              <w:rPr>
                <w:rFonts w:hint="eastAsia" w:ascii="仿宋" w:hAnsi="仿宋" w:eastAsia="仿宋" w:cs="仿宋"/>
                <w:sz w:val="24"/>
                <w:szCs w:val="24"/>
                <w:lang w:val="en-US" w:eastAsia="zh-CN"/>
              </w:rPr>
              <w:t>5</w:t>
            </w:r>
            <w:r>
              <w:rPr>
                <w:rFonts w:hint="eastAsia" w:ascii="仿宋" w:hAnsi="仿宋" w:eastAsia="仿宋" w:cs="仿宋"/>
                <w:sz w:val="24"/>
                <w:szCs w:val="24"/>
              </w:rPr>
              <w:t>分；培训计划内容编写较完善、较合理科学的得</w:t>
            </w:r>
            <w:r>
              <w:rPr>
                <w:rFonts w:hint="eastAsia" w:ascii="仿宋" w:hAnsi="仿宋" w:eastAsia="仿宋" w:cs="仿宋"/>
                <w:sz w:val="24"/>
                <w:szCs w:val="24"/>
                <w:lang w:val="en-US" w:eastAsia="zh-CN"/>
              </w:rPr>
              <w:t>3</w:t>
            </w:r>
            <w:r>
              <w:rPr>
                <w:rFonts w:hint="eastAsia" w:ascii="仿宋" w:hAnsi="仿宋" w:eastAsia="仿宋" w:cs="仿宋"/>
                <w:sz w:val="24"/>
                <w:szCs w:val="24"/>
              </w:rPr>
              <w:t>分；内容编写有部分未完善，基本合理科学的1分；无培训计划不得分。</w:t>
            </w:r>
          </w:p>
        </w:tc>
        <w:tc>
          <w:tcPr>
            <w:tcW w:w="618" w:type="dxa"/>
            <w:vAlign w:val="center"/>
          </w:tcPr>
          <w:p>
            <w:pPr>
              <w:spacing w:after="0" w:line="30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74" w:type="dxa"/>
            <w:vAlign w:val="center"/>
          </w:tcPr>
          <w:p>
            <w:pPr>
              <w:spacing w:before="62" w:beforeLines="20" w:after="4"/>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5</w:t>
            </w:r>
          </w:p>
        </w:tc>
        <w:tc>
          <w:tcPr>
            <w:tcW w:w="733" w:type="dxa"/>
            <w:vAlign w:val="center"/>
          </w:tcPr>
          <w:p>
            <w:pPr>
              <w:spacing w:after="0"/>
              <w:jc w:val="center"/>
              <w:rPr>
                <w:rFonts w:hint="eastAsia" w:ascii="仿宋" w:hAnsi="仿宋" w:eastAsia="仿宋" w:cs="仿宋"/>
                <w:bCs/>
                <w:sz w:val="21"/>
                <w:szCs w:val="21"/>
              </w:rPr>
            </w:pPr>
            <w:r>
              <w:rPr>
                <w:rFonts w:hint="eastAsia" w:ascii="仿宋" w:hAnsi="仿宋" w:eastAsia="仿宋" w:cs="仿宋"/>
                <w:sz w:val="24"/>
                <w:szCs w:val="24"/>
              </w:rPr>
              <w:t>售后服务方案</w:t>
            </w:r>
          </w:p>
        </w:tc>
        <w:tc>
          <w:tcPr>
            <w:tcW w:w="7337"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rPr>
              <w:t>售后服务方案：服务体系、售后服务内容、故障解决方案、售后应答及处理时间、专业技术人员保障及服务电话、质保期内的售后服务范围、质保期满后的售后服务范围和收费情况、备品备件的承诺。</w:t>
            </w:r>
          </w:p>
          <w:p>
            <w:pPr>
              <w:spacing w:after="0" w:line="300" w:lineRule="auto"/>
              <w:rPr>
                <w:rFonts w:hint="eastAsia" w:ascii="仿宋" w:hAnsi="仿宋" w:eastAsia="仿宋" w:cs="仿宋"/>
                <w:sz w:val="24"/>
                <w:szCs w:val="24"/>
              </w:rPr>
            </w:pPr>
            <w:r>
              <w:rPr>
                <w:rFonts w:hint="eastAsia" w:ascii="仿宋" w:hAnsi="仿宋" w:eastAsia="仿宋" w:cs="仿宋"/>
                <w:sz w:val="24"/>
                <w:szCs w:val="24"/>
              </w:rPr>
              <w:t>方案完整、合理可行，售后应答及时的得10分；</w:t>
            </w:r>
          </w:p>
          <w:p>
            <w:pPr>
              <w:spacing w:after="0" w:line="300" w:lineRule="auto"/>
              <w:rPr>
                <w:rFonts w:hint="eastAsia" w:ascii="仿宋" w:hAnsi="仿宋" w:eastAsia="仿宋" w:cs="仿宋"/>
                <w:sz w:val="24"/>
                <w:szCs w:val="24"/>
              </w:rPr>
            </w:pPr>
            <w:r>
              <w:rPr>
                <w:rFonts w:hint="eastAsia" w:ascii="仿宋" w:hAnsi="仿宋" w:eastAsia="仿宋" w:cs="仿宋"/>
                <w:sz w:val="24"/>
                <w:szCs w:val="24"/>
              </w:rPr>
              <w:t>方案较完整、较合理可行，售后应答较及时的得7分；</w:t>
            </w:r>
          </w:p>
          <w:p>
            <w:pPr>
              <w:spacing w:after="0" w:line="300" w:lineRule="auto"/>
              <w:rPr>
                <w:rFonts w:hint="eastAsia" w:ascii="仿宋" w:hAnsi="仿宋" w:eastAsia="仿宋" w:cs="仿宋"/>
                <w:sz w:val="24"/>
                <w:szCs w:val="24"/>
              </w:rPr>
            </w:pPr>
            <w:r>
              <w:rPr>
                <w:rFonts w:hint="eastAsia" w:ascii="仿宋" w:hAnsi="仿宋" w:eastAsia="仿宋" w:cs="仿宋"/>
                <w:sz w:val="24"/>
                <w:szCs w:val="24"/>
              </w:rPr>
              <w:t>方案基本完整、基本合理可行的得4分；</w:t>
            </w:r>
          </w:p>
          <w:p>
            <w:pPr>
              <w:spacing w:after="0" w:line="300" w:lineRule="auto"/>
              <w:rPr>
                <w:rFonts w:hint="eastAsia" w:ascii="仿宋" w:hAnsi="仿宋" w:eastAsia="仿宋" w:cs="仿宋"/>
                <w:bCs/>
                <w:sz w:val="21"/>
                <w:szCs w:val="21"/>
              </w:rPr>
            </w:pPr>
            <w:r>
              <w:rPr>
                <w:rFonts w:hint="eastAsia" w:ascii="仿宋" w:hAnsi="仿宋" w:eastAsia="仿宋" w:cs="仿宋"/>
                <w:sz w:val="24"/>
                <w:szCs w:val="24"/>
              </w:rPr>
              <w:t>方案较概括、可行性较低的得1分。无售后方案得0分。</w:t>
            </w:r>
          </w:p>
        </w:tc>
        <w:tc>
          <w:tcPr>
            <w:tcW w:w="618" w:type="dxa"/>
            <w:vAlign w:val="center"/>
          </w:tcPr>
          <w:p>
            <w:pPr>
              <w:widowControl w:val="0"/>
              <w:adjustRightInd/>
              <w:snapToGrid/>
              <w:spacing w:after="0"/>
              <w:jc w:val="center"/>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10</w:t>
            </w:r>
            <w:r>
              <w:rPr>
                <w:rFonts w:hint="eastAsia" w:ascii="仿宋" w:hAnsi="仿宋" w:eastAsia="仿宋" w:cs="仿宋"/>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4" w:type="dxa"/>
            <w:vAlign w:val="center"/>
          </w:tcPr>
          <w:p>
            <w:pPr>
              <w:spacing w:before="62" w:beforeLines="20" w:after="4"/>
              <w:jc w:val="center"/>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6</w:t>
            </w:r>
          </w:p>
        </w:tc>
        <w:tc>
          <w:tcPr>
            <w:tcW w:w="733"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lang w:eastAsia="zh-CN"/>
              </w:rPr>
              <w:t>免费</w:t>
            </w:r>
            <w:r>
              <w:rPr>
                <w:rFonts w:hint="eastAsia" w:ascii="仿宋" w:hAnsi="仿宋" w:eastAsia="仿宋" w:cs="仿宋"/>
                <w:sz w:val="24"/>
                <w:szCs w:val="24"/>
              </w:rPr>
              <w:t>质保期</w:t>
            </w:r>
          </w:p>
        </w:tc>
        <w:tc>
          <w:tcPr>
            <w:tcW w:w="7337" w:type="dxa"/>
            <w:vAlign w:val="center"/>
          </w:tcPr>
          <w:p>
            <w:pPr>
              <w:spacing w:after="0" w:line="300" w:lineRule="auto"/>
              <w:rPr>
                <w:rFonts w:hint="eastAsia" w:ascii="仿宋" w:hAnsi="仿宋" w:eastAsia="仿宋" w:cs="仿宋"/>
                <w:sz w:val="24"/>
                <w:szCs w:val="24"/>
              </w:rPr>
            </w:pPr>
            <w:r>
              <w:rPr>
                <w:rFonts w:hint="eastAsia" w:ascii="仿宋" w:hAnsi="仿宋" w:eastAsia="仿宋" w:cs="仿宋"/>
                <w:sz w:val="24"/>
                <w:szCs w:val="24"/>
              </w:rPr>
              <w:t>满足招标文件免费质保期要求（1年）的得1分，在此基础上免费质保每增加1年加1分，本项最高得 3 分。</w:t>
            </w:r>
          </w:p>
        </w:tc>
        <w:tc>
          <w:tcPr>
            <w:tcW w:w="618" w:type="dxa"/>
            <w:vAlign w:val="center"/>
          </w:tcPr>
          <w:p>
            <w:pPr>
              <w:widowControl w:val="0"/>
              <w:adjustRightInd/>
              <w:snapToGrid/>
              <w:spacing w:after="0"/>
              <w:jc w:val="center"/>
              <w:rPr>
                <w:rFonts w:hint="eastAsia" w:ascii="仿宋" w:hAnsi="仿宋" w:eastAsia="仿宋" w:cs="仿宋"/>
                <w:b w:val="0"/>
                <w:bCs/>
                <w:kern w:val="2"/>
                <w:sz w:val="24"/>
                <w:szCs w:val="24"/>
                <w:lang w:val="en-US" w:eastAsia="zh-CN"/>
              </w:rPr>
            </w:pPr>
            <w:r>
              <w:rPr>
                <w:rFonts w:hint="eastAsia" w:ascii="仿宋" w:hAnsi="仿宋" w:eastAsia="仿宋" w:cs="仿宋"/>
                <w:b w:val="0"/>
                <w:bCs/>
                <w:kern w:val="2"/>
                <w:sz w:val="24"/>
                <w:szCs w:val="24"/>
                <w:lang w:val="en-US" w:eastAsia="zh-CN"/>
              </w:rPr>
              <w:t>3</w:t>
            </w:r>
            <w:r>
              <w:rPr>
                <w:rFonts w:hint="eastAsia" w:ascii="仿宋" w:hAnsi="仿宋" w:eastAsia="仿宋" w:cs="仿宋"/>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6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62" w:beforeLines="20" w:after="4"/>
              <w:jc w:val="center"/>
              <w:rPr>
                <w:rFonts w:hint="eastAsia" w:ascii="仿宋" w:hAnsi="仿宋" w:eastAsia="仿宋" w:cs="仿宋"/>
                <w:bCs/>
                <w:sz w:val="21"/>
                <w:szCs w:val="21"/>
              </w:rPr>
            </w:pPr>
            <w:r>
              <w:rPr>
                <w:rFonts w:hint="eastAsia" w:ascii="仿宋" w:hAnsi="仿宋" w:eastAsia="仿宋" w:cs="仿宋"/>
                <w:bCs/>
                <w:sz w:val="24"/>
                <w:szCs w:val="24"/>
              </w:rPr>
              <w:t>合计：100分</w:t>
            </w:r>
          </w:p>
        </w:tc>
      </w:tr>
    </w:tbl>
    <w:p>
      <w:pPr>
        <w:widowControl w:val="0"/>
        <w:adjustRightInd/>
        <w:snapToGrid/>
        <w:spacing w:after="0" w:line="360" w:lineRule="auto"/>
        <w:rPr>
          <w:rFonts w:hint="eastAsia" w:ascii="仿宋" w:hAnsi="仿宋" w:eastAsia="仿宋" w:cs="仿宋"/>
          <w:sz w:val="21"/>
          <w:szCs w:val="21"/>
        </w:rPr>
      </w:pPr>
      <w:bookmarkStart w:id="220" w:name="_Toc5635"/>
      <w:bookmarkStart w:id="221" w:name="_Toc324237157"/>
      <w:bookmarkStart w:id="222" w:name="_Toc8457"/>
      <w:bookmarkStart w:id="223" w:name="_Toc273"/>
    </w:p>
    <w:p>
      <w:pPr>
        <w:widowControl w:val="0"/>
        <w:adjustRightInd/>
        <w:snapToGrid/>
        <w:spacing w:after="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说明：对小微企业的价格评审，按照第二章6.1中小企业政策内容。</w:t>
      </w:r>
    </w:p>
    <w:p>
      <w:pPr>
        <w:spacing w:after="0" w:line="360" w:lineRule="auto"/>
        <w:ind w:left="440" w:leftChars="200"/>
        <w:rPr>
          <w:rFonts w:hint="eastAsia" w:ascii="仿宋" w:hAnsi="仿宋" w:eastAsia="仿宋" w:cs="仿宋"/>
        </w:rPr>
      </w:pPr>
    </w:p>
    <w:p>
      <w:pPr>
        <w:spacing w:after="0" w:line="360" w:lineRule="auto"/>
        <w:rPr>
          <w:rFonts w:hint="eastAsia" w:ascii="仿宋" w:hAnsi="仿宋" w:eastAsia="仿宋" w:cs="仿宋"/>
        </w:rPr>
      </w:pPr>
    </w:p>
    <w:p>
      <w:pPr>
        <w:pStyle w:val="28"/>
        <w:pageBreakBefore/>
        <w:widowControl w:val="0"/>
        <w:spacing w:afterLines="0" w:line="360" w:lineRule="auto"/>
        <w:rPr>
          <w:rFonts w:hint="eastAsia" w:ascii="仿宋" w:hAnsi="仿宋" w:eastAsia="仿宋" w:cs="仿宋"/>
        </w:rPr>
      </w:pPr>
      <w:bookmarkStart w:id="224" w:name="_Toc25695"/>
      <w:bookmarkStart w:id="225" w:name="_Toc22869"/>
      <w:bookmarkStart w:id="226" w:name="_Toc30405"/>
      <w:bookmarkStart w:id="227" w:name="_Toc20566"/>
      <w:r>
        <w:rPr>
          <w:rFonts w:hint="eastAsia" w:ascii="仿宋" w:hAnsi="仿宋" w:eastAsia="仿宋" w:cs="仿宋"/>
        </w:rPr>
        <w:t>第六章  投标文件格式</w:t>
      </w:r>
      <w:bookmarkEnd w:id="220"/>
      <w:bookmarkEnd w:id="224"/>
      <w:bookmarkEnd w:id="225"/>
      <w:bookmarkEnd w:id="226"/>
      <w:bookmarkEnd w:id="227"/>
    </w:p>
    <w:bookmarkEnd w:id="145"/>
    <w:bookmarkEnd w:id="146"/>
    <w:bookmarkEnd w:id="147"/>
    <w:bookmarkEnd w:id="221"/>
    <w:bookmarkEnd w:id="222"/>
    <w:bookmarkEnd w:id="223"/>
    <w:p>
      <w:pPr>
        <w:spacing w:after="0" w:line="360" w:lineRule="auto"/>
        <w:jc w:val="both"/>
        <w:rPr>
          <w:rFonts w:hint="eastAsia" w:ascii="仿宋" w:hAnsi="仿宋" w:eastAsia="仿宋" w:cs="仿宋"/>
          <w:b/>
          <w:bCs/>
          <w:sz w:val="96"/>
          <w:szCs w:val="96"/>
        </w:rPr>
      </w:pPr>
      <w:bookmarkStart w:id="228" w:name="_Toc120614282"/>
      <w:bookmarkStart w:id="229" w:name="_Toc26554094"/>
      <w:bookmarkStart w:id="230" w:name="_Toc49090576"/>
    </w:p>
    <w:p>
      <w:pPr>
        <w:jc w:val="center"/>
        <w:rPr>
          <w:rFonts w:hint="eastAsia" w:ascii="仿宋" w:hAnsi="仿宋" w:eastAsia="仿宋" w:cs="仿宋"/>
          <w:b/>
          <w:bCs/>
          <w:sz w:val="48"/>
          <w:szCs w:val="48"/>
        </w:rPr>
      </w:pPr>
      <w:bookmarkStart w:id="231" w:name="_Toc18719"/>
      <w:r>
        <w:rPr>
          <w:rFonts w:hint="eastAsia" w:ascii="仿宋" w:hAnsi="仿宋" w:eastAsia="仿宋" w:cs="仿宋"/>
          <w:b/>
          <w:bCs/>
          <w:sz w:val="48"/>
          <w:szCs w:val="48"/>
        </w:rPr>
        <w:t>投 标 文 件</w:t>
      </w:r>
      <w:bookmarkEnd w:id="231"/>
    </w:p>
    <w:p>
      <w:pPr>
        <w:jc w:val="center"/>
        <w:rPr>
          <w:rFonts w:hint="eastAsia" w:ascii="仿宋" w:hAnsi="仿宋" w:eastAsia="仿宋" w:cs="仿宋"/>
          <w:b/>
          <w:bCs/>
          <w:sz w:val="48"/>
          <w:szCs w:val="48"/>
        </w:rPr>
      </w:pPr>
      <w:bookmarkStart w:id="232" w:name="_Toc23718"/>
      <w:r>
        <w:rPr>
          <w:rFonts w:hint="eastAsia" w:ascii="仿宋" w:hAnsi="仿宋" w:eastAsia="仿宋" w:cs="仿宋"/>
          <w:b/>
          <w:bCs/>
          <w:sz w:val="48"/>
          <w:szCs w:val="48"/>
        </w:rPr>
        <w:t>（正本/副本）</w:t>
      </w:r>
      <w:bookmarkEnd w:id="232"/>
    </w:p>
    <w:p>
      <w:pPr>
        <w:spacing w:after="0" w:line="360" w:lineRule="auto"/>
        <w:jc w:val="both"/>
        <w:rPr>
          <w:rFonts w:hint="eastAsia" w:ascii="仿宋" w:hAnsi="仿宋" w:eastAsia="仿宋" w:cs="仿宋"/>
          <w:b/>
          <w:bCs/>
          <w:sz w:val="36"/>
          <w:szCs w:val="36"/>
        </w:rPr>
      </w:pPr>
    </w:p>
    <w:p>
      <w:pPr>
        <w:pStyle w:val="30"/>
        <w:rPr>
          <w:rFonts w:hint="eastAsia" w:ascii="仿宋" w:hAnsi="仿宋" w:eastAsia="仿宋" w:cs="仿宋"/>
          <w:b/>
          <w:bCs/>
          <w:sz w:val="36"/>
          <w:szCs w:val="36"/>
        </w:rPr>
      </w:pPr>
    </w:p>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项目名称：</w:t>
      </w:r>
      <w:r>
        <w:rPr>
          <w:rFonts w:hint="eastAsia" w:ascii="仿宋" w:hAnsi="仿宋" w:eastAsia="仿宋" w:cs="仿宋"/>
          <w:b/>
          <w:bCs/>
          <w:sz w:val="30"/>
          <w:szCs w:val="30"/>
          <w:lang w:eastAsia="zh-CN"/>
        </w:rPr>
        <w:t>南京医科大学智能型荧光显微镜采购</w:t>
      </w: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rPr>
        <w:t>项目编号：</w:t>
      </w:r>
      <w:r>
        <w:rPr>
          <w:rFonts w:hint="eastAsia" w:ascii="仿宋" w:hAnsi="仿宋" w:eastAsia="仿宋" w:cs="仿宋"/>
          <w:b/>
          <w:bCs/>
          <w:sz w:val="30"/>
          <w:szCs w:val="30"/>
          <w:lang w:eastAsia="zh-CN"/>
        </w:rPr>
        <w:t>NJDCX-202204131501</w:t>
      </w:r>
    </w:p>
    <w:p>
      <w:pPr>
        <w:jc w:val="cente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投标供应商名称 ：</w:t>
      </w:r>
    </w:p>
    <w:p>
      <w:pPr>
        <w:rPr>
          <w:rFonts w:hint="eastAsia" w:ascii="仿宋" w:hAnsi="仿宋" w:eastAsia="仿宋" w:cs="仿宋"/>
          <w:b/>
          <w:bCs/>
          <w:sz w:val="30"/>
          <w:szCs w:val="30"/>
        </w:rPr>
      </w:pPr>
      <w:r>
        <w:rPr>
          <w:rFonts w:hint="eastAsia" w:ascii="仿宋" w:hAnsi="仿宋" w:eastAsia="仿宋" w:cs="仿宋"/>
          <w:b/>
          <w:bCs/>
          <w:sz w:val="30"/>
          <w:szCs w:val="30"/>
        </w:rPr>
        <w:t>授权代表   ：</w:t>
      </w:r>
    </w:p>
    <w:p>
      <w:pPr>
        <w:rPr>
          <w:rFonts w:hint="eastAsia" w:ascii="仿宋" w:hAnsi="仿宋" w:eastAsia="仿宋" w:cs="仿宋"/>
          <w:b/>
          <w:bCs/>
          <w:sz w:val="30"/>
          <w:szCs w:val="30"/>
        </w:rPr>
      </w:pPr>
      <w:r>
        <w:rPr>
          <w:rFonts w:hint="eastAsia" w:ascii="仿宋" w:hAnsi="仿宋" w:eastAsia="仿宋" w:cs="仿宋"/>
          <w:b/>
          <w:bCs/>
          <w:sz w:val="30"/>
          <w:szCs w:val="30"/>
        </w:rPr>
        <w:t>日期 ：</w:t>
      </w:r>
    </w:p>
    <w:p>
      <w:pPr>
        <w:jc w:val="center"/>
        <w:rPr>
          <w:rFonts w:hint="eastAsia" w:ascii="仿宋" w:hAnsi="仿宋" w:eastAsia="仿宋" w:cs="仿宋"/>
          <w:b/>
          <w:bCs/>
          <w:sz w:val="28"/>
          <w:szCs w:val="28"/>
        </w:rPr>
      </w:pPr>
      <w:r>
        <w:rPr>
          <w:rFonts w:hint="eastAsia" w:ascii="仿宋" w:hAnsi="仿宋" w:eastAsia="仿宋" w:cs="仿宋"/>
          <w:b/>
          <w:bCs/>
          <w:sz w:val="36"/>
          <w:szCs w:val="36"/>
          <w:u w:val="single"/>
        </w:rPr>
        <w:br w:type="page"/>
      </w:r>
      <w:bookmarkStart w:id="233" w:name="_Toc9804"/>
      <w:r>
        <w:rPr>
          <w:rFonts w:hint="eastAsia" w:ascii="仿宋" w:hAnsi="仿宋" w:eastAsia="仿宋" w:cs="仿宋"/>
          <w:b/>
          <w:bCs/>
          <w:sz w:val="28"/>
          <w:szCs w:val="28"/>
          <w:lang w:val="en-US" w:eastAsia="zh-CN"/>
        </w:rPr>
        <w:t>评分索引表</w:t>
      </w:r>
      <w:bookmarkEnd w:id="233"/>
    </w:p>
    <w:tbl>
      <w:tblPr>
        <w:tblStyle w:val="2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91" w:type="dxa"/>
            <w:vAlign w:val="center"/>
          </w:tcPr>
          <w:p>
            <w:pPr>
              <w:pStyle w:val="31"/>
              <w:shd w:val="clear" w:color="auto" w:fill="FFFFFF"/>
              <w:spacing w:after="0" w:line="360" w:lineRule="auto"/>
              <w:ind w:left="420" w:firstLine="442"/>
              <w:jc w:val="center"/>
              <w:rPr>
                <w:rFonts w:hint="eastAsia" w:ascii="仿宋" w:hAnsi="仿宋" w:eastAsia="仿宋" w:cs="仿宋"/>
                <w:b/>
                <w:bCs/>
              </w:rPr>
            </w:pPr>
            <w:r>
              <w:rPr>
                <w:rFonts w:hint="eastAsia" w:ascii="仿宋" w:hAnsi="仿宋" w:eastAsia="仿宋" w:cs="仿宋"/>
                <w:b/>
                <w:bCs/>
              </w:rPr>
              <w:t>评分项目</w:t>
            </w:r>
          </w:p>
        </w:tc>
        <w:tc>
          <w:tcPr>
            <w:tcW w:w="4248" w:type="dxa"/>
            <w:vAlign w:val="center"/>
          </w:tcPr>
          <w:p>
            <w:pPr>
              <w:spacing w:after="0" w:line="360" w:lineRule="auto"/>
              <w:jc w:val="center"/>
              <w:rPr>
                <w:rFonts w:hint="eastAsia" w:ascii="仿宋" w:hAnsi="仿宋" w:eastAsia="仿宋" w:cs="仿宋"/>
                <w:b/>
                <w:bCs/>
              </w:rPr>
            </w:pPr>
            <w:r>
              <w:rPr>
                <w:rFonts w:hint="eastAsia" w:ascii="仿宋" w:hAnsi="仿宋" w:eastAsia="仿宋" w:cs="仿宋"/>
                <w:b/>
                <w:bC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191" w:type="dxa"/>
            <w:vAlign w:val="center"/>
          </w:tcPr>
          <w:p>
            <w:pPr>
              <w:pStyle w:val="31"/>
              <w:shd w:val="clear" w:color="auto" w:fill="FFFFFF"/>
              <w:spacing w:after="0" w:line="360" w:lineRule="auto"/>
              <w:ind w:left="420" w:firstLine="442"/>
              <w:jc w:val="center"/>
              <w:rPr>
                <w:rFonts w:hint="eastAsia" w:ascii="仿宋" w:hAnsi="仿宋" w:eastAsia="仿宋" w:cs="仿宋"/>
                <w:b/>
                <w:bCs/>
              </w:rPr>
            </w:pPr>
          </w:p>
        </w:tc>
        <w:tc>
          <w:tcPr>
            <w:tcW w:w="4248" w:type="dxa"/>
            <w:vAlign w:val="center"/>
          </w:tcPr>
          <w:p>
            <w:pPr>
              <w:spacing w:after="0" w:line="360" w:lineRule="auto"/>
              <w:jc w:val="center"/>
              <w:rPr>
                <w:rFonts w:hint="eastAsia"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439" w:type="dxa"/>
            <w:gridSpan w:val="2"/>
            <w:vAlign w:val="center"/>
          </w:tcPr>
          <w:p>
            <w:pPr>
              <w:pStyle w:val="31"/>
              <w:shd w:val="clear" w:color="auto" w:fill="FFFFFF"/>
              <w:spacing w:after="0" w:line="360" w:lineRule="auto"/>
              <w:ind w:left="420" w:firstLine="44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39" w:type="dxa"/>
            <w:gridSpan w:val="2"/>
            <w:vAlign w:val="center"/>
          </w:tcPr>
          <w:p>
            <w:pPr>
              <w:pStyle w:val="31"/>
              <w:shd w:val="clear" w:color="auto" w:fill="FFFFFF"/>
              <w:spacing w:after="0" w:line="360" w:lineRule="auto"/>
              <w:ind w:left="420" w:firstLine="44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39" w:type="dxa"/>
            <w:gridSpan w:val="2"/>
            <w:vAlign w:val="center"/>
          </w:tcPr>
          <w:p>
            <w:pPr>
              <w:pStyle w:val="31"/>
              <w:shd w:val="clear" w:color="auto" w:fill="FFFFFF"/>
              <w:spacing w:after="0" w:line="360" w:lineRule="auto"/>
              <w:ind w:left="420" w:firstLine="442"/>
              <w:jc w:val="center"/>
              <w:rPr>
                <w:rFonts w:hint="eastAsia"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1" w:type="dxa"/>
            <w:vAlign w:val="center"/>
          </w:tcPr>
          <w:p>
            <w:pPr>
              <w:pStyle w:val="31"/>
              <w:shd w:val="clear" w:color="auto" w:fill="FFFFFF"/>
              <w:spacing w:after="0" w:line="360" w:lineRule="auto"/>
              <w:ind w:left="420" w:firstLine="442"/>
              <w:jc w:val="center"/>
              <w:rPr>
                <w:rFonts w:hint="eastAsia" w:ascii="仿宋" w:hAnsi="仿宋" w:eastAsia="仿宋" w:cs="仿宋"/>
                <w:b/>
                <w:bCs/>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vAlign w:val="center"/>
          </w:tcPr>
          <w:p>
            <w:pPr>
              <w:pStyle w:val="31"/>
              <w:shd w:val="clear" w:color="auto" w:fill="FFFFFF"/>
              <w:spacing w:after="0" w:line="360" w:lineRule="auto"/>
              <w:ind w:left="420"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1" w:type="dxa"/>
            <w:vAlign w:val="center"/>
          </w:tcPr>
          <w:p>
            <w:pPr>
              <w:pStyle w:val="31"/>
              <w:shd w:val="clear" w:color="auto" w:fill="FFFFFF"/>
              <w:spacing w:after="0" w:line="360" w:lineRule="auto"/>
              <w:ind w:left="420" w:firstLine="442"/>
              <w:jc w:val="center"/>
              <w:rPr>
                <w:rFonts w:hint="eastAsia" w:ascii="仿宋" w:hAnsi="仿宋" w:eastAsia="仿宋" w:cs="仿宋"/>
                <w:b/>
                <w:bCs/>
              </w:rPr>
            </w:pPr>
          </w:p>
        </w:tc>
        <w:tc>
          <w:tcPr>
            <w:tcW w:w="4248" w:type="dxa"/>
            <w:vAlign w:val="center"/>
          </w:tcPr>
          <w:p>
            <w:pPr>
              <w:spacing w:after="0"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191" w:type="dxa"/>
            <w:vAlign w:val="center"/>
          </w:tcPr>
          <w:p>
            <w:pPr>
              <w:pStyle w:val="31"/>
              <w:shd w:val="clear" w:color="auto" w:fill="FFFFFF"/>
              <w:spacing w:after="0" w:line="360" w:lineRule="auto"/>
              <w:ind w:firstLine="440"/>
              <w:jc w:val="center"/>
              <w:rPr>
                <w:rFonts w:hint="eastAsia" w:ascii="仿宋" w:hAnsi="仿宋" w:eastAsia="仿宋" w:cs="仿宋"/>
              </w:rPr>
            </w:pPr>
          </w:p>
        </w:tc>
        <w:tc>
          <w:tcPr>
            <w:tcW w:w="4248" w:type="dxa"/>
            <w:vAlign w:val="center"/>
          </w:tcPr>
          <w:p>
            <w:pPr>
              <w:spacing w:after="0" w:line="360" w:lineRule="auto"/>
              <w:jc w:val="center"/>
              <w:rPr>
                <w:rFonts w:hint="eastAsia" w:ascii="仿宋" w:hAnsi="仿宋" w:eastAsia="仿宋" w:cs="仿宋"/>
              </w:rPr>
            </w:pPr>
          </w:p>
        </w:tc>
      </w:tr>
    </w:tbl>
    <w:p>
      <w:pPr>
        <w:spacing w:after="0" w:line="360" w:lineRule="auto"/>
        <w:rPr>
          <w:rFonts w:hint="eastAsia" w:ascii="仿宋" w:hAnsi="仿宋" w:eastAsia="仿宋" w:cs="仿宋"/>
        </w:rPr>
      </w:pPr>
    </w:p>
    <w:p>
      <w:pPr>
        <w:spacing w:after="0" w:line="360" w:lineRule="auto"/>
        <w:ind w:firstLine="723"/>
        <w:jc w:val="cente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b/>
          <w:bCs/>
          <w:sz w:val="28"/>
          <w:szCs w:val="28"/>
        </w:rPr>
      </w:pPr>
      <w:bookmarkStart w:id="234" w:name="_Toc25279"/>
      <w:r>
        <w:rPr>
          <w:rFonts w:hint="eastAsia" w:ascii="仿宋" w:hAnsi="仿宋" w:eastAsia="仿宋" w:cs="仿宋"/>
          <w:b/>
          <w:bCs/>
          <w:sz w:val="28"/>
          <w:szCs w:val="28"/>
        </w:rPr>
        <w:t>资格性和符合性检查响应对照表</w:t>
      </w:r>
      <w:bookmarkEnd w:id="234"/>
    </w:p>
    <w:tbl>
      <w:tblPr>
        <w:tblStyle w:val="21"/>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011"/>
        <w:gridCol w:w="156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011"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资格和符合性检查响应内容</w:t>
            </w:r>
          </w:p>
        </w:tc>
        <w:tc>
          <w:tcPr>
            <w:tcW w:w="156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是否响应</w:t>
            </w:r>
          </w:p>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（填是或否）</w:t>
            </w:r>
          </w:p>
        </w:tc>
        <w:tc>
          <w:tcPr>
            <w:tcW w:w="1450"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具有独立承担民事责任的能力（提供法人或者其他组织的营业执照复印件并加盖公章，或者自然人的身份证明）；</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2、具有良好的商业信誉和健全的财务会计制度（提供2021年度财务报表或2020</w:t>
            </w:r>
            <w:r>
              <w:rPr>
                <w:rFonts w:hint="eastAsia" w:ascii="仿宋" w:hAnsi="仿宋" w:eastAsia="仿宋" w:cs="仿宋"/>
                <w:b/>
                <w:bCs/>
                <w:i/>
                <w:iCs/>
                <w:kern w:val="2"/>
                <w:sz w:val="24"/>
                <w:szCs w:val="24"/>
                <w:u w:val="single"/>
                <w:lang w:val="en-US" w:eastAsia="zh-CN"/>
              </w:rPr>
              <w:t>/</w:t>
            </w:r>
            <w:r>
              <w:rPr>
                <w:rFonts w:hint="eastAsia" w:ascii="仿宋" w:hAnsi="仿宋" w:eastAsia="仿宋" w:cs="仿宋"/>
                <w:b/>
                <w:bCs/>
                <w:i/>
                <w:iCs/>
                <w:kern w:val="2"/>
                <w:sz w:val="24"/>
                <w:szCs w:val="24"/>
                <w:u w:val="single"/>
              </w:rPr>
              <w:t>2021年度经审计的财务报告或银行出具的企业资信证明，法人或者其他组织成立未满一年的可提供近半年内任一月的资产负债和利润表）；</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具有履行合同所必需的设备和专业技术能力（根据项目需求提供履行合同所必需的设备和专业技术能力的证明材料或声明函）；</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有依法缴纳税收和社会保障资金的良好记录（提供参加本次采购活动前近六个月内任一月份依法缴纳税收及社会保险的凭据。依法免缴、迟缴的应提供相应文件证明）；</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参加本次采购活动前3年内在经营活动中没有重大违法记录（提供参加本次采购活动前3年内在经营活动中没有重大违法记录的书面声明）；</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投标函、法人授权委托书</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在投标截止日前未被“信用中国”网站(www.creditchina.gov.cn)或中国政府采购网(www.ccgp.gov.cn) 列入失信被执行人、重大税收违法案件当事人、政府采购严重违法失信行为记录名单的供应商。</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6011" w:type="dxa"/>
            <w:vAlign w:val="center"/>
          </w:tcPr>
          <w:p>
            <w:pPr>
              <w:widowControl w:val="0"/>
              <w:adjustRightInd/>
              <w:snapToGrid/>
              <w:spacing w:after="0" w:line="0" w:lineRule="atLeast"/>
              <w:jc w:val="both"/>
              <w:rPr>
                <w:rFonts w:hint="eastAsia" w:ascii="仿宋" w:hAnsi="仿宋" w:eastAsia="仿宋" w:cs="仿宋"/>
                <w:b/>
                <w:bCs/>
                <w:i/>
                <w:iCs/>
                <w:kern w:val="2"/>
                <w:sz w:val="24"/>
                <w:szCs w:val="24"/>
                <w:u w:val="single"/>
              </w:rPr>
            </w:pPr>
            <w:r>
              <w:rPr>
                <w:rFonts w:hint="eastAsia" w:ascii="仿宋" w:hAnsi="仿宋" w:eastAsia="仿宋" w:cs="仿宋"/>
                <w:b/>
                <w:bCs/>
                <w:i/>
                <w:iCs/>
                <w:kern w:val="2"/>
                <w:sz w:val="24"/>
                <w:szCs w:val="24"/>
                <w:u w:val="single"/>
              </w:rPr>
              <w:t>其他资格要求：投标人如为代理商且所投产品为进口产品的，需提供原厂授权证明文件,并明确承担一切售前、售后责任。</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53" w:type="dxa"/>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6011" w:type="dxa"/>
            <w:vAlign w:val="center"/>
          </w:tcPr>
          <w:p>
            <w:pPr>
              <w:spacing w:after="0" w:line="360" w:lineRule="auto"/>
              <w:ind w:firstLine="480" w:firstLineChars="200"/>
              <w:rPr>
                <w:rFonts w:hint="eastAsia" w:ascii="仿宋" w:hAnsi="仿宋" w:eastAsia="仿宋" w:cs="仿宋"/>
                <w:b/>
                <w:i/>
                <w:color w:val="000000"/>
                <w:sz w:val="24"/>
                <w:szCs w:val="24"/>
                <w:u w:val="single"/>
              </w:rPr>
            </w:pPr>
            <w:r>
              <w:rPr>
                <w:rFonts w:hint="eastAsia" w:ascii="仿宋" w:hAnsi="仿宋" w:eastAsia="仿宋" w:cs="仿宋"/>
                <w:color w:val="000000"/>
                <w:sz w:val="24"/>
                <w:szCs w:val="24"/>
              </w:rPr>
              <w:t>……………</w:t>
            </w:r>
          </w:p>
        </w:tc>
        <w:tc>
          <w:tcPr>
            <w:tcW w:w="1563" w:type="dxa"/>
            <w:vAlign w:val="center"/>
          </w:tcPr>
          <w:p>
            <w:pPr>
              <w:spacing w:after="0" w:line="360" w:lineRule="auto"/>
              <w:rPr>
                <w:rFonts w:hint="eastAsia" w:ascii="仿宋" w:hAnsi="仿宋" w:eastAsia="仿宋" w:cs="仿宋"/>
                <w:color w:val="000000"/>
                <w:sz w:val="24"/>
                <w:szCs w:val="24"/>
              </w:rPr>
            </w:pPr>
          </w:p>
        </w:tc>
        <w:tc>
          <w:tcPr>
            <w:tcW w:w="1450" w:type="dxa"/>
            <w:vAlign w:val="center"/>
          </w:tcPr>
          <w:p>
            <w:pPr>
              <w:spacing w:after="0" w:line="360" w:lineRule="auto"/>
              <w:rPr>
                <w:rFonts w:hint="eastAsia" w:ascii="仿宋" w:hAnsi="仿宋" w:eastAsia="仿宋" w:cs="仿宋"/>
                <w:color w:val="000000"/>
                <w:sz w:val="24"/>
                <w:szCs w:val="24"/>
              </w:rPr>
            </w:pPr>
          </w:p>
        </w:tc>
      </w:tr>
    </w:tbl>
    <w:p>
      <w:pPr>
        <w:spacing w:after="0"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说明：上述所列资格证明文件为必须提供内容，未提供或未提供有效材料的，将不能通过符合性审查。</w:t>
      </w:r>
      <w:bookmarkStart w:id="235" w:name="_Toc449017027"/>
    </w:p>
    <w:p>
      <w:pPr>
        <w:rPr>
          <w:rFonts w:hint="eastAsia" w:ascii="仿宋" w:hAnsi="仿宋" w:eastAsia="仿宋" w:cs="仿宋"/>
          <w:b/>
          <w:bCs/>
          <w:color w:val="000000"/>
          <w:sz w:val="24"/>
        </w:rPr>
      </w:pPr>
      <w:r>
        <w:rPr>
          <w:rFonts w:hint="eastAsia" w:ascii="仿宋" w:hAnsi="仿宋" w:eastAsia="仿宋" w:cs="仿宋"/>
          <w:b/>
          <w:bCs/>
          <w:color w:val="000000"/>
          <w:sz w:val="24"/>
        </w:rPr>
        <w:br w:type="page"/>
      </w:r>
    </w:p>
    <w:p>
      <w:pPr>
        <w:jc w:val="center"/>
        <w:rPr>
          <w:rFonts w:hint="eastAsia" w:ascii="仿宋" w:hAnsi="仿宋" w:eastAsia="仿宋" w:cs="仿宋"/>
          <w:b/>
          <w:bCs/>
          <w:sz w:val="28"/>
          <w:szCs w:val="28"/>
        </w:rPr>
      </w:pPr>
      <w:bookmarkStart w:id="236" w:name="_Toc31487"/>
      <w:r>
        <w:rPr>
          <w:rFonts w:hint="eastAsia" w:ascii="仿宋" w:hAnsi="仿宋" w:eastAsia="仿宋" w:cs="仿宋"/>
          <w:b/>
          <w:bCs/>
          <w:sz w:val="28"/>
          <w:szCs w:val="28"/>
        </w:rPr>
        <w:t>投标主要文件目录</w:t>
      </w:r>
      <w:bookmarkEnd w:id="236"/>
    </w:p>
    <w:p>
      <w:pPr>
        <w:pStyle w:val="32"/>
        <w:rPr>
          <w:rFonts w:hint="eastAsia" w:ascii="仿宋" w:hAnsi="仿宋" w:eastAsia="仿宋" w:cs="仿宋"/>
          <w:b/>
          <w:bCs/>
          <w:color w:val="000000"/>
          <w:sz w:val="24"/>
        </w:rPr>
      </w:pPr>
      <w:r>
        <w:rPr>
          <w:rFonts w:hint="eastAsia" w:ascii="仿宋" w:hAnsi="仿宋" w:eastAsia="仿宋" w:cs="仿宋"/>
          <w:sz w:val="28"/>
          <w:szCs w:val="28"/>
        </w:rPr>
        <w:t>请投标单位编制目录及页码，否则可能将影响对投标文件的评价。</w:t>
      </w:r>
    </w:p>
    <w:bookmarkEnd w:id="148"/>
    <w:bookmarkEnd w:id="149"/>
    <w:bookmarkEnd w:id="228"/>
    <w:bookmarkEnd w:id="229"/>
    <w:bookmarkEnd w:id="230"/>
    <w:bookmarkEnd w:id="235"/>
    <w:p>
      <w:pPr>
        <w:pStyle w:val="29"/>
        <w:keepNext w:val="0"/>
        <w:keepLines w:val="0"/>
        <w:pageBreakBefore/>
        <w:widowControl/>
        <w:numPr>
          <w:ilvl w:val="0"/>
          <w:numId w:val="0"/>
        </w:numPr>
        <w:kinsoku/>
        <w:wordWrap/>
        <w:overflowPunct/>
        <w:topLinePunct w:val="0"/>
        <w:autoSpaceDE/>
        <w:autoSpaceDN/>
        <w:bidi w:val="0"/>
        <w:adjustRightInd/>
        <w:snapToGrid/>
        <w:spacing w:after="0" w:line="360" w:lineRule="auto"/>
        <w:jc w:val="center"/>
        <w:textAlignment w:val="auto"/>
        <w:outlineLvl w:val="0"/>
        <w:rPr>
          <w:rFonts w:hint="eastAsia" w:ascii="仿宋" w:hAnsi="仿宋" w:eastAsia="仿宋" w:cs="仿宋"/>
          <w:sz w:val="36"/>
          <w:szCs w:val="36"/>
        </w:rPr>
      </w:pPr>
      <w:bookmarkStart w:id="237" w:name="_Toc9038"/>
      <w:bookmarkStart w:id="238" w:name="_Toc13734"/>
      <w:bookmarkStart w:id="239" w:name="_Toc22598"/>
      <w:bookmarkStart w:id="240" w:name="_Toc5959"/>
      <w:bookmarkStart w:id="241" w:name="_Toc12018"/>
      <w:bookmarkStart w:id="242" w:name="_Toc25957"/>
      <w:bookmarkStart w:id="243" w:name="_Toc414"/>
      <w:r>
        <w:rPr>
          <w:rFonts w:hint="eastAsia" w:ascii="仿宋" w:hAnsi="仿宋" w:eastAsia="仿宋" w:cs="仿宋"/>
          <w:sz w:val="36"/>
          <w:szCs w:val="36"/>
        </w:rPr>
        <w:t>一、投标函</w:t>
      </w:r>
      <w:bookmarkEnd w:id="237"/>
      <w:bookmarkEnd w:id="238"/>
      <w:bookmarkEnd w:id="239"/>
      <w:bookmarkEnd w:id="240"/>
      <w:bookmarkEnd w:id="241"/>
      <w:bookmarkEnd w:id="242"/>
      <w:bookmarkEnd w:id="243"/>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sz w:val="24"/>
          <w:szCs w:val="24"/>
        </w:rPr>
      </w:pPr>
      <w:r>
        <w:rPr>
          <w:rFonts w:hint="eastAsia" w:ascii="仿宋" w:hAnsi="仿宋" w:eastAsia="仿宋" w:cs="仿宋"/>
          <w:color w:val="000000"/>
          <w:sz w:val="24"/>
          <w:szCs w:val="24"/>
        </w:rPr>
        <w:t>南京达琛鑫工程咨询有限公司</w:t>
      </w:r>
      <w:r>
        <w:rPr>
          <w:rFonts w:hint="eastAsia" w:ascii="仿宋" w:hAnsi="仿宋" w:eastAsia="仿宋" w:cs="仿宋"/>
          <w:sz w:val="24"/>
          <w:szCs w:val="24"/>
        </w:rPr>
        <w:t>：</w:t>
      </w:r>
    </w:p>
    <w:p>
      <w:pPr>
        <w:spacing w:after="0"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南京医科大学智能型荧光显微镜采购</w:t>
      </w:r>
      <w:r>
        <w:rPr>
          <w:rFonts w:hint="eastAsia" w:ascii="仿宋" w:hAnsi="仿宋" w:eastAsia="仿宋" w:cs="仿宋"/>
          <w:sz w:val="24"/>
          <w:szCs w:val="24"/>
        </w:rPr>
        <w:t>（采购编号为：</w:t>
      </w:r>
      <w:r>
        <w:rPr>
          <w:rFonts w:hint="eastAsia" w:ascii="仿宋" w:hAnsi="仿宋" w:eastAsia="仿宋" w:cs="仿宋"/>
          <w:sz w:val="24"/>
          <w:szCs w:val="24"/>
          <w:lang w:eastAsia="zh-CN"/>
        </w:rPr>
        <w:t>NJDCX-202204131501</w:t>
      </w:r>
      <w:r>
        <w:rPr>
          <w:rFonts w:hint="eastAsia" w:ascii="仿宋" w:hAnsi="仿宋" w:eastAsia="仿宋" w:cs="仿宋"/>
          <w:sz w:val="24"/>
          <w:szCs w:val="24"/>
        </w:rPr>
        <w:t>）招标文件（包括更正公告，如果有的话）收悉，我们经详细审阅和研究，现决定参加投标。</w:t>
      </w:r>
    </w:p>
    <w:p>
      <w:pPr>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1、我们郑重承诺：我们是符合《政府采购法》第22条规定的供应商，并严格遵守《政府采购法》第77条的规定，本投标文件中提供的所有材料均是真实有效的。</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2、我们接受招标文件的所有的条款和规定。</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我们同意按照本招标文件第二章“投标供应商须知”的规定，本投标文件的有效期为投标文件接收截止时间起九十天，在此期间，本投标文件将始终对我们具有约束力，并可随时被接受。如果我们中标，本投标文件在此期间之后将继续保持有效。</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4、我们同意提供招标代理机构要求的有关本次采购的所有资料。</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5、我们理解，你们无义务必须接受投标报价最低的投标，并有权拒绝所有的投标。同时也理解你们不承担我们本次投标的费用。</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6、如果我们中标，为执行合同，我们将按投标供应商须知有关要求提供必要的履约保证。</w:t>
      </w: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投标供应商名称：（公章）</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地址：                          邮编：</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电话：                          传真：          </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法定代表人（授权代表）（签字或盖章）：                   </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职务：                  </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日期：                  </w:t>
      </w:r>
      <w:bookmarkStart w:id="244" w:name="_Toc27417"/>
      <w:bookmarkStart w:id="245" w:name="_Toc2237"/>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pStyle w:val="29"/>
        <w:numPr>
          <w:ilvl w:val="0"/>
          <w:numId w:val="0"/>
        </w:numPr>
        <w:spacing w:before="312" w:beforeLines="100" w:after="312" w:afterLines="100" w:line="360" w:lineRule="auto"/>
        <w:jc w:val="center"/>
        <w:outlineLvl w:val="0"/>
        <w:rPr>
          <w:rFonts w:hint="eastAsia" w:ascii="仿宋" w:hAnsi="仿宋" w:eastAsia="仿宋" w:cs="仿宋"/>
          <w:sz w:val="36"/>
          <w:szCs w:val="36"/>
        </w:rPr>
      </w:pPr>
      <w:bookmarkStart w:id="246" w:name="_Toc13206"/>
      <w:bookmarkStart w:id="247" w:name="_Toc24005"/>
      <w:bookmarkStart w:id="248" w:name="_Toc6155"/>
      <w:bookmarkStart w:id="249" w:name="_Toc11669"/>
      <w:bookmarkStart w:id="250" w:name="_Toc30842"/>
      <w:r>
        <w:rPr>
          <w:rFonts w:hint="eastAsia" w:ascii="仿宋" w:hAnsi="仿宋" w:eastAsia="仿宋" w:cs="仿宋"/>
          <w:sz w:val="36"/>
          <w:szCs w:val="36"/>
        </w:rPr>
        <w:t>二、</w:t>
      </w:r>
      <w:bookmarkEnd w:id="244"/>
      <w:bookmarkEnd w:id="245"/>
      <w:bookmarkEnd w:id="246"/>
      <w:bookmarkEnd w:id="247"/>
      <w:r>
        <w:rPr>
          <w:rFonts w:hint="eastAsia" w:ascii="仿宋" w:hAnsi="仿宋" w:eastAsia="仿宋" w:cs="仿宋"/>
          <w:sz w:val="36"/>
          <w:szCs w:val="36"/>
        </w:rPr>
        <w:t>报价一览表</w:t>
      </w:r>
      <w:bookmarkEnd w:id="248"/>
      <w:bookmarkEnd w:id="249"/>
      <w:bookmarkEnd w:id="250"/>
    </w:p>
    <w:p>
      <w:pPr>
        <w:pStyle w:val="33"/>
        <w:spacing w:after="0" w:line="360" w:lineRule="auto"/>
        <w:rPr>
          <w:rFonts w:hint="eastAsia" w:ascii="仿宋" w:hAnsi="仿宋" w:eastAsia="仿宋" w:cs="仿宋"/>
          <w:color w:val="000000"/>
        </w:rPr>
      </w:pPr>
      <w:r>
        <w:rPr>
          <w:rFonts w:hint="eastAsia" w:ascii="仿宋" w:hAnsi="仿宋" w:eastAsia="仿宋" w:cs="仿宋"/>
          <w:color w:val="000000"/>
        </w:rPr>
        <w:t>窗体顶端</w:t>
      </w:r>
    </w:p>
    <w:tbl>
      <w:tblPr>
        <w:tblStyle w:val="21"/>
        <w:tblpPr w:leftFromText="45" w:rightFromText="45" w:vertAnchor="text" w:tblpXSpec="center"/>
        <w:tblW w:w="9723" w:type="dxa"/>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334"/>
        <w:gridCol w:w="638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38" w:hRule="atLeast"/>
          <w:tblCellSpacing w:w="0" w:type="dxa"/>
          <w:jc w:val="center"/>
        </w:trPr>
        <w:tc>
          <w:tcPr>
            <w:tcW w:w="3334" w:type="dxa"/>
            <w:tcBorders>
              <w:top w:val="single" w:color="auto" w:sz="4" w:space="0"/>
              <w:left w:val="single" w:color="000000" w:sz="6" w:space="0"/>
              <w:bottom w:val="single" w:color="auto" w:sz="4" w:space="0"/>
              <w:right w:val="single" w:color="auto" w:sz="4" w:space="0"/>
            </w:tcBorders>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kern w:val="2"/>
                <w:sz w:val="24"/>
                <w:szCs w:val="24"/>
              </w:rPr>
              <w:t>项目名称</w:t>
            </w:r>
          </w:p>
        </w:tc>
        <w:tc>
          <w:tcPr>
            <w:tcW w:w="638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仿宋" w:hAnsi="仿宋" w:eastAsia="仿宋" w:cs="仿宋"/>
                <w:b/>
                <w:bCs/>
                <w:color w:val="000000"/>
                <w:sz w:val="24"/>
                <w:szCs w:val="24"/>
                <w:lang w:eastAsia="zh-CN"/>
              </w:rPr>
            </w:pPr>
            <w:r>
              <w:rPr>
                <w:rFonts w:hint="eastAsia" w:ascii="仿宋" w:hAnsi="仿宋" w:eastAsia="仿宋" w:cs="仿宋"/>
                <w:b/>
                <w:bCs/>
                <w:kern w:val="2"/>
                <w:sz w:val="24"/>
                <w:szCs w:val="24"/>
                <w:lang w:eastAsia="zh-CN"/>
              </w:rPr>
              <w:t xml:space="preserve">南京医科大学智能型荧光显微镜采购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66" w:hRule="atLeast"/>
          <w:tblCellSpacing w:w="0" w:type="dxa"/>
          <w:jc w:val="center"/>
        </w:trPr>
        <w:tc>
          <w:tcPr>
            <w:tcW w:w="33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项目编号</w:t>
            </w:r>
          </w:p>
        </w:tc>
        <w:tc>
          <w:tcPr>
            <w:tcW w:w="638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仿宋" w:hAnsi="仿宋" w:eastAsia="仿宋" w:cs="仿宋"/>
                <w:b w:val="0"/>
                <w:bCs w:val="0"/>
                <w:kern w:val="2"/>
                <w:sz w:val="24"/>
                <w:szCs w:val="24"/>
                <w:lang w:eastAsia="zh-CN"/>
              </w:rPr>
            </w:pPr>
            <w:r>
              <w:rPr>
                <w:rFonts w:hint="eastAsia" w:ascii="仿宋" w:hAnsi="仿宋" w:eastAsia="仿宋" w:cs="仿宋"/>
                <w:b w:val="0"/>
                <w:bCs w:val="0"/>
                <w:kern w:val="2"/>
                <w:sz w:val="24"/>
                <w:szCs w:val="24"/>
                <w:lang w:eastAsia="zh-CN"/>
              </w:rPr>
              <w:t>NJDCX-202204131501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90" w:hRule="atLeast"/>
          <w:tblCellSpacing w:w="0" w:type="dxa"/>
          <w:jc w:val="center"/>
        </w:trPr>
        <w:tc>
          <w:tcPr>
            <w:tcW w:w="33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b w:val="0"/>
                <w:bCs w:val="0"/>
                <w:kern w:val="2"/>
                <w:sz w:val="24"/>
                <w:szCs w:val="24"/>
              </w:rPr>
              <w:t>投标报价</w:t>
            </w:r>
          </w:p>
        </w:tc>
        <w:tc>
          <w:tcPr>
            <w:tcW w:w="638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仿宋" w:hAnsi="仿宋" w:eastAsia="仿宋" w:cs="仿宋"/>
                <w:color w:val="000000"/>
                <w:sz w:val="24"/>
                <w:szCs w:val="24"/>
              </w:rPr>
            </w:pPr>
          </w:p>
          <w:p>
            <w:pPr>
              <w:pStyle w:val="19"/>
              <w:spacing w:before="0" w:beforeAutospacing="0" w:after="0" w:afterAutospacing="0" w:line="24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rPr>
              <w:t>元整</w:t>
            </w:r>
          </w:p>
          <w:p>
            <w:pPr>
              <w:pStyle w:val="19"/>
              <w:spacing w:before="0" w:beforeAutospacing="0" w:after="0" w:afterAutospacing="0" w:line="240" w:lineRule="auto"/>
              <w:ind w:firstLine="1440" w:firstLineChars="600"/>
              <w:rPr>
                <w:rFonts w:hint="eastAsia" w:ascii="仿宋" w:hAnsi="仿宋" w:eastAsia="仿宋" w:cs="仿宋"/>
              </w:rPr>
            </w:pPr>
            <w:r>
              <w:rPr>
                <w:rFonts w:hint="eastAsia" w:ascii="仿宋" w:hAnsi="仿宋" w:eastAsia="仿宋" w:cs="仿宋"/>
              </w:rPr>
              <w:t>人民币 (大写)</w:t>
            </w:r>
            <w:r>
              <w:rPr>
                <w:rFonts w:hint="eastAsia" w:ascii="仿宋" w:hAnsi="仿宋" w:eastAsia="仿宋" w:cs="仿宋"/>
                <w:u w:val="single"/>
              </w:rPr>
              <w:t xml:space="preserve">         </w:t>
            </w:r>
          </w:p>
          <w:p>
            <w:pPr>
              <w:spacing w:after="0" w:line="240" w:lineRule="auto"/>
              <w:rPr>
                <w:rFonts w:hint="eastAsia" w:ascii="仿宋" w:hAnsi="仿宋" w:eastAsia="仿宋" w:cs="仿宋"/>
                <w:color w:val="00000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90" w:hRule="atLeast"/>
          <w:tblCellSpacing w:w="0" w:type="dxa"/>
          <w:jc w:val="center"/>
        </w:trPr>
        <w:tc>
          <w:tcPr>
            <w:tcW w:w="33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交货期限</w:t>
            </w:r>
          </w:p>
        </w:tc>
        <w:tc>
          <w:tcPr>
            <w:tcW w:w="6389" w:type="dxa"/>
            <w:tcBorders>
              <w:top w:val="single" w:color="auto" w:sz="4" w:space="0"/>
              <w:left w:val="single" w:color="auto" w:sz="4" w:space="0"/>
              <w:bottom w:val="single" w:color="auto" w:sz="4" w:space="0"/>
              <w:right w:val="single" w:color="auto" w:sz="4" w:space="0"/>
            </w:tcBorders>
            <w:vAlign w:val="center"/>
          </w:tcPr>
          <w:p>
            <w:pPr>
              <w:pStyle w:val="19"/>
              <w:spacing w:before="0" w:beforeAutospacing="0" w:after="0" w:afterAutospacing="0" w:line="360" w:lineRule="auto"/>
              <w:ind w:firstLine="1680" w:firstLineChars="700"/>
              <w:jc w:val="both"/>
              <w:rPr>
                <w:rFonts w:hint="eastAsia" w:ascii="仿宋" w:hAnsi="仿宋" w:eastAsia="仿宋" w:cs="仿宋"/>
                <w:color w:val="000000"/>
              </w:rPr>
            </w:pPr>
            <w:r>
              <w:rPr>
                <w:rFonts w:hint="eastAsia" w:ascii="仿宋" w:hAnsi="仿宋" w:eastAsia="仿宋" w:cs="仿宋"/>
                <w:u w:val="single"/>
              </w:rPr>
              <w:t xml:space="preserve">       日历天</w:t>
            </w:r>
          </w:p>
        </w:tc>
      </w:tr>
    </w:tbl>
    <w:p>
      <w:pPr>
        <w:pStyle w:val="19"/>
        <w:spacing w:before="0" w:beforeAutospacing="0" w:after="0" w:afterAutospacing="0" w:line="360" w:lineRule="auto"/>
        <w:rPr>
          <w:rFonts w:hint="eastAsia" w:ascii="仿宋" w:hAnsi="仿宋" w:eastAsia="仿宋" w:cs="仿宋"/>
          <w:color w:val="000000"/>
        </w:rPr>
      </w:pPr>
    </w:p>
    <w:p>
      <w:pPr>
        <w:pStyle w:val="19"/>
        <w:spacing w:before="0"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投标供应商全称（公章）：  </w:t>
      </w:r>
    </w:p>
    <w:p>
      <w:pPr>
        <w:pStyle w:val="19"/>
        <w:spacing w:before="0" w:beforeAutospacing="0" w:after="0" w:afterAutospacing="0" w:line="360" w:lineRule="auto"/>
        <w:rPr>
          <w:rFonts w:hint="eastAsia" w:ascii="仿宋" w:hAnsi="仿宋" w:eastAsia="仿宋" w:cs="仿宋"/>
          <w:color w:val="000000"/>
          <w:u w:val="single"/>
        </w:rPr>
      </w:pPr>
      <w:r>
        <w:rPr>
          <w:rFonts w:hint="eastAsia" w:ascii="仿宋" w:hAnsi="仿宋" w:eastAsia="仿宋" w:cs="仿宋"/>
          <w:color w:val="000000"/>
        </w:rPr>
        <w:t xml:space="preserve">法定代表人（授权代表）（签字或盖章）： </w:t>
      </w:r>
      <w:r>
        <w:rPr>
          <w:rFonts w:hint="eastAsia" w:ascii="仿宋" w:hAnsi="仿宋" w:eastAsia="仿宋" w:cs="仿宋"/>
          <w:color w:val="000000"/>
          <w:u w:val="single"/>
        </w:rPr>
        <w:t>       </w:t>
      </w:r>
    </w:p>
    <w:p>
      <w:pPr>
        <w:tabs>
          <w:tab w:val="left" w:pos="142"/>
        </w:tabs>
        <w:spacing w:after="0" w:line="360" w:lineRule="auto"/>
        <w:rPr>
          <w:rStyle w:val="23"/>
          <w:rFonts w:hint="eastAsia" w:ascii="仿宋" w:hAnsi="仿宋" w:eastAsia="仿宋" w:cs="仿宋"/>
          <w:color w:val="000000"/>
        </w:rPr>
      </w:pPr>
    </w:p>
    <w:p>
      <w:pPr>
        <w:tabs>
          <w:tab w:val="left" w:pos="142"/>
        </w:tabs>
        <w:spacing w:after="0" w:line="360" w:lineRule="auto"/>
        <w:rPr>
          <w:rStyle w:val="23"/>
          <w:rFonts w:hint="eastAsia" w:ascii="仿宋" w:hAnsi="仿宋" w:eastAsia="仿宋" w:cs="仿宋"/>
          <w:color w:val="000000"/>
        </w:rPr>
      </w:pPr>
    </w:p>
    <w:p>
      <w:pPr>
        <w:spacing w:after="0" w:line="360" w:lineRule="auto"/>
        <w:rPr>
          <w:rFonts w:hint="eastAsia" w:ascii="仿宋" w:hAnsi="仿宋" w:eastAsia="仿宋" w:cs="仿宋"/>
          <w:b/>
          <w:bCs/>
          <w:sz w:val="21"/>
          <w:szCs w:val="21"/>
        </w:rPr>
      </w:pPr>
      <w:r>
        <w:rPr>
          <w:rFonts w:hint="eastAsia" w:ascii="仿宋" w:hAnsi="仿宋" w:eastAsia="仿宋" w:cs="仿宋"/>
          <w:b/>
          <w:bCs/>
          <w:sz w:val="21"/>
          <w:szCs w:val="21"/>
        </w:rPr>
        <w:t>注:投标总报价应包含本项目实施期间的所有含税费用。</w:t>
      </w:r>
      <w:bookmarkStart w:id="251" w:name="_Toc11840"/>
      <w:bookmarkStart w:id="252" w:name="_Toc14915"/>
      <w:bookmarkStart w:id="253" w:name="_Toc12470"/>
    </w:p>
    <w:p>
      <w:pPr>
        <w:tabs>
          <w:tab w:val="left" w:pos="142"/>
        </w:tabs>
        <w:spacing w:after="0" w:line="360" w:lineRule="auto"/>
        <w:ind w:firstLine="560" w:firstLineChars="200"/>
        <w:rPr>
          <w:rFonts w:hint="eastAsia" w:ascii="仿宋" w:hAnsi="仿宋" w:eastAsia="仿宋" w:cs="仿宋"/>
          <w:sz w:val="28"/>
          <w:szCs w:val="28"/>
        </w:rPr>
      </w:pPr>
    </w:p>
    <w:bookmarkEnd w:id="251"/>
    <w:p>
      <w:pPr>
        <w:tabs>
          <w:tab w:val="left" w:pos="142"/>
        </w:tabs>
        <w:spacing w:after="0" w:line="360" w:lineRule="auto"/>
        <w:rPr>
          <w:rFonts w:hint="eastAsia" w:ascii="仿宋" w:hAnsi="仿宋" w:eastAsia="仿宋" w:cs="仿宋"/>
          <w:color w:val="000000"/>
        </w:rPr>
      </w:pPr>
      <w:r>
        <w:rPr>
          <w:rFonts w:hint="eastAsia" w:ascii="仿宋" w:hAnsi="仿宋" w:eastAsia="仿宋" w:cs="仿宋"/>
          <w:color w:val="000000"/>
        </w:rPr>
        <w:br w:type="page"/>
      </w:r>
    </w:p>
    <w:bookmarkEnd w:id="252"/>
    <w:bookmarkEnd w:id="253"/>
    <w:p>
      <w:pPr>
        <w:pStyle w:val="29"/>
        <w:numPr>
          <w:ilvl w:val="0"/>
          <w:numId w:val="0"/>
        </w:numPr>
        <w:tabs>
          <w:tab w:val="clear" w:pos="720"/>
        </w:tabs>
        <w:spacing w:after="0" w:line="360" w:lineRule="auto"/>
        <w:jc w:val="center"/>
        <w:outlineLvl w:val="0"/>
        <w:rPr>
          <w:rFonts w:hint="eastAsia" w:ascii="仿宋" w:hAnsi="仿宋" w:eastAsia="仿宋" w:cs="仿宋"/>
          <w:color w:val="000000"/>
          <w:sz w:val="36"/>
          <w:szCs w:val="36"/>
        </w:rPr>
      </w:pPr>
      <w:bookmarkStart w:id="254" w:name="_Toc21398"/>
      <w:bookmarkStart w:id="255" w:name="_Toc10611"/>
      <w:bookmarkStart w:id="256" w:name="_Toc22736"/>
      <w:bookmarkStart w:id="257" w:name="_Toc32428"/>
      <w:bookmarkStart w:id="258" w:name="_Toc4720"/>
      <w:bookmarkStart w:id="259" w:name="_Toc30180"/>
      <w:r>
        <w:rPr>
          <w:rFonts w:hint="eastAsia" w:ascii="仿宋" w:hAnsi="仿宋" w:eastAsia="仿宋" w:cs="仿宋"/>
          <w:color w:val="000000"/>
          <w:sz w:val="36"/>
          <w:szCs w:val="36"/>
        </w:rPr>
        <w:t>三、</w:t>
      </w:r>
      <w:bookmarkEnd w:id="254"/>
      <w:bookmarkEnd w:id="255"/>
      <w:bookmarkEnd w:id="256"/>
      <w:r>
        <w:rPr>
          <w:rFonts w:hint="eastAsia" w:ascii="仿宋" w:hAnsi="仿宋" w:eastAsia="仿宋" w:cs="仿宋"/>
          <w:color w:val="000000"/>
          <w:sz w:val="36"/>
          <w:szCs w:val="36"/>
        </w:rPr>
        <w:t>报价明细表</w:t>
      </w:r>
      <w:bookmarkEnd w:id="257"/>
      <w:bookmarkEnd w:id="258"/>
      <w:bookmarkEnd w:id="259"/>
    </w:p>
    <w:p>
      <w:pPr>
        <w:pStyle w:val="14"/>
        <w:spacing w:after="0"/>
        <w:ind w:firstLine="480"/>
        <w:rPr>
          <w:rFonts w:hint="eastAsia" w:ascii="仿宋" w:hAnsi="仿宋" w:eastAsia="仿宋" w:cs="仿宋"/>
        </w:rPr>
      </w:pPr>
      <w:r>
        <w:rPr>
          <w:rFonts w:hint="eastAsia" w:ascii="仿宋" w:hAnsi="仿宋" w:eastAsia="仿宋" w:cs="仿宋"/>
        </w:rPr>
        <w:t>项目名称：</w:t>
      </w:r>
    </w:p>
    <w:p>
      <w:pPr>
        <w:spacing w:after="0"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项目编号：                                  </w:t>
      </w:r>
    </w:p>
    <w:tbl>
      <w:tblPr>
        <w:tblStyle w:val="21"/>
        <w:tblpPr w:leftFromText="180" w:rightFromText="180" w:vertAnchor="text" w:horzAnchor="page" w:tblpX="1125" w:tblpY="66"/>
        <w:tblOverlap w:val="never"/>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00"/>
        <w:gridCol w:w="1975"/>
        <w:gridCol w:w="1150"/>
        <w:gridCol w:w="136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900"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000" w:type="dxa"/>
            <w:vAlign w:val="center"/>
          </w:tcPr>
          <w:p>
            <w:pPr>
              <w:jc w:val="center"/>
              <w:rPr>
                <w:rFonts w:hint="eastAsia" w:ascii="仿宋" w:hAnsi="仿宋" w:eastAsia="仿宋" w:cs="仿宋"/>
                <w:sz w:val="24"/>
              </w:rPr>
            </w:pPr>
            <w:r>
              <w:rPr>
                <w:rFonts w:hint="eastAsia" w:ascii="仿宋" w:hAnsi="仿宋" w:eastAsia="仿宋" w:cs="仿宋"/>
                <w:sz w:val="24"/>
              </w:rPr>
              <w:t>产品、服务名称</w:t>
            </w:r>
          </w:p>
        </w:tc>
        <w:tc>
          <w:tcPr>
            <w:tcW w:w="1975" w:type="dxa"/>
            <w:vAlign w:val="center"/>
          </w:tcPr>
          <w:p>
            <w:pPr>
              <w:jc w:val="center"/>
              <w:rPr>
                <w:rFonts w:hint="eastAsia" w:ascii="仿宋" w:hAnsi="仿宋" w:eastAsia="仿宋" w:cs="仿宋"/>
                <w:sz w:val="24"/>
              </w:rPr>
            </w:pPr>
            <w:r>
              <w:rPr>
                <w:rFonts w:hint="eastAsia" w:ascii="仿宋" w:hAnsi="仿宋" w:eastAsia="仿宋" w:cs="仿宋"/>
                <w:sz w:val="24"/>
              </w:rPr>
              <w:t>内容描述（品牌、型号、产地等）</w:t>
            </w:r>
          </w:p>
        </w:tc>
        <w:tc>
          <w:tcPr>
            <w:tcW w:w="1150"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363" w:type="dxa"/>
            <w:vAlign w:val="center"/>
          </w:tcPr>
          <w:p>
            <w:pPr>
              <w:jc w:val="center"/>
              <w:rPr>
                <w:rFonts w:hint="eastAsia" w:ascii="仿宋" w:hAnsi="仿宋" w:eastAsia="仿宋" w:cs="仿宋"/>
                <w:sz w:val="24"/>
              </w:rPr>
            </w:pPr>
            <w:r>
              <w:rPr>
                <w:rFonts w:hint="eastAsia" w:ascii="仿宋" w:hAnsi="仿宋" w:eastAsia="仿宋" w:cs="仿宋"/>
                <w:sz w:val="24"/>
              </w:rPr>
              <w:t>单价</w:t>
            </w:r>
          </w:p>
          <w:p>
            <w:pPr>
              <w:jc w:val="center"/>
              <w:rPr>
                <w:rFonts w:hint="eastAsia" w:ascii="仿宋" w:hAnsi="仿宋" w:eastAsia="仿宋" w:cs="仿宋"/>
                <w:sz w:val="24"/>
              </w:rPr>
            </w:pPr>
            <w:r>
              <w:rPr>
                <w:rFonts w:hint="eastAsia" w:ascii="仿宋" w:hAnsi="仿宋" w:eastAsia="仿宋" w:cs="仿宋"/>
                <w:sz w:val="24"/>
              </w:rPr>
              <w:t>（元）</w:t>
            </w:r>
          </w:p>
        </w:tc>
        <w:tc>
          <w:tcPr>
            <w:tcW w:w="2225" w:type="dxa"/>
            <w:vAlign w:val="center"/>
          </w:tcPr>
          <w:p>
            <w:pPr>
              <w:jc w:val="center"/>
              <w:rPr>
                <w:rFonts w:hint="eastAsia" w:ascii="仿宋" w:hAnsi="仿宋" w:eastAsia="仿宋" w:cs="仿宋"/>
                <w:sz w:val="24"/>
              </w:rPr>
            </w:pPr>
            <w:r>
              <w:rPr>
                <w:rFonts w:hint="eastAsia" w:ascii="仿宋" w:hAnsi="仿宋" w:eastAsia="仿宋" w:cs="仿宋"/>
                <w:sz w:val="24"/>
              </w:rPr>
              <w:t>单项合计价</w:t>
            </w:r>
          </w:p>
          <w:p>
            <w:pPr>
              <w:jc w:val="center"/>
              <w:rPr>
                <w:rFonts w:hint="eastAsia" w:ascii="仿宋" w:hAnsi="仿宋" w:eastAsia="仿宋" w:cs="仿宋"/>
                <w:sz w:val="24"/>
              </w:rPr>
            </w:pP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0" w:type="dxa"/>
            <w:vAlign w:val="center"/>
          </w:tcPr>
          <w:p>
            <w:pPr>
              <w:spacing w:line="360" w:lineRule="auto"/>
              <w:jc w:val="center"/>
              <w:rPr>
                <w:rFonts w:hint="eastAsia" w:ascii="仿宋" w:hAnsi="仿宋" w:eastAsia="仿宋" w:cs="仿宋"/>
                <w:sz w:val="24"/>
              </w:rPr>
            </w:pPr>
          </w:p>
        </w:tc>
        <w:tc>
          <w:tcPr>
            <w:tcW w:w="2000" w:type="dxa"/>
            <w:vAlign w:val="center"/>
          </w:tcPr>
          <w:p>
            <w:pPr>
              <w:spacing w:line="360" w:lineRule="auto"/>
              <w:jc w:val="center"/>
              <w:rPr>
                <w:rFonts w:hint="eastAsia" w:ascii="仿宋" w:hAnsi="仿宋" w:eastAsia="仿宋" w:cs="仿宋"/>
                <w:sz w:val="24"/>
              </w:rPr>
            </w:pPr>
          </w:p>
        </w:tc>
        <w:tc>
          <w:tcPr>
            <w:tcW w:w="1975" w:type="dxa"/>
            <w:vAlign w:val="center"/>
          </w:tcPr>
          <w:p>
            <w:pPr>
              <w:spacing w:line="360" w:lineRule="auto"/>
              <w:jc w:val="center"/>
              <w:rPr>
                <w:rFonts w:hint="eastAsia" w:ascii="仿宋" w:hAnsi="仿宋" w:eastAsia="仿宋" w:cs="仿宋"/>
                <w:sz w:val="24"/>
              </w:rPr>
            </w:pPr>
          </w:p>
        </w:tc>
        <w:tc>
          <w:tcPr>
            <w:tcW w:w="1150" w:type="dxa"/>
            <w:vAlign w:val="center"/>
          </w:tcPr>
          <w:p>
            <w:pPr>
              <w:spacing w:line="360" w:lineRule="auto"/>
              <w:jc w:val="center"/>
              <w:rPr>
                <w:rFonts w:hint="eastAsia" w:ascii="仿宋" w:hAnsi="仿宋" w:eastAsia="仿宋" w:cs="仿宋"/>
                <w:sz w:val="24"/>
              </w:rPr>
            </w:pPr>
          </w:p>
        </w:tc>
        <w:tc>
          <w:tcPr>
            <w:tcW w:w="1363" w:type="dxa"/>
            <w:vAlign w:val="center"/>
          </w:tcPr>
          <w:p>
            <w:pPr>
              <w:spacing w:line="360" w:lineRule="auto"/>
              <w:jc w:val="center"/>
              <w:rPr>
                <w:rFonts w:hint="eastAsia" w:ascii="仿宋" w:hAnsi="仿宋" w:eastAsia="仿宋" w:cs="仿宋"/>
                <w:sz w:val="24"/>
              </w:rPr>
            </w:pPr>
          </w:p>
        </w:tc>
        <w:tc>
          <w:tcPr>
            <w:tcW w:w="222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0" w:type="dxa"/>
            <w:vAlign w:val="center"/>
          </w:tcPr>
          <w:p>
            <w:pPr>
              <w:spacing w:line="360" w:lineRule="auto"/>
              <w:jc w:val="center"/>
              <w:rPr>
                <w:rFonts w:hint="eastAsia" w:ascii="仿宋" w:hAnsi="仿宋" w:eastAsia="仿宋" w:cs="仿宋"/>
                <w:sz w:val="24"/>
              </w:rPr>
            </w:pPr>
          </w:p>
        </w:tc>
        <w:tc>
          <w:tcPr>
            <w:tcW w:w="2000" w:type="dxa"/>
            <w:vAlign w:val="center"/>
          </w:tcPr>
          <w:p>
            <w:pPr>
              <w:spacing w:line="360" w:lineRule="auto"/>
              <w:jc w:val="center"/>
              <w:rPr>
                <w:rFonts w:hint="eastAsia" w:ascii="仿宋" w:hAnsi="仿宋" w:eastAsia="仿宋" w:cs="仿宋"/>
                <w:sz w:val="24"/>
              </w:rPr>
            </w:pPr>
          </w:p>
        </w:tc>
        <w:tc>
          <w:tcPr>
            <w:tcW w:w="1975" w:type="dxa"/>
            <w:vAlign w:val="center"/>
          </w:tcPr>
          <w:p>
            <w:pPr>
              <w:spacing w:line="360" w:lineRule="auto"/>
              <w:jc w:val="center"/>
              <w:rPr>
                <w:rFonts w:hint="eastAsia" w:ascii="仿宋" w:hAnsi="仿宋" w:eastAsia="仿宋" w:cs="仿宋"/>
                <w:sz w:val="24"/>
              </w:rPr>
            </w:pPr>
          </w:p>
        </w:tc>
        <w:tc>
          <w:tcPr>
            <w:tcW w:w="1150" w:type="dxa"/>
            <w:vAlign w:val="center"/>
          </w:tcPr>
          <w:p>
            <w:pPr>
              <w:spacing w:line="360" w:lineRule="auto"/>
              <w:jc w:val="center"/>
              <w:rPr>
                <w:rFonts w:hint="eastAsia" w:ascii="仿宋" w:hAnsi="仿宋" w:eastAsia="仿宋" w:cs="仿宋"/>
                <w:sz w:val="24"/>
              </w:rPr>
            </w:pPr>
          </w:p>
        </w:tc>
        <w:tc>
          <w:tcPr>
            <w:tcW w:w="1363" w:type="dxa"/>
            <w:vAlign w:val="center"/>
          </w:tcPr>
          <w:p>
            <w:pPr>
              <w:spacing w:line="360" w:lineRule="auto"/>
              <w:jc w:val="center"/>
              <w:rPr>
                <w:rFonts w:hint="eastAsia" w:ascii="仿宋" w:hAnsi="仿宋" w:eastAsia="仿宋" w:cs="仿宋"/>
                <w:sz w:val="24"/>
              </w:rPr>
            </w:pPr>
          </w:p>
        </w:tc>
        <w:tc>
          <w:tcPr>
            <w:tcW w:w="222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0" w:type="dxa"/>
            <w:vAlign w:val="center"/>
          </w:tcPr>
          <w:p>
            <w:pPr>
              <w:spacing w:line="360" w:lineRule="auto"/>
              <w:jc w:val="center"/>
              <w:rPr>
                <w:rFonts w:hint="eastAsia" w:ascii="仿宋" w:hAnsi="仿宋" w:eastAsia="仿宋" w:cs="仿宋"/>
                <w:sz w:val="24"/>
              </w:rPr>
            </w:pPr>
          </w:p>
        </w:tc>
        <w:tc>
          <w:tcPr>
            <w:tcW w:w="2000" w:type="dxa"/>
            <w:vAlign w:val="center"/>
          </w:tcPr>
          <w:p>
            <w:pPr>
              <w:spacing w:line="360" w:lineRule="auto"/>
              <w:jc w:val="center"/>
              <w:rPr>
                <w:rFonts w:hint="eastAsia" w:ascii="仿宋" w:hAnsi="仿宋" w:eastAsia="仿宋" w:cs="仿宋"/>
                <w:sz w:val="24"/>
              </w:rPr>
            </w:pPr>
          </w:p>
        </w:tc>
        <w:tc>
          <w:tcPr>
            <w:tcW w:w="1975" w:type="dxa"/>
            <w:vAlign w:val="center"/>
          </w:tcPr>
          <w:p>
            <w:pPr>
              <w:spacing w:line="360" w:lineRule="auto"/>
              <w:jc w:val="center"/>
              <w:rPr>
                <w:rFonts w:hint="eastAsia" w:ascii="仿宋" w:hAnsi="仿宋" w:eastAsia="仿宋" w:cs="仿宋"/>
                <w:sz w:val="24"/>
              </w:rPr>
            </w:pPr>
          </w:p>
        </w:tc>
        <w:tc>
          <w:tcPr>
            <w:tcW w:w="1150" w:type="dxa"/>
            <w:vAlign w:val="center"/>
          </w:tcPr>
          <w:p>
            <w:pPr>
              <w:spacing w:line="360" w:lineRule="auto"/>
              <w:jc w:val="center"/>
              <w:rPr>
                <w:rFonts w:hint="eastAsia" w:ascii="仿宋" w:hAnsi="仿宋" w:eastAsia="仿宋" w:cs="仿宋"/>
                <w:sz w:val="24"/>
              </w:rPr>
            </w:pPr>
          </w:p>
        </w:tc>
        <w:tc>
          <w:tcPr>
            <w:tcW w:w="1363" w:type="dxa"/>
            <w:vAlign w:val="center"/>
          </w:tcPr>
          <w:p>
            <w:pPr>
              <w:spacing w:line="360" w:lineRule="auto"/>
              <w:jc w:val="center"/>
              <w:rPr>
                <w:rFonts w:hint="eastAsia" w:ascii="仿宋" w:hAnsi="仿宋" w:eastAsia="仿宋" w:cs="仿宋"/>
                <w:sz w:val="24"/>
              </w:rPr>
            </w:pPr>
          </w:p>
        </w:tc>
        <w:tc>
          <w:tcPr>
            <w:tcW w:w="222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0" w:type="dxa"/>
            <w:vAlign w:val="center"/>
          </w:tcPr>
          <w:p>
            <w:pPr>
              <w:spacing w:line="360" w:lineRule="auto"/>
              <w:jc w:val="center"/>
              <w:rPr>
                <w:rFonts w:hint="eastAsia" w:ascii="仿宋" w:hAnsi="仿宋" w:eastAsia="仿宋" w:cs="仿宋"/>
                <w:sz w:val="24"/>
              </w:rPr>
            </w:pPr>
          </w:p>
        </w:tc>
        <w:tc>
          <w:tcPr>
            <w:tcW w:w="2000" w:type="dxa"/>
            <w:vAlign w:val="center"/>
          </w:tcPr>
          <w:p>
            <w:pPr>
              <w:spacing w:line="360" w:lineRule="auto"/>
              <w:jc w:val="center"/>
              <w:rPr>
                <w:rFonts w:hint="eastAsia" w:ascii="仿宋" w:hAnsi="仿宋" w:eastAsia="仿宋" w:cs="仿宋"/>
                <w:sz w:val="24"/>
              </w:rPr>
            </w:pPr>
          </w:p>
        </w:tc>
        <w:tc>
          <w:tcPr>
            <w:tcW w:w="1975" w:type="dxa"/>
            <w:vAlign w:val="center"/>
          </w:tcPr>
          <w:p>
            <w:pPr>
              <w:spacing w:line="360" w:lineRule="auto"/>
              <w:jc w:val="center"/>
              <w:rPr>
                <w:rFonts w:hint="eastAsia" w:ascii="仿宋" w:hAnsi="仿宋" w:eastAsia="仿宋" w:cs="仿宋"/>
                <w:sz w:val="24"/>
              </w:rPr>
            </w:pPr>
          </w:p>
        </w:tc>
        <w:tc>
          <w:tcPr>
            <w:tcW w:w="1150" w:type="dxa"/>
            <w:vAlign w:val="center"/>
          </w:tcPr>
          <w:p>
            <w:pPr>
              <w:spacing w:line="360" w:lineRule="auto"/>
              <w:jc w:val="center"/>
              <w:rPr>
                <w:rFonts w:hint="eastAsia" w:ascii="仿宋" w:hAnsi="仿宋" w:eastAsia="仿宋" w:cs="仿宋"/>
                <w:sz w:val="24"/>
              </w:rPr>
            </w:pPr>
          </w:p>
        </w:tc>
        <w:tc>
          <w:tcPr>
            <w:tcW w:w="1363" w:type="dxa"/>
            <w:vAlign w:val="center"/>
          </w:tcPr>
          <w:p>
            <w:pPr>
              <w:spacing w:line="360" w:lineRule="auto"/>
              <w:jc w:val="center"/>
              <w:rPr>
                <w:rFonts w:hint="eastAsia" w:ascii="仿宋" w:hAnsi="仿宋" w:eastAsia="仿宋" w:cs="仿宋"/>
                <w:sz w:val="24"/>
              </w:rPr>
            </w:pPr>
          </w:p>
        </w:tc>
        <w:tc>
          <w:tcPr>
            <w:tcW w:w="222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0" w:type="dxa"/>
            <w:vAlign w:val="center"/>
          </w:tcPr>
          <w:p>
            <w:pPr>
              <w:spacing w:line="360" w:lineRule="auto"/>
              <w:jc w:val="center"/>
              <w:rPr>
                <w:rFonts w:hint="eastAsia" w:ascii="仿宋" w:hAnsi="仿宋" w:eastAsia="仿宋" w:cs="仿宋"/>
                <w:sz w:val="24"/>
              </w:rPr>
            </w:pPr>
          </w:p>
        </w:tc>
        <w:tc>
          <w:tcPr>
            <w:tcW w:w="2000" w:type="dxa"/>
            <w:vAlign w:val="center"/>
          </w:tcPr>
          <w:p>
            <w:pPr>
              <w:spacing w:line="360" w:lineRule="auto"/>
              <w:jc w:val="center"/>
              <w:rPr>
                <w:rFonts w:hint="eastAsia" w:ascii="仿宋" w:hAnsi="仿宋" w:eastAsia="仿宋" w:cs="仿宋"/>
                <w:sz w:val="24"/>
              </w:rPr>
            </w:pPr>
          </w:p>
        </w:tc>
        <w:tc>
          <w:tcPr>
            <w:tcW w:w="1975" w:type="dxa"/>
            <w:vAlign w:val="center"/>
          </w:tcPr>
          <w:p>
            <w:pPr>
              <w:spacing w:line="360" w:lineRule="auto"/>
              <w:jc w:val="center"/>
              <w:rPr>
                <w:rFonts w:hint="eastAsia" w:ascii="仿宋" w:hAnsi="仿宋" w:eastAsia="仿宋" w:cs="仿宋"/>
                <w:sz w:val="24"/>
              </w:rPr>
            </w:pPr>
          </w:p>
        </w:tc>
        <w:tc>
          <w:tcPr>
            <w:tcW w:w="1150" w:type="dxa"/>
            <w:vAlign w:val="center"/>
          </w:tcPr>
          <w:p>
            <w:pPr>
              <w:spacing w:line="360" w:lineRule="auto"/>
              <w:jc w:val="center"/>
              <w:rPr>
                <w:rFonts w:hint="eastAsia" w:ascii="仿宋" w:hAnsi="仿宋" w:eastAsia="仿宋" w:cs="仿宋"/>
                <w:sz w:val="24"/>
              </w:rPr>
            </w:pPr>
          </w:p>
        </w:tc>
        <w:tc>
          <w:tcPr>
            <w:tcW w:w="1363" w:type="dxa"/>
            <w:vAlign w:val="center"/>
          </w:tcPr>
          <w:p>
            <w:pPr>
              <w:spacing w:line="360" w:lineRule="auto"/>
              <w:jc w:val="center"/>
              <w:rPr>
                <w:rFonts w:hint="eastAsia" w:ascii="仿宋" w:hAnsi="仿宋" w:eastAsia="仿宋" w:cs="仿宋"/>
                <w:sz w:val="24"/>
              </w:rPr>
            </w:pPr>
          </w:p>
        </w:tc>
        <w:tc>
          <w:tcPr>
            <w:tcW w:w="222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00" w:type="dxa"/>
            <w:vAlign w:val="center"/>
          </w:tcPr>
          <w:p>
            <w:pPr>
              <w:spacing w:line="360" w:lineRule="auto"/>
              <w:jc w:val="center"/>
              <w:rPr>
                <w:rFonts w:hint="eastAsia" w:ascii="仿宋" w:hAnsi="仿宋" w:eastAsia="仿宋" w:cs="仿宋"/>
                <w:sz w:val="24"/>
              </w:rPr>
            </w:pPr>
          </w:p>
        </w:tc>
        <w:tc>
          <w:tcPr>
            <w:tcW w:w="2000" w:type="dxa"/>
            <w:vAlign w:val="center"/>
          </w:tcPr>
          <w:p>
            <w:pPr>
              <w:spacing w:line="360" w:lineRule="auto"/>
              <w:jc w:val="center"/>
              <w:rPr>
                <w:rFonts w:hint="eastAsia" w:ascii="仿宋" w:hAnsi="仿宋" w:eastAsia="仿宋" w:cs="仿宋"/>
                <w:sz w:val="24"/>
              </w:rPr>
            </w:pPr>
          </w:p>
        </w:tc>
        <w:tc>
          <w:tcPr>
            <w:tcW w:w="1975" w:type="dxa"/>
            <w:vAlign w:val="center"/>
          </w:tcPr>
          <w:p>
            <w:pPr>
              <w:spacing w:line="360" w:lineRule="auto"/>
              <w:jc w:val="center"/>
              <w:rPr>
                <w:rFonts w:hint="eastAsia" w:ascii="仿宋" w:hAnsi="仿宋" w:eastAsia="仿宋" w:cs="仿宋"/>
                <w:sz w:val="24"/>
              </w:rPr>
            </w:pPr>
          </w:p>
        </w:tc>
        <w:tc>
          <w:tcPr>
            <w:tcW w:w="1150" w:type="dxa"/>
            <w:vAlign w:val="center"/>
          </w:tcPr>
          <w:p>
            <w:pPr>
              <w:spacing w:line="360" w:lineRule="auto"/>
              <w:jc w:val="center"/>
              <w:rPr>
                <w:rFonts w:hint="eastAsia" w:ascii="仿宋" w:hAnsi="仿宋" w:eastAsia="仿宋" w:cs="仿宋"/>
                <w:sz w:val="24"/>
              </w:rPr>
            </w:pPr>
          </w:p>
        </w:tc>
        <w:tc>
          <w:tcPr>
            <w:tcW w:w="1363" w:type="dxa"/>
            <w:vAlign w:val="center"/>
          </w:tcPr>
          <w:p>
            <w:pPr>
              <w:spacing w:line="360" w:lineRule="auto"/>
              <w:jc w:val="center"/>
              <w:rPr>
                <w:rFonts w:hint="eastAsia" w:ascii="仿宋" w:hAnsi="仿宋" w:eastAsia="仿宋" w:cs="仿宋"/>
                <w:sz w:val="24"/>
              </w:rPr>
            </w:pPr>
          </w:p>
        </w:tc>
        <w:tc>
          <w:tcPr>
            <w:tcW w:w="2225"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9613" w:type="dxa"/>
            <w:gridSpan w:val="6"/>
            <w:vAlign w:val="center"/>
          </w:tcPr>
          <w:p>
            <w:pPr>
              <w:pStyle w:val="9"/>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报价总计（小写）：</w:t>
            </w:r>
          </w:p>
          <w:p>
            <w:pPr>
              <w:pStyle w:val="9"/>
              <w:spacing w:line="240" w:lineRule="auto"/>
              <w:ind w:firstLine="1440" w:firstLineChars="600"/>
              <w:rPr>
                <w:rFonts w:hint="eastAsia" w:ascii="仿宋" w:hAnsi="仿宋" w:eastAsia="仿宋" w:cs="仿宋"/>
              </w:rPr>
            </w:pPr>
            <w:r>
              <w:rPr>
                <w:rFonts w:hint="eastAsia" w:ascii="仿宋" w:hAnsi="仿宋" w:eastAsia="仿宋" w:cs="仿宋"/>
                <w:sz w:val="24"/>
                <w:szCs w:val="24"/>
              </w:rPr>
              <w:t>（大写）：</w:t>
            </w:r>
          </w:p>
        </w:tc>
      </w:tr>
    </w:tbl>
    <w:p>
      <w:pPr>
        <w:pStyle w:val="20"/>
        <w:spacing w:after="0" w:line="360" w:lineRule="auto"/>
        <w:ind w:firstLine="0" w:firstLineChars="0"/>
        <w:rPr>
          <w:rFonts w:hint="eastAsia" w:ascii="仿宋" w:hAnsi="仿宋" w:eastAsia="仿宋" w:cs="仿宋"/>
        </w:rPr>
      </w:pPr>
    </w:p>
    <w:p>
      <w:pPr>
        <w:spacing w:after="0" w:line="360" w:lineRule="auto"/>
        <w:rPr>
          <w:rFonts w:hint="eastAsia" w:ascii="仿宋" w:hAnsi="仿宋" w:eastAsia="仿宋" w:cs="仿宋"/>
          <w:sz w:val="24"/>
          <w:u w:val="single"/>
        </w:rPr>
      </w:pPr>
      <w:r>
        <w:rPr>
          <w:rFonts w:hint="eastAsia" w:ascii="仿宋" w:hAnsi="仿宋" w:eastAsia="仿宋" w:cs="仿宋"/>
          <w:sz w:val="24"/>
        </w:rPr>
        <w:t>投标人全称（盖章）：</w:t>
      </w:r>
      <w:r>
        <w:rPr>
          <w:rFonts w:hint="eastAsia" w:ascii="仿宋" w:hAnsi="仿宋" w:eastAsia="仿宋" w:cs="仿宋"/>
          <w:sz w:val="24"/>
          <w:u w:val="single"/>
        </w:rPr>
        <w:t xml:space="preserve">                         </w:t>
      </w:r>
    </w:p>
    <w:p>
      <w:pPr>
        <w:spacing w:after="0" w:line="360" w:lineRule="auto"/>
        <w:rPr>
          <w:rFonts w:hint="eastAsia" w:ascii="仿宋" w:hAnsi="仿宋" w:eastAsia="仿宋" w:cs="仿宋"/>
          <w:sz w:val="24"/>
        </w:rPr>
      </w:pPr>
      <w:r>
        <w:rPr>
          <w:rFonts w:hint="eastAsia" w:ascii="仿宋" w:hAnsi="仿宋" w:eastAsia="仿宋" w:cs="仿宋"/>
          <w:sz w:val="24"/>
        </w:rPr>
        <w:t xml:space="preserve">法定代表人或者授权代表（签字或盖章）：         </w:t>
      </w:r>
    </w:p>
    <w:p>
      <w:pPr>
        <w:spacing w:after="0" w:line="360" w:lineRule="auto"/>
        <w:ind w:firstLine="6480" w:firstLineChars="2700"/>
        <w:rPr>
          <w:rFonts w:hint="eastAsia" w:ascii="仿宋" w:hAnsi="仿宋" w:eastAsia="仿宋" w:cs="仿宋"/>
          <w:sz w:val="24"/>
        </w:rPr>
      </w:pPr>
      <w:r>
        <w:rPr>
          <w:rFonts w:hint="eastAsia" w:ascii="仿宋" w:hAnsi="仿宋" w:eastAsia="仿宋" w:cs="仿宋"/>
          <w:sz w:val="24"/>
        </w:rPr>
        <w:t xml:space="preserve"> 日期：    年   月    日</w:t>
      </w:r>
    </w:p>
    <w:p>
      <w:pPr>
        <w:spacing w:after="0" w:line="360" w:lineRule="auto"/>
        <w:rPr>
          <w:rFonts w:hint="eastAsia" w:ascii="仿宋" w:hAnsi="仿宋" w:eastAsia="仿宋" w:cs="仿宋"/>
          <w:sz w:val="24"/>
        </w:rPr>
      </w:pPr>
    </w:p>
    <w:p>
      <w:pPr>
        <w:spacing w:after="0" w:line="360" w:lineRule="auto"/>
        <w:rPr>
          <w:rFonts w:hint="eastAsia" w:ascii="仿宋" w:hAnsi="仿宋" w:eastAsia="仿宋" w:cs="仿宋"/>
          <w:sz w:val="24"/>
        </w:rPr>
      </w:pPr>
    </w:p>
    <w:p>
      <w:pPr>
        <w:spacing w:after="0" w:line="360" w:lineRule="auto"/>
        <w:rPr>
          <w:rFonts w:hint="eastAsia" w:ascii="仿宋" w:hAnsi="仿宋" w:eastAsia="仿宋" w:cs="仿宋"/>
          <w:sz w:val="21"/>
          <w:szCs w:val="21"/>
        </w:rPr>
      </w:pPr>
      <w:r>
        <w:rPr>
          <w:rFonts w:hint="eastAsia" w:ascii="仿宋" w:hAnsi="仿宋" w:eastAsia="仿宋" w:cs="仿宋"/>
          <w:sz w:val="21"/>
          <w:szCs w:val="21"/>
        </w:rPr>
        <w:t>填写说明：</w:t>
      </w:r>
    </w:p>
    <w:p>
      <w:pPr>
        <w:spacing w:after="0" w:line="360" w:lineRule="auto"/>
        <w:rPr>
          <w:rFonts w:hint="eastAsia" w:ascii="仿宋" w:hAnsi="仿宋" w:eastAsia="仿宋" w:cs="仿宋"/>
          <w:sz w:val="21"/>
          <w:szCs w:val="21"/>
        </w:rPr>
      </w:pPr>
      <w:r>
        <w:rPr>
          <w:rFonts w:hint="eastAsia" w:ascii="仿宋" w:hAnsi="仿宋" w:eastAsia="仿宋" w:cs="仿宋"/>
          <w:sz w:val="21"/>
          <w:szCs w:val="21"/>
        </w:rPr>
        <w:t>1、此表为表样，行数可自行添加，但表式不变；</w:t>
      </w:r>
    </w:p>
    <w:p>
      <w:pPr>
        <w:spacing w:after="0" w:line="360" w:lineRule="auto"/>
        <w:rPr>
          <w:rFonts w:hint="eastAsia" w:ascii="仿宋" w:hAnsi="仿宋" w:eastAsia="仿宋" w:cs="仿宋"/>
          <w:sz w:val="21"/>
          <w:szCs w:val="21"/>
        </w:rPr>
      </w:pPr>
      <w:r>
        <w:rPr>
          <w:rFonts w:hint="eastAsia" w:ascii="仿宋" w:hAnsi="仿宋" w:eastAsia="仿宋" w:cs="仿宋"/>
          <w:sz w:val="21"/>
          <w:szCs w:val="21"/>
        </w:rPr>
        <w:t>2、相关食宿、差旅及其他所有费用由投标人自行计算填列；</w:t>
      </w:r>
    </w:p>
    <w:p>
      <w:pPr>
        <w:spacing w:after="0" w:line="360" w:lineRule="auto"/>
        <w:rPr>
          <w:rFonts w:hint="eastAsia" w:ascii="仿宋" w:hAnsi="仿宋" w:eastAsia="仿宋" w:cs="仿宋"/>
          <w:sz w:val="21"/>
          <w:szCs w:val="21"/>
        </w:rPr>
      </w:pPr>
      <w:r>
        <w:rPr>
          <w:rFonts w:hint="eastAsia" w:ascii="仿宋" w:hAnsi="仿宋" w:eastAsia="仿宋" w:cs="仿宋"/>
          <w:sz w:val="21"/>
          <w:szCs w:val="21"/>
        </w:rPr>
        <w:t>3、上表中的“投标报价总计”应当等于“</w:t>
      </w:r>
      <w:r>
        <w:rPr>
          <w:rFonts w:hint="eastAsia" w:ascii="仿宋" w:hAnsi="仿宋" w:eastAsia="仿宋" w:cs="仿宋"/>
          <w:sz w:val="21"/>
          <w:szCs w:val="21"/>
          <w:lang w:eastAsia="zh-CN"/>
        </w:rPr>
        <w:t>报价一览表</w:t>
      </w:r>
      <w:r>
        <w:rPr>
          <w:rFonts w:hint="eastAsia" w:ascii="仿宋" w:hAnsi="仿宋" w:eastAsia="仿宋" w:cs="仿宋"/>
          <w:sz w:val="21"/>
          <w:szCs w:val="21"/>
        </w:rPr>
        <w:t>”中“项目总报价”。</w:t>
      </w:r>
    </w:p>
    <w:p>
      <w:pPr>
        <w:spacing w:after="0"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4、如需填报CIP南京外币报价，请自行添加表格，并注明折算成人民币报价的当期汇率。</w:t>
      </w:r>
    </w:p>
    <w:p>
      <w:pPr>
        <w:pStyle w:val="25"/>
        <w:rPr>
          <w:rFonts w:hint="eastAsia" w:ascii="仿宋" w:hAnsi="仿宋" w:eastAsia="仿宋" w:cs="仿宋"/>
        </w:rPr>
      </w:pPr>
    </w:p>
    <w:p>
      <w:pPr>
        <w:pStyle w:val="29"/>
        <w:numPr>
          <w:ilvl w:val="0"/>
          <w:numId w:val="0"/>
        </w:numPr>
        <w:spacing w:line="360" w:lineRule="auto"/>
        <w:jc w:val="center"/>
        <w:outlineLvl w:val="0"/>
        <w:rPr>
          <w:rFonts w:hint="eastAsia" w:ascii="仿宋" w:hAnsi="仿宋" w:eastAsia="仿宋" w:cs="仿宋"/>
          <w:color w:val="000000"/>
          <w:sz w:val="32"/>
          <w:szCs w:val="32"/>
        </w:rPr>
      </w:pPr>
      <w:r>
        <w:rPr>
          <w:rFonts w:hint="eastAsia" w:ascii="仿宋" w:hAnsi="仿宋" w:eastAsia="仿宋" w:cs="仿宋"/>
          <w:color w:val="000000"/>
        </w:rPr>
        <w:br w:type="page"/>
      </w:r>
      <w:bookmarkStart w:id="260" w:name="_Toc30778"/>
      <w:bookmarkStart w:id="261" w:name="_Toc25242"/>
      <w:bookmarkStart w:id="262" w:name="_Toc9513"/>
      <w:bookmarkStart w:id="263" w:name="_Toc25170488"/>
      <w:bookmarkStart w:id="264" w:name="_Toc5653"/>
      <w:bookmarkStart w:id="265" w:name="_Toc8163"/>
      <w:bookmarkStart w:id="266" w:name="_Toc25397"/>
      <w:bookmarkStart w:id="267" w:name="_Toc12268"/>
      <w:bookmarkStart w:id="268" w:name="_Toc365968484"/>
      <w:bookmarkStart w:id="269" w:name="_Toc351733249"/>
      <w:bookmarkStart w:id="270" w:name="_Toc448482856"/>
      <w:bookmarkStart w:id="271" w:name="_Toc17320"/>
      <w:bookmarkStart w:id="272" w:name="_Toc365968482"/>
      <w:bookmarkStart w:id="273" w:name="_Toc5613"/>
      <w:bookmarkStart w:id="274" w:name="_Toc24582"/>
      <w:bookmarkStart w:id="275" w:name="_Toc12366"/>
      <w:bookmarkStart w:id="276" w:name="_Toc26733"/>
      <w:bookmarkStart w:id="277" w:name="_Toc818"/>
      <w:r>
        <w:rPr>
          <w:rFonts w:hint="eastAsia" w:ascii="仿宋" w:hAnsi="仿宋" w:eastAsia="仿宋" w:cs="仿宋"/>
          <w:color w:val="000000"/>
          <w:sz w:val="36"/>
          <w:szCs w:val="36"/>
        </w:rPr>
        <w:t>四、</w:t>
      </w:r>
      <w:bookmarkEnd w:id="260"/>
      <w:bookmarkEnd w:id="261"/>
      <w:bookmarkEnd w:id="262"/>
      <w:bookmarkEnd w:id="263"/>
      <w:bookmarkEnd w:id="264"/>
      <w:r>
        <w:rPr>
          <w:rFonts w:hint="eastAsia" w:ascii="仿宋" w:hAnsi="仿宋" w:eastAsia="仿宋" w:cs="仿宋"/>
          <w:color w:val="000000"/>
          <w:sz w:val="36"/>
          <w:szCs w:val="36"/>
        </w:rPr>
        <w:t>商务条款偏离表</w:t>
      </w:r>
      <w:bookmarkEnd w:id="265"/>
      <w:bookmarkEnd w:id="266"/>
      <w:bookmarkEnd w:id="267"/>
    </w:p>
    <w:p>
      <w:pPr>
        <w:spacing w:line="360" w:lineRule="auto"/>
        <w:rPr>
          <w:rFonts w:hint="eastAsia" w:ascii="仿宋" w:hAnsi="仿宋" w:eastAsia="仿宋" w:cs="仿宋"/>
          <w:sz w:val="24"/>
        </w:rPr>
      </w:pPr>
    </w:p>
    <w:tbl>
      <w:tblPr>
        <w:tblStyle w:val="21"/>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154"/>
        <w:gridCol w:w="3825"/>
        <w:gridCol w:w="1925"/>
        <w:gridCol w:w="18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r>
              <w:rPr>
                <w:rFonts w:hint="eastAsia" w:ascii="仿宋" w:hAnsi="仿宋" w:eastAsia="仿宋" w:cs="仿宋"/>
                <w:color w:val="000000"/>
              </w:rPr>
              <w:t>序号</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项目名称</w:t>
            </w:r>
          </w:p>
        </w:tc>
        <w:tc>
          <w:tcPr>
            <w:tcW w:w="38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rPr>
            </w:pPr>
            <w:r>
              <w:rPr>
                <w:rFonts w:hint="eastAsia" w:ascii="仿宋" w:hAnsi="仿宋" w:eastAsia="仿宋" w:cs="仿宋"/>
                <w:color w:val="000000"/>
              </w:rPr>
              <w:t>原商务主要条款描述</w:t>
            </w:r>
          </w:p>
          <w:p>
            <w:pPr>
              <w:jc w:val="center"/>
              <w:textAlignment w:val="center"/>
              <w:rPr>
                <w:rFonts w:hint="eastAsia" w:ascii="仿宋" w:hAnsi="仿宋" w:eastAsia="仿宋" w:cs="仿宋"/>
                <w:color w:val="000000"/>
              </w:rPr>
            </w:pPr>
            <w:r>
              <w:rPr>
                <w:rFonts w:hint="eastAsia" w:ascii="仿宋" w:hAnsi="仿宋" w:eastAsia="仿宋" w:cs="仿宋"/>
                <w:color w:val="000000"/>
              </w:rPr>
              <w:t>（包括人员配备，服务程序、管理办法、考核方案等）</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rPr>
            </w:pPr>
            <w:r>
              <w:rPr>
                <w:rFonts w:hint="eastAsia" w:ascii="仿宋" w:hAnsi="仿宋" w:eastAsia="仿宋" w:cs="仿宋"/>
                <w:color w:val="000000"/>
              </w:rPr>
              <w:t>响应供应商的承诺或说明</w:t>
            </w:r>
          </w:p>
        </w:tc>
        <w:tc>
          <w:tcPr>
            <w:tcW w:w="18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color w:val="000000"/>
              </w:rPr>
            </w:pPr>
            <w:r>
              <w:rPr>
                <w:rFonts w:hint="eastAsia" w:ascii="仿宋" w:hAnsi="仿宋" w:eastAsia="仿宋" w:cs="仿宋"/>
                <w:color w:val="000000"/>
              </w:rPr>
              <w:t>偏离</w:t>
            </w:r>
          </w:p>
          <w:p>
            <w:pPr>
              <w:jc w:val="center"/>
              <w:textAlignment w:val="center"/>
              <w:rPr>
                <w:rFonts w:hint="eastAsia" w:ascii="仿宋" w:hAnsi="仿宋" w:eastAsia="仿宋" w:cs="仿宋"/>
                <w:color w:val="000000"/>
              </w:rPr>
            </w:pPr>
            <w:r>
              <w:rPr>
                <w:rFonts w:hint="eastAsia" w:ascii="仿宋" w:hAnsi="仿宋" w:eastAsia="仿宋" w:cs="仿宋"/>
                <w:color w:val="000000"/>
              </w:rPr>
              <w:t>情况</w:t>
            </w:r>
          </w:p>
          <w:p>
            <w:pPr>
              <w:jc w:val="center"/>
              <w:textAlignment w:val="center"/>
              <w:rPr>
                <w:rFonts w:hint="eastAsia" w:ascii="仿宋" w:hAnsi="仿宋" w:eastAsia="仿宋" w:cs="仿宋"/>
                <w:color w:val="000000"/>
              </w:rPr>
            </w:pPr>
            <w:r>
              <w:rPr>
                <w:rFonts w:hint="eastAsia" w:ascii="仿宋" w:hAnsi="仿宋" w:eastAsia="仿宋" w:cs="仿宋"/>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1</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2</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3</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4</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5</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r>
              <w:rPr>
                <w:rFonts w:hint="eastAsia" w:ascii="仿宋" w:hAnsi="仿宋" w:eastAsia="仿宋" w:cs="仿宋"/>
                <w:color w:val="000000"/>
              </w:rPr>
              <w:t>6</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center"/>
              <w:rPr>
                <w:rFonts w:hint="eastAsia" w:ascii="仿宋" w:hAnsi="仿宋" w:eastAsia="仿宋" w:cs="仿宋"/>
                <w:color w:val="000000"/>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c>
          <w:tcPr>
            <w:tcW w:w="187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hint="eastAsia" w:ascii="仿宋" w:hAnsi="仿宋" w:eastAsia="仿宋" w:cs="仿宋"/>
                <w:color w:val="000000"/>
              </w:rPr>
            </w:pPr>
          </w:p>
        </w:tc>
      </w:tr>
    </w:tbl>
    <w:p>
      <w:pPr>
        <w:tabs>
          <w:tab w:val="left" w:pos="142"/>
        </w:tabs>
        <w:rPr>
          <w:rFonts w:hint="eastAsia" w:ascii="仿宋" w:hAnsi="仿宋" w:eastAsia="仿宋" w:cs="仿宋"/>
          <w:sz w:val="24"/>
          <w:szCs w:val="24"/>
        </w:rPr>
      </w:pPr>
      <w:r>
        <w:rPr>
          <w:rFonts w:hint="eastAsia" w:ascii="仿宋" w:hAnsi="仿宋" w:eastAsia="仿宋" w:cs="仿宋"/>
          <w:sz w:val="24"/>
          <w:szCs w:val="24"/>
        </w:rPr>
        <w:t>供应商名称（加盖公章）：</w:t>
      </w:r>
    </w:p>
    <w:p>
      <w:pPr>
        <w:tabs>
          <w:tab w:val="left" w:pos="142"/>
        </w:tabs>
        <w:rPr>
          <w:rFonts w:hint="eastAsia" w:ascii="仿宋" w:hAnsi="仿宋" w:eastAsia="仿宋" w:cs="仿宋"/>
          <w:sz w:val="24"/>
          <w:szCs w:val="24"/>
        </w:rPr>
      </w:pPr>
      <w:r>
        <w:rPr>
          <w:rFonts w:hint="eastAsia" w:ascii="仿宋" w:hAnsi="仿宋" w:eastAsia="仿宋" w:cs="仿宋"/>
          <w:sz w:val="24"/>
          <w:szCs w:val="24"/>
        </w:rPr>
        <w:t>法定代表人（授权代表）签章：</w:t>
      </w:r>
    </w:p>
    <w:p>
      <w:pPr>
        <w:tabs>
          <w:tab w:val="left" w:pos="142"/>
        </w:tabs>
        <w:rPr>
          <w:rFonts w:hint="eastAsia" w:ascii="仿宋" w:hAnsi="仿宋" w:eastAsia="仿宋" w:cs="仿宋"/>
          <w:sz w:val="24"/>
          <w:szCs w:val="24"/>
        </w:rPr>
      </w:pPr>
      <w:r>
        <w:rPr>
          <w:rFonts w:hint="eastAsia" w:ascii="仿宋" w:hAnsi="仿宋" w:eastAsia="仿宋" w:cs="仿宋"/>
          <w:sz w:val="24"/>
          <w:szCs w:val="24"/>
        </w:rPr>
        <w:t>日期：</w:t>
      </w:r>
    </w:p>
    <w:p>
      <w:pPr>
        <w:spacing w:after="0" w:line="360" w:lineRule="auto"/>
        <w:rPr>
          <w:rFonts w:hint="eastAsia" w:ascii="仿宋" w:hAnsi="仿宋" w:eastAsia="仿宋" w:cs="仿宋"/>
          <w:sz w:val="21"/>
          <w:szCs w:val="21"/>
        </w:rPr>
      </w:pPr>
    </w:p>
    <w:p>
      <w:pPr>
        <w:spacing w:after="0" w:line="360" w:lineRule="auto"/>
        <w:rPr>
          <w:rFonts w:hint="eastAsia" w:ascii="仿宋" w:hAnsi="仿宋" w:eastAsia="仿宋" w:cs="仿宋"/>
          <w:b/>
          <w:bCs/>
          <w:sz w:val="21"/>
          <w:szCs w:val="21"/>
        </w:rPr>
      </w:pPr>
      <w:r>
        <w:rPr>
          <w:rFonts w:hint="eastAsia" w:ascii="仿宋" w:hAnsi="仿宋" w:eastAsia="仿宋" w:cs="仿宋"/>
          <w:b/>
          <w:bCs/>
          <w:sz w:val="21"/>
          <w:szCs w:val="21"/>
        </w:rPr>
        <w:t>填写说明：</w:t>
      </w:r>
    </w:p>
    <w:p>
      <w:pPr>
        <w:spacing w:after="0"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1 \* GB3</w:instrText>
      </w:r>
      <w:r>
        <w:rPr>
          <w:rFonts w:hint="eastAsia" w:ascii="仿宋" w:hAnsi="仿宋" w:eastAsia="仿宋" w:cs="仿宋"/>
          <w:sz w:val="21"/>
          <w:szCs w:val="21"/>
        </w:rPr>
        <w:fldChar w:fldCharType="separate"/>
      </w:r>
      <w:r>
        <w:rPr>
          <w:rFonts w:hint="eastAsia" w:ascii="仿宋" w:hAnsi="仿宋" w:eastAsia="仿宋" w:cs="仿宋"/>
          <w:sz w:val="21"/>
          <w:szCs w:val="21"/>
        </w:rPr>
        <w:t>①</w:t>
      </w:r>
      <w:r>
        <w:rPr>
          <w:rFonts w:hint="eastAsia" w:ascii="仿宋" w:hAnsi="仿宋" w:eastAsia="仿宋" w:cs="仿宋"/>
          <w:sz w:val="21"/>
          <w:szCs w:val="21"/>
        </w:rPr>
        <w:fldChar w:fldCharType="end"/>
      </w:r>
      <w:r>
        <w:rPr>
          <w:rFonts w:hint="eastAsia" w:ascii="仿宋" w:hAnsi="仿宋" w:eastAsia="仿宋" w:cs="仿宋"/>
          <w:sz w:val="21"/>
          <w:szCs w:val="21"/>
        </w:rPr>
        <w:t>此表为表样，行数可自行添加，但表式不变。</w:t>
      </w:r>
    </w:p>
    <w:p>
      <w:pPr>
        <w:spacing w:after="0"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2 \* GB3</w:instrText>
      </w:r>
      <w:r>
        <w:rPr>
          <w:rFonts w:hint="eastAsia" w:ascii="仿宋" w:hAnsi="仿宋" w:eastAsia="仿宋" w:cs="仿宋"/>
          <w:sz w:val="21"/>
          <w:szCs w:val="21"/>
        </w:rPr>
        <w:fldChar w:fldCharType="separate"/>
      </w:r>
      <w:r>
        <w:rPr>
          <w:rFonts w:hint="eastAsia" w:ascii="仿宋" w:hAnsi="仿宋" w:eastAsia="仿宋" w:cs="仿宋"/>
          <w:sz w:val="21"/>
          <w:szCs w:val="21"/>
        </w:rPr>
        <w:t>②</w:t>
      </w:r>
      <w:r>
        <w:rPr>
          <w:rFonts w:hint="eastAsia" w:ascii="仿宋" w:hAnsi="仿宋" w:eastAsia="仿宋" w:cs="仿宋"/>
          <w:sz w:val="21"/>
          <w:szCs w:val="21"/>
        </w:rPr>
        <w:fldChar w:fldCharType="end"/>
      </w:r>
      <w:r>
        <w:rPr>
          <w:rFonts w:hint="eastAsia" w:ascii="仿宋" w:hAnsi="仿宋" w:eastAsia="仿宋" w:cs="仿宋"/>
          <w:sz w:val="21"/>
          <w:szCs w:val="21"/>
        </w:rPr>
        <w:t>供应商根据系统方案添加的设备、材料等也请列出。</w:t>
      </w:r>
    </w:p>
    <w:p>
      <w:pPr>
        <w:spacing w:after="0" w:line="360" w:lineRule="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3 \* GB3</w:instrText>
      </w:r>
      <w:r>
        <w:rPr>
          <w:rFonts w:hint="eastAsia" w:ascii="仿宋" w:hAnsi="仿宋" w:eastAsia="仿宋" w:cs="仿宋"/>
          <w:sz w:val="21"/>
          <w:szCs w:val="21"/>
        </w:rPr>
        <w:fldChar w:fldCharType="separate"/>
      </w:r>
      <w:r>
        <w:rPr>
          <w:rFonts w:hint="eastAsia" w:ascii="仿宋" w:hAnsi="仿宋" w:eastAsia="仿宋" w:cs="仿宋"/>
          <w:sz w:val="21"/>
          <w:szCs w:val="21"/>
        </w:rPr>
        <w:t>③</w:t>
      </w:r>
      <w:r>
        <w:rPr>
          <w:rFonts w:hint="eastAsia" w:ascii="仿宋" w:hAnsi="仿宋" w:eastAsia="仿宋" w:cs="仿宋"/>
          <w:sz w:val="21"/>
          <w:szCs w:val="21"/>
        </w:rPr>
        <w:fldChar w:fldCharType="end"/>
      </w:r>
      <w:r>
        <w:rPr>
          <w:rFonts w:hint="eastAsia" w:ascii="仿宋" w:hAnsi="仿宋" w:eastAsia="仿宋" w:cs="仿宋"/>
          <w:sz w:val="21"/>
          <w:szCs w:val="21"/>
        </w:rPr>
        <w:t>是否偏离用符号“+、-”分别表示正偏离、负偏离。</w:t>
      </w:r>
    </w:p>
    <w:p>
      <w:pPr>
        <w:pStyle w:val="29"/>
        <w:numPr>
          <w:ilvl w:val="0"/>
          <w:numId w:val="0"/>
        </w:numPr>
        <w:jc w:val="center"/>
        <w:outlineLvl w:val="0"/>
        <w:rPr>
          <w:rStyle w:val="34"/>
          <w:rFonts w:hint="eastAsia" w:ascii="仿宋" w:hAnsi="仿宋" w:eastAsia="仿宋" w:cs="仿宋"/>
          <w:b/>
          <w:bCs/>
        </w:rPr>
      </w:pPr>
      <w:bookmarkStart w:id="278" w:name="_Toc12901"/>
      <w:bookmarkStart w:id="279" w:name="_Toc21425"/>
      <w:r>
        <w:rPr>
          <w:rFonts w:hint="eastAsia" w:ascii="仿宋" w:hAnsi="仿宋" w:eastAsia="仿宋" w:cs="仿宋"/>
        </w:rPr>
        <w:br w:type="page"/>
      </w:r>
      <w:bookmarkEnd w:id="268"/>
      <w:bookmarkEnd w:id="269"/>
      <w:bookmarkEnd w:id="270"/>
      <w:bookmarkEnd w:id="271"/>
      <w:bookmarkEnd w:id="272"/>
      <w:bookmarkEnd w:id="278"/>
      <w:bookmarkEnd w:id="279"/>
      <w:bookmarkStart w:id="280" w:name="_Toc18307"/>
      <w:bookmarkStart w:id="281" w:name="_Toc14697"/>
      <w:bookmarkStart w:id="282" w:name="_Toc2495"/>
      <w:bookmarkStart w:id="283" w:name="_Toc23648"/>
      <w:bookmarkStart w:id="284" w:name="_Toc5273"/>
      <w:bookmarkStart w:id="285" w:name="_Toc8377"/>
      <w:bookmarkStart w:id="286" w:name="_Toc4528"/>
      <w:bookmarkStart w:id="287" w:name="_Toc11190"/>
      <w:r>
        <w:rPr>
          <w:rFonts w:hint="eastAsia" w:ascii="仿宋" w:hAnsi="仿宋" w:eastAsia="仿宋" w:cs="仿宋"/>
          <w:sz w:val="36"/>
          <w:szCs w:val="36"/>
        </w:rPr>
        <w:t>五</w:t>
      </w:r>
      <w:r>
        <w:rPr>
          <w:rFonts w:hint="eastAsia" w:ascii="仿宋" w:hAnsi="仿宋" w:eastAsia="仿宋" w:cs="仿宋"/>
          <w:color w:val="000000"/>
          <w:sz w:val="36"/>
          <w:szCs w:val="36"/>
        </w:rPr>
        <w:t>、</w:t>
      </w:r>
      <w:bookmarkEnd w:id="280"/>
      <w:bookmarkEnd w:id="281"/>
      <w:bookmarkEnd w:id="282"/>
      <w:bookmarkEnd w:id="283"/>
      <w:bookmarkEnd w:id="284"/>
      <w:r>
        <w:rPr>
          <w:rFonts w:hint="eastAsia" w:ascii="仿宋" w:hAnsi="仿宋" w:eastAsia="仿宋" w:cs="仿宋"/>
          <w:color w:val="000000"/>
          <w:sz w:val="36"/>
          <w:szCs w:val="36"/>
        </w:rPr>
        <w:t>技术条款偏离表</w:t>
      </w:r>
      <w:bookmarkEnd w:id="285"/>
      <w:bookmarkEnd w:id="286"/>
      <w:bookmarkEnd w:id="287"/>
    </w:p>
    <w:tbl>
      <w:tblPr>
        <w:tblStyle w:val="21"/>
        <w:tblW w:w="9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268"/>
        <w:gridCol w:w="2551"/>
        <w:gridCol w:w="1985"/>
        <w:gridCol w:w="2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r>
              <w:rPr>
                <w:rFonts w:hint="eastAsia" w:ascii="仿宋" w:hAnsi="仿宋" w:eastAsia="仿宋" w:cs="仿宋"/>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440" w:firstLineChars="200"/>
              <w:textAlignment w:val="center"/>
              <w:rPr>
                <w:rFonts w:hint="eastAsia" w:ascii="仿宋" w:hAnsi="仿宋" w:eastAsia="仿宋" w:cs="仿宋"/>
              </w:rPr>
            </w:pPr>
            <w:r>
              <w:rPr>
                <w:rFonts w:hint="eastAsia" w:ascii="仿宋" w:hAnsi="仿宋" w:eastAsia="仿宋" w:cs="仿宋"/>
              </w:rPr>
              <w:t>服务需求条目</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招标文件中的</w:t>
            </w:r>
          </w:p>
          <w:p>
            <w:pPr>
              <w:jc w:val="center"/>
              <w:textAlignment w:val="center"/>
              <w:rPr>
                <w:rFonts w:hint="eastAsia" w:ascii="仿宋" w:hAnsi="仿宋" w:eastAsia="仿宋" w:cs="仿宋"/>
              </w:rPr>
            </w:pPr>
            <w:r>
              <w:rPr>
                <w:rFonts w:hint="eastAsia" w:ascii="仿宋" w:hAnsi="仿宋" w:eastAsia="仿宋" w:cs="仿宋"/>
              </w:rPr>
              <w:t>技术要求</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投标供应商</w:t>
            </w:r>
          </w:p>
          <w:p>
            <w:pPr>
              <w:jc w:val="center"/>
              <w:textAlignment w:val="center"/>
              <w:rPr>
                <w:rFonts w:hint="eastAsia" w:ascii="仿宋" w:hAnsi="仿宋" w:eastAsia="仿宋" w:cs="仿宋"/>
              </w:rPr>
            </w:pPr>
            <w:r>
              <w:rPr>
                <w:rFonts w:hint="eastAsia" w:ascii="仿宋" w:hAnsi="仿宋" w:eastAsia="仿宋" w:cs="仿宋"/>
              </w:rPr>
              <w:t>的承诺或说明</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sz w:val="24"/>
                <w:szCs w:val="24"/>
              </w:rPr>
            </w:pPr>
            <w:r>
              <w:rPr>
                <w:rFonts w:hint="eastAsia" w:ascii="仿宋" w:hAnsi="仿宋" w:eastAsia="仿宋" w:cs="仿宋"/>
                <w:sz w:val="24"/>
                <w:szCs w:val="24"/>
              </w:rPr>
              <w:t>偏离情况</w:t>
            </w:r>
          </w:p>
          <w:p>
            <w:pPr>
              <w:jc w:val="center"/>
              <w:textAlignment w:val="center"/>
              <w:rPr>
                <w:rFonts w:hint="eastAsia" w:ascii="仿宋" w:hAnsi="仿宋" w:eastAsia="仿宋" w:cs="仿宋"/>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1</w:t>
            </w:r>
          </w:p>
        </w:tc>
        <w:tc>
          <w:tcPr>
            <w:tcW w:w="226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2</w:t>
            </w:r>
          </w:p>
        </w:tc>
        <w:tc>
          <w:tcPr>
            <w:tcW w:w="226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3</w:t>
            </w:r>
          </w:p>
        </w:tc>
        <w:tc>
          <w:tcPr>
            <w:tcW w:w="226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4</w:t>
            </w:r>
          </w:p>
        </w:tc>
        <w:tc>
          <w:tcPr>
            <w:tcW w:w="226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5</w:t>
            </w:r>
          </w:p>
        </w:tc>
        <w:tc>
          <w:tcPr>
            <w:tcW w:w="226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r>
              <w:rPr>
                <w:rFonts w:hint="eastAsia" w:ascii="仿宋" w:hAnsi="仿宋" w:eastAsia="仿宋" w:cs="仿宋"/>
              </w:rPr>
              <w:t>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 w:hAnsi="仿宋" w:eastAsia="仿宋" w:cs="仿宋"/>
              </w:rPr>
            </w:pPr>
          </w:p>
        </w:tc>
        <w:tc>
          <w:tcPr>
            <w:tcW w:w="255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after="0"/>
              <w:jc w:val="center"/>
              <w:textAlignment w:val="center"/>
              <w:rPr>
                <w:rFonts w:hint="eastAsia" w:ascii="仿宋" w:hAnsi="仿宋" w:eastAsia="仿宋" w:cs="仿宋"/>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after="0"/>
              <w:jc w:val="center"/>
              <w:textAlignment w:val="center"/>
              <w:rPr>
                <w:rFonts w:hint="eastAsia" w:ascii="仿宋" w:hAnsi="仿宋" w:eastAsia="仿宋" w:cs="仿宋"/>
              </w:rPr>
            </w:pPr>
            <w:r>
              <w:rPr>
                <w:rFonts w:hint="eastAsia" w:ascii="仿宋" w:hAnsi="仿宋" w:eastAsia="仿宋" w:cs="仿宋"/>
              </w:rPr>
              <w:t>（本表可根据需要</w:t>
            </w:r>
          </w:p>
          <w:p>
            <w:pPr>
              <w:spacing w:after="0"/>
              <w:jc w:val="center"/>
              <w:textAlignment w:val="center"/>
              <w:rPr>
                <w:rFonts w:hint="eastAsia" w:ascii="仿宋" w:hAnsi="仿宋" w:eastAsia="仿宋" w:cs="仿宋"/>
              </w:rPr>
            </w:pPr>
            <w:r>
              <w:rPr>
                <w:rFonts w:hint="eastAsia" w:ascii="仿宋" w:hAnsi="仿宋" w:eastAsia="仿宋" w:cs="仿宋"/>
              </w:rPr>
              <w:t>自行添加行）</w:t>
            </w:r>
          </w:p>
        </w:tc>
        <w:tc>
          <w:tcPr>
            <w:tcW w:w="2551" w:type="dxa"/>
            <w:tcBorders>
              <w:top w:val="single" w:color="auto" w:sz="4" w:space="0"/>
              <w:left w:val="single" w:color="auto" w:sz="4" w:space="0"/>
              <w:bottom w:val="single" w:color="auto" w:sz="4" w:space="0"/>
              <w:right w:val="single" w:color="auto" w:sz="4" w:space="0"/>
            </w:tcBorders>
            <w:vAlign w:val="center"/>
          </w:tcPr>
          <w:p>
            <w:pPr>
              <w:spacing w:after="0"/>
              <w:textAlignment w:val="center"/>
              <w:rPr>
                <w:rFonts w:hint="eastAsia" w:ascii="仿宋" w:hAnsi="仿宋" w:eastAsia="仿宋" w:cs="仿宋"/>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after="0"/>
              <w:textAlignment w:val="center"/>
              <w:rPr>
                <w:rFonts w:hint="eastAsia" w:ascii="仿宋" w:hAnsi="仿宋" w:eastAsia="仿宋" w:cs="仿宋"/>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after="0"/>
              <w:textAlignment w:val="center"/>
              <w:rPr>
                <w:rFonts w:hint="eastAsia" w:ascii="仿宋" w:hAnsi="仿宋" w:eastAsia="仿宋" w:cs="仿宋"/>
              </w:rPr>
            </w:pPr>
          </w:p>
        </w:tc>
      </w:tr>
    </w:tbl>
    <w:p>
      <w:pPr>
        <w:tabs>
          <w:tab w:val="left" w:pos="142"/>
        </w:tabs>
        <w:spacing w:line="500" w:lineRule="exact"/>
        <w:ind w:firstLine="480" w:firstLineChars="200"/>
        <w:rPr>
          <w:rFonts w:hint="eastAsia" w:ascii="仿宋" w:hAnsi="仿宋" w:eastAsia="仿宋" w:cs="仿宋"/>
          <w:sz w:val="24"/>
          <w:szCs w:val="24"/>
        </w:rPr>
      </w:pPr>
    </w:p>
    <w:p>
      <w:pPr>
        <w:tabs>
          <w:tab w:val="left" w:pos="142"/>
        </w:tabs>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投标供应商名称（加盖公章）：</w:t>
      </w:r>
    </w:p>
    <w:p>
      <w:pPr>
        <w:tabs>
          <w:tab w:val="left" w:pos="142"/>
        </w:tabs>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法定代表人（授权代表）签章：</w:t>
      </w:r>
    </w:p>
    <w:p>
      <w:pPr>
        <w:tabs>
          <w:tab w:val="left" w:pos="142"/>
        </w:tabs>
        <w:spacing w:after="0"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p>
    <w:p>
      <w:pPr>
        <w:tabs>
          <w:tab w:val="left" w:pos="142"/>
        </w:tabs>
        <w:spacing w:line="500" w:lineRule="exact"/>
        <w:ind w:firstLine="480" w:firstLineChars="200"/>
        <w:rPr>
          <w:rFonts w:hint="eastAsia" w:ascii="仿宋" w:hAnsi="仿宋" w:eastAsia="仿宋" w:cs="仿宋"/>
          <w:sz w:val="24"/>
          <w:szCs w:val="24"/>
        </w:rPr>
      </w:pPr>
    </w:p>
    <w:p>
      <w:pPr>
        <w:pStyle w:val="25"/>
        <w:rPr>
          <w:rFonts w:hint="eastAsia" w:ascii="仿宋" w:hAnsi="仿宋" w:eastAsia="仿宋" w:cs="仿宋"/>
          <w:b/>
          <w:bCs/>
        </w:rPr>
      </w:pPr>
    </w:p>
    <w:p>
      <w:pPr>
        <w:spacing w:after="0" w:line="360" w:lineRule="auto"/>
        <w:rPr>
          <w:rFonts w:hint="eastAsia" w:ascii="仿宋" w:hAnsi="仿宋" w:eastAsia="仿宋" w:cs="仿宋"/>
          <w:b/>
          <w:bCs/>
          <w:sz w:val="21"/>
          <w:szCs w:val="21"/>
        </w:rPr>
      </w:pPr>
      <w:r>
        <w:rPr>
          <w:rFonts w:hint="eastAsia" w:ascii="仿宋" w:hAnsi="仿宋" w:eastAsia="仿宋" w:cs="仿宋"/>
          <w:b/>
          <w:bCs/>
          <w:sz w:val="21"/>
          <w:szCs w:val="21"/>
        </w:rPr>
        <w:t>填写说明：</w:t>
      </w:r>
    </w:p>
    <w:p>
      <w:pPr>
        <w:spacing w:after="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1、投标人应按照技术参数要求逐一说明响应，直接拷贝招标文件技术参数要求的按照无效处理；</w:t>
      </w:r>
    </w:p>
    <w:p>
      <w:pPr>
        <w:spacing w:after="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2、投标人承诺：除上表中的偏差外，完全响应招标文件的其他条款。</w:t>
      </w:r>
    </w:p>
    <w:p>
      <w:pPr>
        <w:spacing w:after="0" w:line="360" w:lineRule="auto"/>
        <w:ind w:firstLine="420" w:firstLineChars="200"/>
        <w:rPr>
          <w:rFonts w:hint="eastAsia" w:ascii="仿宋" w:hAnsi="仿宋" w:eastAsia="仿宋" w:cs="仿宋"/>
          <w:sz w:val="21"/>
          <w:szCs w:val="21"/>
        </w:rPr>
        <w:sectPr>
          <w:headerReference r:id="rId10" w:type="default"/>
          <w:footerReference r:id="rId11" w:type="default"/>
          <w:pgSz w:w="11906" w:h="16838"/>
          <w:pgMar w:top="1440" w:right="1080" w:bottom="1440" w:left="1080" w:header="851" w:footer="992" w:gutter="0"/>
          <w:pgNumType w:fmt="decimal"/>
          <w:cols w:space="720" w:num="1"/>
          <w:docGrid w:type="linesAndChars" w:linePitch="312" w:charSpace="0"/>
        </w:sectPr>
      </w:pPr>
      <w:r>
        <w:rPr>
          <w:rFonts w:hint="eastAsia" w:ascii="仿宋" w:hAnsi="仿宋" w:eastAsia="仿宋" w:cs="仿宋"/>
          <w:sz w:val="21"/>
          <w:szCs w:val="21"/>
        </w:rPr>
        <w:t>3、如果行数不够，请自行添加。</w:t>
      </w:r>
    </w:p>
    <w:p>
      <w:pPr>
        <w:pStyle w:val="29"/>
        <w:numPr>
          <w:ilvl w:val="0"/>
          <w:numId w:val="0"/>
        </w:numPr>
        <w:jc w:val="center"/>
        <w:outlineLvl w:val="0"/>
        <w:rPr>
          <w:rFonts w:hint="eastAsia" w:ascii="仿宋" w:hAnsi="仿宋" w:eastAsia="仿宋" w:cs="仿宋"/>
          <w:sz w:val="36"/>
          <w:szCs w:val="36"/>
        </w:rPr>
      </w:pPr>
      <w:bookmarkStart w:id="288" w:name="_Toc23820"/>
      <w:bookmarkStart w:id="289" w:name="_Toc25170489"/>
      <w:bookmarkStart w:id="290" w:name="_Toc32475"/>
      <w:bookmarkStart w:id="291" w:name="_Toc14153"/>
      <w:bookmarkStart w:id="292" w:name="_Toc20755"/>
      <w:bookmarkStart w:id="293" w:name="_Toc10654"/>
      <w:bookmarkStart w:id="294" w:name="_Toc6890"/>
      <w:bookmarkStart w:id="295" w:name="_Toc12564"/>
      <w:bookmarkStart w:id="296" w:name="_Toc31339"/>
      <w:bookmarkStart w:id="297" w:name="_Toc29511"/>
      <w:bookmarkStart w:id="298" w:name="_Toc19392"/>
      <w:bookmarkStart w:id="299" w:name="_Toc17968"/>
      <w:r>
        <w:rPr>
          <w:rFonts w:hint="eastAsia" w:ascii="仿宋" w:hAnsi="仿宋" w:eastAsia="仿宋" w:cs="仿宋"/>
          <w:sz w:val="36"/>
          <w:szCs w:val="36"/>
        </w:rPr>
        <w:t>六、服务承诺及具体措施、配套服务方案</w:t>
      </w:r>
      <w:bookmarkStart w:id="300" w:name="_Toc459319325"/>
      <w:r>
        <w:rPr>
          <w:rFonts w:hint="eastAsia" w:ascii="仿宋" w:hAnsi="仿宋" w:eastAsia="仿宋" w:cs="仿宋"/>
          <w:sz w:val="36"/>
          <w:szCs w:val="36"/>
        </w:rPr>
        <w:t>及措施、实施方案</w:t>
      </w:r>
      <w:bookmarkEnd w:id="300"/>
      <w:r>
        <w:rPr>
          <w:rFonts w:hint="eastAsia" w:ascii="仿宋" w:hAnsi="仿宋" w:eastAsia="仿宋" w:cs="仿宋"/>
          <w:sz w:val="36"/>
          <w:szCs w:val="36"/>
        </w:rPr>
        <w:t>、质量保证措施</w:t>
      </w:r>
      <w:bookmarkEnd w:id="288"/>
      <w:bookmarkEnd w:id="289"/>
      <w:bookmarkEnd w:id="290"/>
      <w:bookmarkEnd w:id="291"/>
      <w:bookmarkEnd w:id="292"/>
      <w:bookmarkEnd w:id="293"/>
      <w:bookmarkEnd w:id="294"/>
      <w:bookmarkEnd w:id="295"/>
    </w:p>
    <w:p>
      <w:pPr>
        <w:spacing w:after="0" w:line="360" w:lineRule="auto"/>
        <w:rPr>
          <w:rFonts w:hint="eastAsia" w:ascii="仿宋" w:hAnsi="仿宋" w:eastAsia="仿宋" w:cs="仿宋"/>
          <w:color w:val="000000"/>
        </w:rPr>
      </w:pPr>
    </w:p>
    <w:p>
      <w:pPr>
        <w:pStyle w:val="20"/>
        <w:rPr>
          <w:rFonts w:hint="eastAsia" w:ascii="仿宋" w:hAnsi="仿宋" w:eastAsia="仿宋" w:cs="仿宋"/>
        </w:rPr>
      </w:pPr>
    </w:p>
    <w:p>
      <w:pPr>
        <w:spacing w:after="0" w:line="360" w:lineRule="auto"/>
        <w:rPr>
          <w:rFonts w:hint="eastAsia" w:ascii="仿宋" w:hAnsi="仿宋" w:eastAsia="仿宋" w:cs="仿宋"/>
          <w:color w:val="000000"/>
        </w:rPr>
      </w:pPr>
      <w:r>
        <w:rPr>
          <w:rFonts w:hint="eastAsia" w:ascii="仿宋" w:hAnsi="仿宋" w:eastAsia="仿宋" w:cs="仿宋"/>
          <w:color w:val="000000"/>
        </w:rPr>
        <w:t>本项应包含且不限于下列内容：</w:t>
      </w:r>
    </w:p>
    <w:p>
      <w:pPr>
        <w:spacing w:after="0" w:line="360" w:lineRule="auto"/>
        <w:rPr>
          <w:rFonts w:hint="eastAsia" w:ascii="仿宋" w:hAnsi="仿宋" w:eastAsia="仿宋" w:cs="仿宋"/>
          <w:color w:val="000000"/>
        </w:rPr>
      </w:pPr>
      <w:r>
        <w:rPr>
          <w:rFonts w:hint="eastAsia" w:ascii="仿宋" w:hAnsi="仿宋" w:eastAsia="仿宋" w:cs="仿宋"/>
          <w:color w:val="000000"/>
        </w:rPr>
        <w:t>服务总体实施方案、项目实施进度、人员安排、质量保证措施等。</w:t>
      </w:r>
    </w:p>
    <w:p>
      <w:pPr>
        <w:spacing w:after="0" w:line="360" w:lineRule="auto"/>
        <w:rPr>
          <w:rFonts w:hint="eastAsia" w:ascii="仿宋" w:hAnsi="仿宋" w:eastAsia="仿宋" w:cs="仿宋"/>
          <w:color w:val="000000"/>
        </w:rPr>
      </w:pPr>
      <w:r>
        <w:rPr>
          <w:rFonts w:hint="eastAsia" w:ascii="仿宋" w:hAnsi="仿宋" w:eastAsia="仿宋" w:cs="仿宋"/>
          <w:color w:val="000000"/>
        </w:rPr>
        <w:t xml:space="preserve"> </w:t>
      </w:r>
    </w:p>
    <w:p>
      <w:pPr>
        <w:pStyle w:val="20"/>
        <w:rPr>
          <w:rFonts w:hint="eastAsia" w:ascii="仿宋" w:hAnsi="仿宋" w:eastAsia="仿宋" w:cs="仿宋"/>
          <w:color w:val="000000"/>
        </w:rPr>
      </w:pPr>
    </w:p>
    <w:p>
      <w:pPr>
        <w:rPr>
          <w:rFonts w:hint="eastAsia" w:ascii="仿宋" w:hAnsi="仿宋" w:eastAsia="仿宋" w:cs="仿宋"/>
        </w:rPr>
      </w:pPr>
    </w:p>
    <w:p>
      <w:pPr>
        <w:spacing w:after="0" w:line="360" w:lineRule="auto"/>
        <w:rPr>
          <w:rFonts w:hint="eastAsia" w:ascii="仿宋" w:hAnsi="仿宋" w:eastAsia="仿宋" w:cs="仿宋"/>
          <w:color w:val="000000"/>
        </w:rPr>
      </w:pPr>
    </w:p>
    <w:p>
      <w:pPr>
        <w:spacing w:after="0" w:line="360" w:lineRule="auto"/>
        <w:rPr>
          <w:rFonts w:hint="eastAsia" w:ascii="仿宋" w:hAnsi="仿宋" w:eastAsia="仿宋" w:cs="仿宋"/>
          <w:color w:val="000000"/>
        </w:rPr>
      </w:pPr>
      <w:r>
        <w:rPr>
          <w:rFonts w:hint="eastAsia" w:ascii="仿宋" w:hAnsi="仿宋" w:eastAsia="仿宋" w:cs="仿宋"/>
          <w:color w:val="000000"/>
        </w:rPr>
        <w:t>供应商名称（加盖公章）：</w:t>
      </w:r>
    </w:p>
    <w:p>
      <w:pPr>
        <w:spacing w:after="0" w:line="360" w:lineRule="auto"/>
        <w:rPr>
          <w:rFonts w:hint="eastAsia" w:ascii="仿宋" w:hAnsi="仿宋" w:eastAsia="仿宋" w:cs="仿宋"/>
          <w:color w:val="000000"/>
        </w:rPr>
      </w:pPr>
      <w:r>
        <w:rPr>
          <w:rFonts w:hint="eastAsia" w:ascii="仿宋" w:hAnsi="仿宋" w:eastAsia="仿宋" w:cs="仿宋"/>
          <w:color w:val="000000"/>
        </w:rPr>
        <w:t>法定代表人（授权代表）签章：</w:t>
      </w:r>
    </w:p>
    <w:p>
      <w:pPr>
        <w:spacing w:after="0" w:line="360" w:lineRule="auto"/>
        <w:rPr>
          <w:rFonts w:hint="eastAsia" w:ascii="仿宋" w:hAnsi="仿宋" w:eastAsia="仿宋" w:cs="仿宋"/>
          <w:color w:val="000000"/>
        </w:rPr>
      </w:pPr>
      <w:r>
        <w:rPr>
          <w:rFonts w:hint="eastAsia" w:ascii="仿宋" w:hAnsi="仿宋" w:eastAsia="仿宋" w:cs="仿宋"/>
          <w:color w:val="000000"/>
        </w:rPr>
        <w:t>日期：</w:t>
      </w:r>
    </w:p>
    <w:p>
      <w:pPr>
        <w:spacing w:after="0" w:line="360" w:lineRule="auto"/>
        <w:rPr>
          <w:rFonts w:hint="eastAsia" w:ascii="仿宋" w:hAnsi="仿宋" w:eastAsia="仿宋" w:cs="仿宋"/>
          <w:color w:val="000000"/>
        </w:rPr>
      </w:pPr>
      <w:r>
        <w:rPr>
          <w:rFonts w:hint="eastAsia" w:ascii="仿宋" w:hAnsi="仿宋" w:eastAsia="仿宋" w:cs="仿宋"/>
          <w:color w:val="000000"/>
        </w:rPr>
        <w:br w:type="page"/>
      </w:r>
    </w:p>
    <w:bookmarkEnd w:id="296"/>
    <w:bookmarkEnd w:id="297"/>
    <w:bookmarkEnd w:id="298"/>
    <w:bookmarkEnd w:id="299"/>
    <w:p>
      <w:pPr>
        <w:pStyle w:val="29"/>
        <w:numPr>
          <w:ilvl w:val="0"/>
          <w:numId w:val="0"/>
        </w:numPr>
        <w:jc w:val="center"/>
        <w:outlineLvl w:val="0"/>
        <w:rPr>
          <w:rFonts w:hint="eastAsia" w:ascii="仿宋" w:hAnsi="仿宋" w:eastAsia="仿宋" w:cs="仿宋"/>
          <w:sz w:val="36"/>
          <w:szCs w:val="36"/>
        </w:rPr>
      </w:pPr>
      <w:bookmarkStart w:id="301" w:name="_Toc25083"/>
      <w:bookmarkStart w:id="302" w:name="_Toc30062"/>
      <w:bookmarkStart w:id="303" w:name="_Toc30734"/>
      <w:bookmarkStart w:id="304" w:name="_Toc23581"/>
      <w:r>
        <w:rPr>
          <w:rFonts w:hint="eastAsia" w:ascii="仿宋" w:hAnsi="仿宋" w:eastAsia="仿宋" w:cs="仿宋"/>
          <w:sz w:val="36"/>
          <w:szCs w:val="36"/>
          <w:lang w:val="en-US" w:eastAsia="zh-CN"/>
        </w:rPr>
        <w:t>七、</w:t>
      </w:r>
      <w:r>
        <w:rPr>
          <w:rFonts w:hint="eastAsia" w:ascii="仿宋" w:hAnsi="仿宋" w:eastAsia="仿宋" w:cs="仿宋"/>
          <w:sz w:val="36"/>
          <w:szCs w:val="36"/>
        </w:rPr>
        <w:t>拟投入项目人员一览表</w:t>
      </w:r>
      <w:bookmarkEnd w:id="301"/>
      <w:bookmarkEnd w:id="302"/>
      <w:bookmarkEnd w:id="303"/>
      <w:bookmarkEnd w:id="304"/>
    </w:p>
    <w:tbl>
      <w:tblPr>
        <w:tblStyle w:val="21"/>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7"/>
        <w:gridCol w:w="2242"/>
        <w:gridCol w:w="1207"/>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35" w:type="dxa"/>
            <w:vAlign w:val="center"/>
          </w:tcPr>
          <w:p>
            <w:pPr>
              <w:autoSpaceDE w:val="0"/>
              <w:autoSpaceDN w:val="0"/>
              <w:spacing w:after="0" w:line="360" w:lineRule="auto"/>
              <w:ind w:right="-112" w:rightChars="-51"/>
              <w:rPr>
                <w:rFonts w:hint="eastAsia" w:ascii="仿宋" w:hAnsi="仿宋" w:eastAsia="仿宋" w:cs="仿宋"/>
                <w:b/>
                <w:bCs/>
                <w:sz w:val="24"/>
                <w:szCs w:val="24"/>
                <w:lang w:val="zh-CN"/>
              </w:rPr>
            </w:pPr>
            <w:r>
              <w:rPr>
                <w:rFonts w:hint="eastAsia" w:ascii="仿宋" w:hAnsi="仿宋" w:eastAsia="仿宋" w:cs="仿宋"/>
                <w:b/>
                <w:bCs/>
                <w:sz w:val="24"/>
                <w:szCs w:val="24"/>
                <w:lang w:val="zh-CN"/>
              </w:rPr>
              <w:t>序号</w:t>
            </w:r>
          </w:p>
        </w:tc>
        <w:tc>
          <w:tcPr>
            <w:tcW w:w="1307" w:type="dxa"/>
            <w:vAlign w:val="center"/>
          </w:tcPr>
          <w:p>
            <w:pPr>
              <w:autoSpaceDE w:val="0"/>
              <w:autoSpaceDN w:val="0"/>
              <w:spacing w:after="0" w:line="360" w:lineRule="auto"/>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姓名</w:t>
            </w:r>
          </w:p>
        </w:tc>
        <w:tc>
          <w:tcPr>
            <w:tcW w:w="2242" w:type="dxa"/>
            <w:vAlign w:val="center"/>
          </w:tcPr>
          <w:p>
            <w:pPr>
              <w:autoSpaceDE w:val="0"/>
              <w:autoSpaceDN w:val="0"/>
              <w:spacing w:after="0" w:line="360" w:lineRule="auto"/>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在本项目中担任的职务</w:t>
            </w:r>
          </w:p>
        </w:tc>
        <w:tc>
          <w:tcPr>
            <w:tcW w:w="1207" w:type="dxa"/>
            <w:vAlign w:val="center"/>
          </w:tcPr>
          <w:p>
            <w:pPr>
              <w:autoSpaceDE w:val="0"/>
              <w:autoSpaceDN w:val="0"/>
              <w:spacing w:after="0" w:line="360" w:lineRule="auto"/>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职称</w:t>
            </w:r>
          </w:p>
        </w:tc>
        <w:tc>
          <w:tcPr>
            <w:tcW w:w="3845" w:type="dxa"/>
            <w:vAlign w:val="center"/>
          </w:tcPr>
          <w:p>
            <w:pPr>
              <w:autoSpaceDE w:val="0"/>
              <w:autoSpaceDN w:val="0"/>
              <w:spacing w:after="0" w:line="360" w:lineRule="auto"/>
              <w:ind w:firstLine="420"/>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35" w:type="dxa"/>
            <w:vMerge w:val="restart"/>
            <w:vAlign w:val="center"/>
          </w:tcPr>
          <w:p>
            <w:pPr>
              <w:autoSpaceDE w:val="0"/>
              <w:autoSpaceDN w:val="0"/>
              <w:spacing w:after="0"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13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2242"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12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3845" w:type="dxa"/>
            <w:vAlign w:val="center"/>
          </w:tcPr>
          <w:p>
            <w:pPr>
              <w:autoSpaceDE w:val="0"/>
              <w:autoSpaceDN w:val="0"/>
              <w:spacing w:after="0" w:line="360" w:lineRule="auto"/>
              <w:ind w:firstLine="420"/>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35" w:type="dxa"/>
            <w:vMerge w:val="continue"/>
            <w:vAlign w:val="center"/>
          </w:tcPr>
          <w:p>
            <w:pPr>
              <w:autoSpaceDE w:val="0"/>
              <w:autoSpaceDN w:val="0"/>
              <w:spacing w:after="0" w:line="360" w:lineRule="auto"/>
              <w:ind w:firstLine="420"/>
              <w:jc w:val="center"/>
              <w:rPr>
                <w:rFonts w:hint="eastAsia" w:ascii="仿宋" w:hAnsi="仿宋" w:eastAsia="仿宋" w:cs="仿宋"/>
                <w:sz w:val="24"/>
                <w:szCs w:val="24"/>
                <w:lang w:val="zh-CN"/>
              </w:rPr>
            </w:pPr>
          </w:p>
        </w:tc>
        <w:tc>
          <w:tcPr>
            <w:tcW w:w="13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2242" w:type="dxa"/>
            <w:vAlign w:val="center"/>
          </w:tcPr>
          <w:p>
            <w:pPr>
              <w:autoSpaceDE w:val="0"/>
              <w:autoSpaceDN w:val="0"/>
              <w:spacing w:after="0" w:line="360" w:lineRule="auto"/>
              <w:ind w:firstLine="420"/>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2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3845" w:type="dxa"/>
            <w:vAlign w:val="center"/>
          </w:tcPr>
          <w:p>
            <w:pPr>
              <w:autoSpaceDE w:val="0"/>
              <w:autoSpaceDN w:val="0"/>
              <w:spacing w:after="0" w:line="360" w:lineRule="auto"/>
              <w:ind w:firstLine="420"/>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35" w:type="dxa"/>
            <w:vMerge w:val="restart"/>
            <w:vAlign w:val="center"/>
          </w:tcPr>
          <w:p>
            <w:pPr>
              <w:autoSpaceDE w:val="0"/>
              <w:autoSpaceDN w:val="0"/>
              <w:spacing w:after="0"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13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2242"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12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3845" w:type="dxa"/>
            <w:vAlign w:val="center"/>
          </w:tcPr>
          <w:p>
            <w:pPr>
              <w:autoSpaceDE w:val="0"/>
              <w:autoSpaceDN w:val="0"/>
              <w:spacing w:after="0" w:line="360" w:lineRule="auto"/>
              <w:ind w:firstLine="420"/>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35" w:type="dxa"/>
            <w:vMerge w:val="continue"/>
            <w:vAlign w:val="center"/>
          </w:tcPr>
          <w:p>
            <w:pPr>
              <w:autoSpaceDE w:val="0"/>
              <w:autoSpaceDN w:val="0"/>
              <w:spacing w:after="0" w:line="360" w:lineRule="auto"/>
              <w:ind w:firstLine="420"/>
              <w:jc w:val="center"/>
              <w:rPr>
                <w:rFonts w:hint="eastAsia" w:ascii="仿宋" w:hAnsi="仿宋" w:eastAsia="仿宋" w:cs="仿宋"/>
                <w:sz w:val="24"/>
                <w:szCs w:val="24"/>
                <w:lang w:val="zh-CN"/>
              </w:rPr>
            </w:pPr>
          </w:p>
        </w:tc>
        <w:tc>
          <w:tcPr>
            <w:tcW w:w="13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2242" w:type="dxa"/>
            <w:vAlign w:val="center"/>
          </w:tcPr>
          <w:p>
            <w:pPr>
              <w:autoSpaceDE w:val="0"/>
              <w:autoSpaceDN w:val="0"/>
              <w:spacing w:after="0" w:line="360" w:lineRule="auto"/>
              <w:ind w:firstLine="420"/>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2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3845" w:type="dxa"/>
            <w:vAlign w:val="center"/>
          </w:tcPr>
          <w:p>
            <w:pPr>
              <w:autoSpaceDE w:val="0"/>
              <w:autoSpaceDN w:val="0"/>
              <w:spacing w:after="0" w:line="360" w:lineRule="auto"/>
              <w:ind w:firstLine="420"/>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35" w:type="dxa"/>
            <w:vMerge w:val="restart"/>
            <w:vAlign w:val="center"/>
          </w:tcPr>
          <w:p>
            <w:pPr>
              <w:spacing w:after="0"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3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2242"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12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3845" w:type="dxa"/>
            <w:vAlign w:val="center"/>
          </w:tcPr>
          <w:p>
            <w:pPr>
              <w:autoSpaceDE w:val="0"/>
              <w:autoSpaceDN w:val="0"/>
              <w:spacing w:after="0" w:line="360" w:lineRule="auto"/>
              <w:ind w:firstLine="420"/>
              <w:rPr>
                <w:rFonts w:hint="eastAsia"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35" w:type="dxa"/>
            <w:vMerge w:val="continue"/>
            <w:vAlign w:val="center"/>
          </w:tcPr>
          <w:p>
            <w:pPr>
              <w:autoSpaceDE w:val="0"/>
              <w:autoSpaceDN w:val="0"/>
              <w:spacing w:after="0" w:line="360" w:lineRule="auto"/>
              <w:ind w:firstLine="420"/>
              <w:jc w:val="center"/>
              <w:rPr>
                <w:rFonts w:hint="eastAsia" w:ascii="仿宋" w:hAnsi="仿宋" w:eastAsia="仿宋" w:cs="仿宋"/>
                <w:sz w:val="24"/>
                <w:szCs w:val="24"/>
                <w:lang w:val="zh-CN"/>
              </w:rPr>
            </w:pPr>
          </w:p>
        </w:tc>
        <w:tc>
          <w:tcPr>
            <w:tcW w:w="13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2242" w:type="dxa"/>
            <w:vAlign w:val="center"/>
          </w:tcPr>
          <w:p>
            <w:pPr>
              <w:autoSpaceDE w:val="0"/>
              <w:autoSpaceDN w:val="0"/>
              <w:spacing w:after="0" w:line="360" w:lineRule="auto"/>
              <w:ind w:firstLine="420"/>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207" w:type="dxa"/>
            <w:vAlign w:val="center"/>
          </w:tcPr>
          <w:p>
            <w:pPr>
              <w:autoSpaceDE w:val="0"/>
              <w:autoSpaceDN w:val="0"/>
              <w:spacing w:after="0" w:line="360" w:lineRule="auto"/>
              <w:ind w:firstLine="420"/>
              <w:rPr>
                <w:rFonts w:hint="eastAsia" w:ascii="仿宋" w:hAnsi="仿宋" w:eastAsia="仿宋" w:cs="仿宋"/>
                <w:sz w:val="24"/>
                <w:szCs w:val="24"/>
                <w:lang w:val="zh-CN"/>
              </w:rPr>
            </w:pPr>
          </w:p>
        </w:tc>
        <w:tc>
          <w:tcPr>
            <w:tcW w:w="3845" w:type="dxa"/>
            <w:vAlign w:val="center"/>
          </w:tcPr>
          <w:p>
            <w:pPr>
              <w:autoSpaceDE w:val="0"/>
              <w:autoSpaceDN w:val="0"/>
              <w:spacing w:after="0" w:line="360" w:lineRule="auto"/>
              <w:ind w:firstLine="420"/>
              <w:rPr>
                <w:rFonts w:hint="eastAsia" w:ascii="仿宋" w:hAnsi="仿宋" w:eastAsia="仿宋" w:cs="仿宋"/>
                <w:sz w:val="24"/>
                <w:szCs w:val="24"/>
                <w:lang w:val="zh-CN"/>
              </w:rPr>
            </w:pPr>
          </w:p>
        </w:tc>
      </w:tr>
    </w:tbl>
    <w:p>
      <w:pPr>
        <w:spacing w:after="0" w:line="360" w:lineRule="auto"/>
        <w:rPr>
          <w:rFonts w:hint="eastAsia" w:ascii="仿宋" w:hAnsi="仿宋" w:eastAsia="仿宋" w:cs="仿宋"/>
        </w:rPr>
      </w:pPr>
    </w:p>
    <w:p>
      <w:pPr>
        <w:spacing w:after="0"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注：需提供公司为其缴纳社保的证明材料</w:t>
      </w:r>
    </w:p>
    <w:p>
      <w:pPr>
        <w:spacing w:after="0" w:line="360" w:lineRule="auto"/>
        <w:rPr>
          <w:rFonts w:hint="eastAsia" w:ascii="仿宋" w:hAnsi="仿宋" w:eastAsia="仿宋" w:cs="仿宋"/>
          <w:color w:val="000000"/>
          <w:sz w:val="24"/>
          <w:szCs w:val="24"/>
          <w:lang w:val="zh-CN"/>
        </w:rPr>
      </w:pPr>
    </w:p>
    <w:p>
      <w:pPr>
        <w:spacing w:after="0"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投标供应商全称（公章):</w:t>
      </w:r>
    </w:p>
    <w:p>
      <w:pPr>
        <w:spacing w:after="0"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法定代表人（授权代表）签章：      </w:t>
      </w:r>
    </w:p>
    <w:p>
      <w:pPr>
        <w:spacing w:after="0"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日期：</w:t>
      </w:r>
    </w:p>
    <w:p>
      <w:pPr>
        <w:pStyle w:val="29"/>
        <w:numPr>
          <w:ilvl w:val="0"/>
          <w:numId w:val="0"/>
        </w:numPr>
        <w:tabs>
          <w:tab w:val="clear" w:pos="720"/>
        </w:tabs>
        <w:spacing w:after="0" w:line="360" w:lineRule="auto"/>
        <w:jc w:val="center"/>
        <w:outlineLvl w:val="0"/>
        <w:rPr>
          <w:rFonts w:hint="eastAsia" w:ascii="仿宋" w:hAnsi="仿宋" w:eastAsia="仿宋" w:cs="仿宋"/>
          <w:color w:val="000000"/>
          <w:sz w:val="32"/>
          <w:szCs w:val="32"/>
        </w:rPr>
      </w:pPr>
      <w:r>
        <w:rPr>
          <w:rFonts w:hint="eastAsia" w:ascii="仿宋" w:hAnsi="仿宋" w:eastAsia="仿宋" w:cs="仿宋"/>
          <w:color w:val="000000"/>
        </w:rPr>
        <w:br w:type="page"/>
      </w:r>
      <w:bookmarkStart w:id="305" w:name="_Toc18603"/>
      <w:bookmarkStart w:id="306" w:name="_Toc8873"/>
      <w:bookmarkStart w:id="307" w:name="_Toc17303"/>
      <w:bookmarkStart w:id="308" w:name="_Toc6037"/>
      <w:r>
        <w:rPr>
          <w:rFonts w:hint="eastAsia" w:ascii="仿宋" w:hAnsi="仿宋" w:eastAsia="仿宋" w:cs="仿宋"/>
          <w:color w:val="000000"/>
          <w:sz w:val="36"/>
          <w:szCs w:val="36"/>
        </w:rPr>
        <w:t>八、相关附表格式</w:t>
      </w:r>
      <w:bookmarkEnd w:id="273"/>
      <w:bookmarkEnd w:id="274"/>
      <w:bookmarkEnd w:id="275"/>
      <w:bookmarkEnd w:id="276"/>
      <w:bookmarkEnd w:id="277"/>
      <w:bookmarkEnd w:id="305"/>
      <w:bookmarkEnd w:id="306"/>
      <w:bookmarkEnd w:id="307"/>
      <w:bookmarkEnd w:id="308"/>
    </w:p>
    <w:p>
      <w:pPr>
        <w:bidi w:val="0"/>
        <w:rPr>
          <w:rFonts w:hint="eastAsia" w:ascii="仿宋" w:hAnsi="仿宋" w:eastAsia="仿宋" w:cs="仿宋"/>
          <w:b/>
          <w:bCs/>
          <w:color w:val="000000"/>
          <w:sz w:val="24"/>
          <w:szCs w:val="32"/>
        </w:rPr>
      </w:pPr>
      <w:bookmarkStart w:id="309" w:name="_Toc23515"/>
      <w:bookmarkStart w:id="310" w:name="_Toc3424"/>
      <w:bookmarkStart w:id="311" w:name="_Toc30587"/>
      <w:bookmarkStart w:id="312" w:name="_Toc29750"/>
      <w:r>
        <w:rPr>
          <w:rFonts w:hint="eastAsia" w:ascii="仿宋" w:hAnsi="仿宋" w:eastAsia="仿宋" w:cs="仿宋"/>
          <w:b/>
          <w:bCs/>
          <w:sz w:val="24"/>
          <w:szCs w:val="24"/>
        </w:rPr>
        <w:t>附件1：法人授权委托书</w:t>
      </w:r>
      <w:bookmarkEnd w:id="309"/>
      <w:bookmarkEnd w:id="310"/>
      <w:bookmarkEnd w:id="311"/>
      <w:bookmarkEnd w:id="312"/>
    </w:p>
    <w:p>
      <w:pPr>
        <w:widowControl w:val="0"/>
        <w:adjustRightInd/>
        <w:snapToGrid/>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南京达琛鑫工程咨询有限公司：</w:t>
      </w:r>
    </w:p>
    <w:p>
      <w:pPr>
        <w:widowControl w:val="0"/>
        <w:adjustRightInd/>
        <w:snapToGrid/>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本授权书宣告：</w:t>
      </w:r>
    </w:p>
    <w:p>
      <w:pPr>
        <w:widowControl w:val="0"/>
        <w:adjustRightInd/>
        <w:snapToGrid/>
        <w:spacing w:after="0"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委托单位：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widowControl w:val="0"/>
        <w:adjustRightInd/>
        <w:snapToGrid/>
        <w:spacing w:after="0"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widowControl w:val="0"/>
        <w:adjustRightInd/>
        <w:snapToGrid/>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受托人：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出生日期：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widowControl w:val="0"/>
        <w:adjustRightInd/>
        <w:snapToGrid/>
        <w:spacing w:after="0"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所在单位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p>
    <w:p>
      <w:pPr>
        <w:widowControl w:val="0"/>
        <w:adjustRightInd/>
        <w:snapToGrid/>
        <w:spacing w:after="0"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身 份 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联系方式:</w:t>
      </w:r>
      <w:r>
        <w:rPr>
          <w:rFonts w:hint="eastAsia" w:ascii="仿宋" w:hAnsi="仿宋" w:eastAsia="仿宋" w:cs="仿宋"/>
          <w:color w:val="000000"/>
          <w:sz w:val="24"/>
          <w:szCs w:val="24"/>
          <w:u w:val="single"/>
        </w:rPr>
        <w:t xml:space="preserve">                            </w:t>
      </w:r>
    </w:p>
    <w:p>
      <w:pPr>
        <w:widowControl w:val="0"/>
        <w:adjustRightInd/>
        <w:snapToGrid/>
        <w:spacing w:after="0" w:line="360" w:lineRule="auto"/>
        <w:ind w:firstLine="480" w:firstLineChars="200"/>
        <w:rPr>
          <w:rFonts w:hint="eastAsia" w:ascii="仿宋" w:hAnsi="仿宋" w:eastAsia="仿宋" w:cs="仿宋"/>
          <w:color w:val="000000"/>
          <w:sz w:val="24"/>
          <w:szCs w:val="24"/>
        </w:rPr>
      </w:pPr>
    </w:p>
    <w:p>
      <w:pPr>
        <w:widowControl w:val="0"/>
        <w:adjustRightInd/>
        <w:snapToGrid/>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兹委托受托人合法地代表我单位参加南京达琛鑫工程咨询有限公司组织的（采购编号：</w:t>
      </w:r>
      <w:r>
        <w:rPr>
          <w:rFonts w:hint="eastAsia" w:ascii="仿宋" w:hAnsi="仿宋" w:eastAsia="仿宋" w:cs="仿宋"/>
          <w:color w:val="000000"/>
          <w:sz w:val="24"/>
          <w:szCs w:val="24"/>
          <w:lang w:eastAsia="zh-CN"/>
        </w:rPr>
        <w:t>NJDCX-202204131501</w:t>
      </w:r>
      <w:r>
        <w:rPr>
          <w:rFonts w:hint="eastAsia" w:ascii="仿宋" w:hAnsi="仿宋" w:eastAsia="仿宋" w:cs="仿宋"/>
          <w:color w:val="000000"/>
          <w:sz w:val="24"/>
          <w:szCs w:val="24"/>
        </w:rPr>
        <w:t>）项目名称：</w:t>
      </w:r>
      <w:r>
        <w:rPr>
          <w:rFonts w:hint="eastAsia" w:ascii="仿宋" w:hAnsi="仿宋" w:eastAsia="仿宋" w:cs="仿宋"/>
          <w:sz w:val="24"/>
          <w:szCs w:val="24"/>
          <w:lang w:eastAsia="zh-CN"/>
        </w:rPr>
        <w:t xml:space="preserve">南京医科大学智能型荧光显微镜采购  </w:t>
      </w:r>
      <w:r>
        <w:rPr>
          <w:rFonts w:hint="eastAsia" w:ascii="仿宋" w:hAnsi="仿宋" w:eastAsia="仿宋" w:cs="仿宋"/>
          <w:color w:val="000000"/>
          <w:sz w:val="24"/>
          <w:szCs w:val="24"/>
        </w:rPr>
        <w:t>的采购活动，受托人有权在该投标活动中，以我单位的名义签署投标书和投标文件，与招标代理机构协商、澄清、解释，质疑，签订合同书并执行一切与此有关的事项。</w:t>
      </w:r>
    </w:p>
    <w:p>
      <w:pPr>
        <w:widowControl w:val="0"/>
        <w:adjustRightInd/>
        <w:snapToGrid/>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受托人在办理上述事宜过程中以其自己的名义所签署的所有文件我均予以承认。受托人无转委托权。</w:t>
      </w:r>
    </w:p>
    <w:p>
      <w:pPr>
        <w:widowControl w:val="0"/>
        <w:adjustRightInd/>
        <w:snapToGrid/>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委托期限：至上述事宜处理完毕止。</w:t>
      </w:r>
    </w:p>
    <w:p>
      <w:pPr>
        <w:widowControl w:val="0"/>
        <w:adjustRightInd/>
        <w:snapToGrid/>
        <w:spacing w:after="0" w:line="360" w:lineRule="auto"/>
        <w:rPr>
          <w:rFonts w:hint="eastAsia" w:ascii="仿宋" w:hAnsi="仿宋" w:eastAsia="仿宋" w:cs="仿宋"/>
          <w:color w:val="000000"/>
          <w:sz w:val="24"/>
          <w:szCs w:val="24"/>
        </w:rPr>
      </w:pPr>
    </w:p>
    <w:p>
      <w:pPr>
        <w:widowControl w:val="0"/>
        <w:adjustRightInd/>
        <w:snapToGrid/>
        <w:spacing w:after="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委托单位   （公章）</w:t>
      </w:r>
    </w:p>
    <w:p>
      <w:pPr>
        <w:widowControl w:val="0"/>
        <w:adjustRightInd/>
        <w:snapToGrid/>
        <w:spacing w:after="0" w:line="360" w:lineRule="auto"/>
        <w:ind w:left="4080" w:hanging="4080" w:hangingChars="17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法定代表人（签字或盖章）</w:t>
      </w:r>
    </w:p>
    <w:p>
      <w:pPr>
        <w:widowControl w:val="0"/>
        <w:adjustRightInd/>
        <w:snapToGrid/>
        <w:spacing w:after="0" w:line="360" w:lineRule="auto"/>
        <w:ind w:left="4080" w:hanging="4080" w:hangingChars="1700"/>
        <w:jc w:val="center"/>
        <w:rPr>
          <w:rFonts w:hint="eastAsia" w:ascii="仿宋" w:hAnsi="仿宋" w:eastAsia="仿宋" w:cs="仿宋"/>
          <w:color w:val="000000"/>
          <w:sz w:val="28"/>
          <w:szCs w:val="28"/>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年  月  日</w:t>
      </w: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p>
      <w:pPr>
        <w:spacing w:after="0"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①供应商授权代表须在投标截止时间前持授权书原件及授权代表身份证件办理签名报到。（投标文件中须附授权代表及法人的身份证复印件）</w:t>
      </w:r>
    </w:p>
    <w:p>
      <w:pPr>
        <w:spacing w:after="0"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②非授权代表办理上述事宜，招标代理机构将拒绝。</w:t>
      </w:r>
    </w:p>
    <w:p>
      <w:pPr>
        <w:spacing w:after="0"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rPr>
        <w:t>③供应商法定代表人直接参加投标的，无须提供法人授权委托书，但须持本人身份证件及营业执照复印件办理相关手续。</w:t>
      </w:r>
    </w:p>
    <w:p>
      <w:pPr>
        <w:bidi w:val="0"/>
        <w:rPr>
          <w:rFonts w:hint="eastAsia" w:ascii="仿宋" w:hAnsi="仿宋" w:eastAsia="仿宋" w:cs="仿宋"/>
          <w:b/>
          <w:bCs/>
          <w:sz w:val="24"/>
          <w:szCs w:val="24"/>
        </w:rPr>
      </w:pPr>
      <w:bookmarkStart w:id="313" w:name="_Toc23702"/>
      <w:bookmarkStart w:id="314" w:name="_Toc12132"/>
      <w:bookmarkStart w:id="315" w:name="_Toc9521"/>
      <w:bookmarkStart w:id="316" w:name="_Toc9284"/>
      <w:bookmarkStart w:id="317" w:name="_Toc30007"/>
      <w:bookmarkStart w:id="318" w:name="_Toc28290"/>
      <w:bookmarkStart w:id="319" w:name="_Toc9701"/>
      <w:r>
        <w:rPr>
          <w:rFonts w:hint="eastAsia" w:ascii="仿宋" w:hAnsi="仿宋" w:eastAsia="仿宋" w:cs="仿宋"/>
          <w:b/>
          <w:bCs/>
          <w:sz w:val="24"/>
          <w:szCs w:val="24"/>
        </w:rPr>
        <w:t>附件2：具备履行合同所必需的设备和专业技术能力的书面声明</w:t>
      </w:r>
      <w:bookmarkEnd w:id="313"/>
      <w:bookmarkEnd w:id="314"/>
      <w:bookmarkEnd w:id="315"/>
      <w:bookmarkEnd w:id="316"/>
      <w:bookmarkEnd w:id="317"/>
      <w:bookmarkEnd w:id="318"/>
    </w:p>
    <w:bookmarkEnd w:id="319"/>
    <w:p>
      <w:pPr>
        <w:spacing w:after="0" w:line="360" w:lineRule="auto"/>
        <w:rPr>
          <w:rFonts w:hint="eastAsia" w:ascii="仿宋" w:hAnsi="仿宋" w:eastAsia="仿宋" w:cs="仿宋"/>
          <w:color w:val="000000"/>
          <w:sz w:val="24"/>
          <w:szCs w:val="24"/>
        </w:rPr>
      </w:pPr>
    </w:p>
    <w:p>
      <w:pPr>
        <w:spacing w:after="0" w:line="360" w:lineRule="auto"/>
        <w:ind w:firstLine="492"/>
        <w:rPr>
          <w:rFonts w:hint="eastAsia" w:ascii="仿宋" w:hAnsi="仿宋" w:eastAsia="仿宋" w:cs="仿宋"/>
          <w:color w:val="000000"/>
          <w:sz w:val="24"/>
          <w:szCs w:val="24"/>
        </w:rPr>
      </w:pPr>
      <w:r>
        <w:rPr>
          <w:rFonts w:hint="eastAsia" w:ascii="仿宋" w:hAnsi="仿宋" w:eastAsia="仿宋" w:cs="仿宋"/>
          <w:color w:val="000000"/>
          <w:sz w:val="24"/>
          <w:szCs w:val="24"/>
        </w:rPr>
        <w:t>我公司郑重声明：我公司具备履行本项采购合同所必需的设备和专业技术能力，为履行本项采购合同我公司具备如下主要设备和主要专业技术能力：</w:t>
      </w:r>
    </w:p>
    <w:p>
      <w:pPr>
        <w:spacing w:after="0" w:line="360" w:lineRule="auto"/>
        <w:ind w:firstLine="492"/>
        <w:rPr>
          <w:rFonts w:hint="eastAsia" w:ascii="仿宋" w:hAnsi="仿宋" w:eastAsia="仿宋" w:cs="仿宋"/>
          <w:color w:val="000000"/>
          <w:sz w:val="24"/>
          <w:szCs w:val="24"/>
        </w:rPr>
      </w:pPr>
      <w:r>
        <w:rPr>
          <w:rFonts w:hint="eastAsia" w:ascii="仿宋" w:hAnsi="仿宋" w:eastAsia="仿宋" w:cs="仿宋"/>
          <w:color w:val="000000"/>
          <w:sz w:val="24"/>
          <w:szCs w:val="24"/>
        </w:rPr>
        <w:t>主要设备有：</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after="0" w:line="360" w:lineRule="auto"/>
        <w:ind w:firstLine="492"/>
        <w:rPr>
          <w:rFonts w:hint="eastAsia" w:ascii="仿宋" w:hAnsi="仿宋" w:eastAsia="仿宋" w:cs="仿宋"/>
          <w:color w:val="000000"/>
          <w:sz w:val="24"/>
          <w:szCs w:val="24"/>
        </w:rPr>
      </w:pPr>
      <w:r>
        <w:rPr>
          <w:rFonts w:hint="eastAsia" w:ascii="仿宋" w:hAnsi="仿宋" w:eastAsia="仿宋" w:cs="仿宋"/>
          <w:color w:val="000000"/>
          <w:sz w:val="24"/>
          <w:szCs w:val="24"/>
        </w:rPr>
        <w:t>主要专业技术能力有：</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p>
    <w:p>
      <w:pPr>
        <w:spacing w:after="0" w:line="360" w:lineRule="auto"/>
        <w:ind w:firstLine="4560" w:firstLineChars="19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w:t>
      </w:r>
    </w:p>
    <w:p>
      <w:pPr>
        <w:spacing w:after="0" w:line="360" w:lineRule="auto"/>
        <w:rPr>
          <w:rFonts w:hint="eastAsia" w:ascii="仿宋" w:hAnsi="仿宋" w:eastAsia="仿宋" w:cs="仿宋"/>
          <w:sz w:val="24"/>
          <w:szCs w:val="24"/>
        </w:rPr>
      </w:pPr>
      <w:r>
        <w:rPr>
          <w:rFonts w:hint="eastAsia" w:ascii="仿宋" w:hAnsi="仿宋" w:eastAsia="仿宋" w:cs="仿宋"/>
          <w:color w:val="000000"/>
          <w:sz w:val="24"/>
          <w:szCs w:val="24"/>
        </w:rPr>
        <w:t xml:space="preserve">                                      日期：    年   月   日</w:t>
      </w:r>
    </w:p>
    <w:p>
      <w:pPr>
        <w:pStyle w:val="35"/>
        <w:spacing w:after="0" w:line="360" w:lineRule="auto"/>
        <w:ind w:firstLine="482"/>
        <w:rPr>
          <w:rFonts w:hint="eastAsia" w:ascii="仿宋" w:hAnsi="仿宋" w:eastAsia="仿宋" w:cs="仿宋"/>
          <w:color w:val="000000"/>
        </w:rPr>
      </w:pPr>
      <w:r>
        <w:rPr>
          <w:rFonts w:hint="eastAsia" w:ascii="仿宋" w:hAnsi="仿宋" w:eastAsia="仿宋" w:cs="仿宋"/>
        </w:rPr>
        <w:br w:type="page"/>
      </w:r>
    </w:p>
    <w:p>
      <w:pPr>
        <w:bidi w:val="0"/>
        <w:rPr>
          <w:rFonts w:hint="eastAsia" w:ascii="仿宋" w:hAnsi="仿宋" w:eastAsia="仿宋" w:cs="仿宋"/>
          <w:b/>
          <w:bCs/>
          <w:sz w:val="24"/>
          <w:szCs w:val="24"/>
        </w:rPr>
      </w:pPr>
      <w:bookmarkStart w:id="320" w:name="_Toc30482"/>
      <w:bookmarkStart w:id="321" w:name="_Toc5140"/>
      <w:bookmarkStart w:id="322" w:name="_Toc30295"/>
      <w:bookmarkStart w:id="323" w:name="_Toc20508"/>
      <w:bookmarkStart w:id="324" w:name="_Toc10944"/>
      <w:bookmarkStart w:id="325" w:name="_Toc26453"/>
      <w:bookmarkStart w:id="326" w:name="_Toc31017"/>
      <w:r>
        <w:rPr>
          <w:rFonts w:hint="eastAsia" w:ascii="仿宋" w:hAnsi="仿宋" w:eastAsia="仿宋" w:cs="仿宋"/>
          <w:b/>
          <w:bCs/>
          <w:sz w:val="24"/>
          <w:szCs w:val="24"/>
        </w:rPr>
        <w:t>附件3：三年内无重大违纪声明</w:t>
      </w:r>
      <w:bookmarkEnd w:id="320"/>
      <w:bookmarkEnd w:id="321"/>
      <w:bookmarkEnd w:id="322"/>
      <w:bookmarkEnd w:id="323"/>
      <w:bookmarkEnd w:id="324"/>
      <w:bookmarkEnd w:id="325"/>
      <w:bookmarkEnd w:id="326"/>
    </w:p>
    <w:p>
      <w:pPr>
        <w:spacing w:after="0" w:line="360" w:lineRule="auto"/>
        <w:jc w:val="center"/>
        <w:rPr>
          <w:rFonts w:hint="eastAsia" w:ascii="仿宋" w:hAnsi="仿宋" w:eastAsia="仿宋" w:cs="仿宋"/>
          <w:color w:val="000000"/>
          <w:sz w:val="36"/>
          <w:szCs w:val="36"/>
        </w:rPr>
      </w:pPr>
      <w:r>
        <w:rPr>
          <w:rFonts w:hint="eastAsia" w:ascii="仿宋" w:hAnsi="仿宋" w:eastAsia="仿宋" w:cs="仿宋"/>
          <w:b/>
          <w:bCs/>
          <w:color w:val="000000"/>
          <w:sz w:val="36"/>
          <w:szCs w:val="36"/>
        </w:rPr>
        <w:t>声  明</w:t>
      </w:r>
    </w:p>
    <w:p>
      <w:pPr>
        <w:spacing w:after="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我公司郑重声明：参加本次采购活动前3年内，我公司在经营活动中没有因违法经营受到刑事处罚或者责令停产停业、吊销许可证或者执照、较大数额罚款等行政处罚。若招标采购单位在本项目采购过程中发现我公司近三年内在经营活动中有重大违法记录，我公司将无条件地退出本项目的招标采购，并承担因此引起的一切后果。</w:t>
      </w: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投标供应商全称（公章）：</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法定代表人（授权代表）签章：</w:t>
      </w:r>
    </w:p>
    <w:p>
      <w:pPr>
        <w:spacing w:after="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日期：</w:t>
      </w:r>
    </w:p>
    <w:p>
      <w:pPr>
        <w:spacing w:after="0" w:line="360" w:lineRule="auto"/>
        <w:rPr>
          <w:rFonts w:hint="eastAsia" w:ascii="仿宋" w:hAnsi="仿宋" w:eastAsia="仿宋" w:cs="仿宋"/>
          <w:sz w:val="24"/>
          <w:szCs w:val="24"/>
        </w:rPr>
      </w:pPr>
    </w:p>
    <w:p>
      <w:pPr>
        <w:spacing w:after="0"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br w:type="page"/>
      </w:r>
    </w:p>
    <w:p>
      <w:pPr>
        <w:bidi w:val="0"/>
        <w:rPr>
          <w:rFonts w:hint="eastAsia" w:ascii="仿宋" w:hAnsi="仿宋" w:eastAsia="仿宋" w:cs="仿宋"/>
          <w:b/>
          <w:bCs/>
          <w:sz w:val="24"/>
          <w:szCs w:val="24"/>
        </w:rPr>
      </w:pPr>
      <w:bookmarkStart w:id="327" w:name="_Toc17581"/>
      <w:bookmarkStart w:id="328" w:name="_Toc4338"/>
      <w:bookmarkStart w:id="329" w:name="_Toc28748"/>
      <w:bookmarkStart w:id="330" w:name="_Toc26218"/>
      <w:bookmarkStart w:id="331" w:name="_Toc5150"/>
      <w:bookmarkStart w:id="332" w:name="_Toc30893"/>
      <w:bookmarkStart w:id="333" w:name="_Toc4301"/>
      <w:r>
        <w:rPr>
          <w:rFonts w:hint="eastAsia" w:ascii="仿宋" w:hAnsi="仿宋" w:eastAsia="仿宋" w:cs="仿宋"/>
          <w:b/>
          <w:bCs/>
          <w:sz w:val="24"/>
          <w:szCs w:val="24"/>
        </w:rPr>
        <w:t>附件4：中小企业声明函格式</w:t>
      </w:r>
      <w:bookmarkEnd w:id="327"/>
      <w:bookmarkEnd w:id="328"/>
      <w:bookmarkEnd w:id="329"/>
      <w:bookmarkEnd w:id="330"/>
      <w:bookmarkEnd w:id="331"/>
      <w:bookmarkEnd w:id="332"/>
    </w:p>
    <w:p>
      <w:pPr>
        <w:spacing w:after="0" w:line="360" w:lineRule="auto"/>
        <w:jc w:val="center"/>
        <w:rPr>
          <w:rFonts w:hint="eastAsia" w:ascii="仿宋" w:hAnsi="仿宋" w:eastAsia="仿宋" w:cs="仿宋"/>
          <w:sz w:val="24"/>
          <w:szCs w:val="24"/>
        </w:rPr>
      </w:pPr>
      <w:r>
        <w:rPr>
          <w:rFonts w:hint="eastAsia" w:ascii="仿宋" w:hAnsi="仿宋" w:eastAsia="仿宋" w:cs="仿宋"/>
          <w:sz w:val="24"/>
          <w:szCs w:val="24"/>
        </w:rPr>
        <w:t>中小企业声明函(如有)</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1.（标的名称），属于（采购文件中明确的所属行业）;制造商为（企业名称），从业人员___人，营业收入为____万元，资产总额为___万元，属于（中型企业、小型企业、微型企业）;</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2.（标的名称），属于（采购文件中明确的所属行业）;制造商为（企业名称），从业人员____人，营业收入为___万元，资产总额为___万元，属于（中型企业、小型企业、微型企业）;</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 以上企业，不属于大企业的分支机构，不存在控股股东为大企业的情形，也不存在与大企业的负责人为同一人的情形。</w:t>
      </w:r>
    </w:p>
    <w:p>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rPr>
          <w:rFonts w:hint="eastAsia" w:ascii="仿宋" w:hAnsi="仿宋" w:eastAsia="仿宋" w:cs="仿宋"/>
          <w:sz w:val="24"/>
          <w:szCs w:val="24"/>
        </w:rPr>
      </w:pPr>
    </w:p>
    <w:p>
      <w:pPr>
        <w:ind w:firstLine="420"/>
        <w:rPr>
          <w:rFonts w:hint="eastAsia" w:ascii="仿宋" w:hAnsi="仿宋" w:eastAsia="仿宋" w:cs="仿宋"/>
          <w:sz w:val="24"/>
          <w:szCs w:val="24"/>
        </w:rPr>
      </w:pPr>
      <w:r>
        <w:rPr>
          <w:rFonts w:hint="eastAsia" w:ascii="仿宋" w:hAnsi="仿宋" w:eastAsia="仿宋" w:cs="仿宋"/>
          <w:sz w:val="24"/>
          <w:szCs w:val="24"/>
        </w:rPr>
        <w:t>投标供应商全称（公章）：</w:t>
      </w:r>
    </w:p>
    <w:p>
      <w:pPr>
        <w:ind w:firstLine="420"/>
        <w:rPr>
          <w:rFonts w:hint="eastAsia" w:ascii="仿宋" w:hAnsi="仿宋" w:eastAsia="仿宋" w:cs="仿宋"/>
          <w:sz w:val="24"/>
          <w:szCs w:val="24"/>
        </w:rPr>
      </w:pPr>
      <w:r>
        <w:rPr>
          <w:rFonts w:hint="eastAsia" w:ascii="仿宋" w:hAnsi="仿宋" w:eastAsia="仿宋" w:cs="仿宋"/>
          <w:sz w:val="24"/>
          <w:szCs w:val="24"/>
        </w:rPr>
        <w:t>法定代表人（授权代表）签章：</w:t>
      </w:r>
    </w:p>
    <w:p>
      <w:pPr>
        <w:ind w:firstLine="420"/>
        <w:rPr>
          <w:rFonts w:hint="eastAsia" w:ascii="仿宋" w:hAnsi="仿宋" w:eastAsia="仿宋" w:cs="仿宋"/>
          <w:sz w:val="24"/>
          <w:szCs w:val="24"/>
        </w:rPr>
      </w:pPr>
      <w:r>
        <w:rPr>
          <w:rFonts w:hint="eastAsia" w:ascii="仿宋" w:hAnsi="仿宋" w:eastAsia="仿宋" w:cs="仿宋"/>
          <w:sz w:val="24"/>
          <w:szCs w:val="24"/>
        </w:rPr>
        <w:t>日期：</w:t>
      </w:r>
    </w:p>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说明：</w:t>
      </w:r>
    </w:p>
    <w:p>
      <w:pPr>
        <w:spacing w:after="0" w:line="360" w:lineRule="auto"/>
        <w:ind w:firstLine="210" w:firstLineChars="100"/>
        <w:rPr>
          <w:rFonts w:hint="eastAsia" w:ascii="仿宋" w:hAnsi="仿宋" w:eastAsia="仿宋" w:cs="仿宋"/>
          <w:color w:val="000000"/>
          <w:sz w:val="21"/>
          <w:szCs w:val="21"/>
        </w:rPr>
      </w:pPr>
      <w:r>
        <w:rPr>
          <w:rFonts w:hint="eastAsia" w:ascii="仿宋" w:hAnsi="仿宋" w:eastAsia="仿宋" w:cs="仿宋"/>
          <w:color w:val="000000"/>
          <w:sz w:val="21"/>
          <w:szCs w:val="21"/>
        </w:rPr>
        <w:t>1、供应商如不提供此声明函，将不享受相关优惠政策。</w:t>
      </w:r>
    </w:p>
    <w:p>
      <w:pPr>
        <w:spacing w:after="0" w:line="360" w:lineRule="auto"/>
        <w:ind w:firstLine="210" w:firstLineChars="100"/>
        <w:rPr>
          <w:rFonts w:hint="eastAsia" w:ascii="仿宋" w:hAnsi="仿宋" w:eastAsia="仿宋" w:cs="仿宋"/>
          <w:color w:val="000000"/>
          <w:sz w:val="21"/>
          <w:szCs w:val="21"/>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en-US" w:eastAsia="zh-CN"/>
        </w:rPr>
        <w:t>中标人</w:t>
      </w:r>
      <w:r>
        <w:rPr>
          <w:rFonts w:hint="eastAsia" w:ascii="仿宋" w:hAnsi="仿宋" w:eastAsia="仿宋" w:cs="仿宋"/>
          <w:color w:val="000000"/>
          <w:sz w:val="21"/>
          <w:szCs w:val="21"/>
        </w:rPr>
        <w:t>为小微企业的，此声明函将随成交结果同时公示，接受社会监督.</w:t>
      </w:r>
    </w:p>
    <w:p>
      <w:pPr>
        <w:spacing w:after="0" w:line="360" w:lineRule="auto"/>
        <w:ind w:firstLine="210" w:firstLineChars="100"/>
        <w:rPr>
          <w:rFonts w:hint="eastAsia" w:ascii="仿宋" w:hAnsi="仿宋" w:eastAsia="仿宋" w:cs="仿宋"/>
          <w:color w:val="000000"/>
          <w:sz w:val="21"/>
          <w:szCs w:val="21"/>
        </w:rPr>
      </w:pPr>
      <w:r>
        <w:rPr>
          <w:rFonts w:hint="eastAsia" w:ascii="仿宋" w:hAnsi="仿宋" w:eastAsia="仿宋" w:cs="仿宋"/>
          <w:color w:val="000000"/>
          <w:sz w:val="21"/>
          <w:szCs w:val="21"/>
        </w:rPr>
        <w:t>3、“微型”或“小型”企业的划分具体以《政府采购促进中小企业发展管理办法》（财库[2020]46号）和《工业和信息化部、国家统计局、国家发展和改革委员会、财政部关于印发中小企业划型标准规定的通知》（工信部联企业[2011]300号）的规定为准。</w:t>
      </w:r>
    </w:p>
    <w:p>
      <w:pPr>
        <w:rPr>
          <w:rFonts w:hint="eastAsia" w:ascii="仿宋" w:hAnsi="仿宋" w:eastAsia="仿宋" w:cs="仿宋"/>
        </w:rPr>
      </w:pPr>
    </w:p>
    <w:p>
      <w:pPr>
        <w:bidi w:val="0"/>
        <w:rPr>
          <w:rFonts w:hint="eastAsia" w:ascii="仿宋" w:hAnsi="仿宋" w:eastAsia="仿宋" w:cs="仿宋"/>
          <w:b/>
          <w:bCs/>
          <w:sz w:val="24"/>
          <w:szCs w:val="24"/>
        </w:rPr>
      </w:pPr>
      <w:bookmarkStart w:id="334" w:name="_Toc31016"/>
      <w:bookmarkStart w:id="335" w:name="_Toc7077"/>
      <w:bookmarkStart w:id="336" w:name="_Toc16078"/>
      <w:bookmarkStart w:id="337" w:name="_Toc6742"/>
      <w:r>
        <w:rPr>
          <w:rFonts w:hint="eastAsia" w:ascii="仿宋" w:hAnsi="仿宋" w:eastAsia="仿宋" w:cs="仿宋"/>
          <w:b/>
          <w:bCs/>
          <w:sz w:val="24"/>
          <w:szCs w:val="24"/>
        </w:rPr>
        <w:t>附件5：</w:t>
      </w:r>
      <w:bookmarkEnd w:id="334"/>
      <w:bookmarkStart w:id="338" w:name="_Toc8789"/>
      <w:bookmarkStart w:id="339" w:name="_Toc31660"/>
      <w:bookmarkStart w:id="340" w:name="_Toc10887"/>
      <w:r>
        <w:rPr>
          <w:rFonts w:hint="eastAsia" w:ascii="仿宋" w:hAnsi="仿宋" w:eastAsia="仿宋" w:cs="仿宋"/>
          <w:b/>
          <w:bCs/>
          <w:sz w:val="24"/>
          <w:szCs w:val="24"/>
        </w:rPr>
        <w:t>残疾人福利性单位声明函</w:t>
      </w:r>
      <w:bookmarkEnd w:id="335"/>
      <w:bookmarkEnd w:id="336"/>
    </w:p>
    <w:p>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588" w:lineRule="exact"/>
        <w:ind w:firstLine="480" w:firstLineChars="200"/>
        <w:rPr>
          <w:rFonts w:hint="eastAsia" w:ascii="仿宋" w:hAnsi="仿宋" w:eastAsia="仿宋" w:cs="仿宋"/>
          <w:sz w:val="24"/>
          <w:szCs w:val="24"/>
        </w:rPr>
      </w:pPr>
    </w:p>
    <w:p>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（备注：1、供应商如不提供此声明函，将不享受相关优惠政策。2、中标供应商为残疾人福利单位的，此声明函将随中标结果同时公告，接受社会监督）</w:t>
      </w:r>
    </w:p>
    <w:p>
      <w:pPr>
        <w:spacing w:line="588" w:lineRule="exact"/>
        <w:ind w:firstLine="624" w:firstLineChars="200"/>
        <w:rPr>
          <w:rFonts w:hint="eastAsia" w:ascii="仿宋" w:hAnsi="仿宋" w:eastAsia="仿宋" w:cs="仿宋"/>
          <w:spacing w:val="6"/>
          <w:sz w:val="30"/>
          <w:szCs w:val="30"/>
        </w:rPr>
      </w:pPr>
      <w:r>
        <w:rPr>
          <w:rFonts w:hint="eastAsia" w:ascii="仿宋" w:hAnsi="仿宋" w:eastAsia="仿宋" w:cs="仿宋"/>
          <w:spacing w:val="6"/>
          <w:sz w:val="30"/>
          <w:szCs w:val="30"/>
        </w:rPr>
        <w:t xml:space="preserve"> </w:t>
      </w:r>
    </w:p>
    <w:p>
      <w:pPr>
        <w:spacing w:line="588" w:lineRule="exact"/>
        <w:ind w:right="1560" w:firstLine="624" w:firstLineChars="200"/>
        <w:jc w:val="center"/>
        <w:rPr>
          <w:rFonts w:hint="eastAsia" w:ascii="仿宋" w:hAnsi="仿宋" w:eastAsia="仿宋" w:cs="仿宋"/>
          <w:sz w:val="24"/>
          <w:szCs w:val="24"/>
        </w:rPr>
      </w:pPr>
      <w:r>
        <w:rPr>
          <w:rFonts w:hint="eastAsia" w:ascii="仿宋" w:hAnsi="仿宋" w:eastAsia="仿宋" w:cs="仿宋"/>
          <w:spacing w:val="6"/>
          <w:sz w:val="30"/>
          <w:szCs w:val="30"/>
        </w:rPr>
        <w:t xml:space="preserve">             </w:t>
      </w:r>
      <w:r>
        <w:rPr>
          <w:rFonts w:hint="eastAsia" w:ascii="仿宋" w:hAnsi="仿宋" w:eastAsia="仿宋" w:cs="仿宋"/>
          <w:sz w:val="24"/>
          <w:szCs w:val="24"/>
        </w:rPr>
        <w:t xml:space="preserve">        供应商全称（加盖公章）：</w:t>
      </w:r>
    </w:p>
    <w:p>
      <w:pPr>
        <w:spacing w:line="588" w:lineRule="exact"/>
        <w:ind w:right="1560"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日  期：</w:t>
      </w:r>
    </w:p>
    <w:p>
      <w:pPr>
        <w:pStyle w:val="6"/>
        <w:numPr>
          <w:ilvl w:val="1"/>
          <w:numId w:val="0"/>
        </w:numPr>
        <w:spacing w:before="0" w:after="0" w:line="360" w:lineRule="auto"/>
        <w:outlineLvl w:val="9"/>
        <w:rPr>
          <w:rFonts w:hint="eastAsia" w:ascii="仿宋" w:hAnsi="仿宋" w:eastAsia="仿宋" w:cs="仿宋"/>
          <w:sz w:val="28"/>
          <w:szCs w:val="28"/>
        </w:rPr>
      </w:pPr>
    </w:p>
    <w:bookmarkEnd w:id="333"/>
    <w:bookmarkEnd w:id="337"/>
    <w:bookmarkEnd w:id="338"/>
    <w:bookmarkEnd w:id="339"/>
    <w:bookmarkEnd w:id="340"/>
    <w:p>
      <w:pPr>
        <w:spacing w:after="0" w:line="360" w:lineRule="auto"/>
        <w:rPr>
          <w:rFonts w:hint="eastAsia" w:ascii="仿宋" w:hAnsi="仿宋" w:eastAsia="仿宋" w:cs="仿宋"/>
        </w:rPr>
      </w:pPr>
    </w:p>
    <w:p>
      <w:pPr>
        <w:pStyle w:val="20"/>
        <w:rPr>
          <w:rFonts w:hint="eastAsia" w:ascii="仿宋" w:hAnsi="仿宋" w:eastAsia="仿宋" w:cs="仿宋"/>
        </w:rPr>
      </w:pPr>
    </w:p>
    <w:p>
      <w:pPr>
        <w:rPr>
          <w:rFonts w:hint="eastAsia" w:ascii="仿宋" w:hAnsi="仿宋" w:eastAsia="仿宋" w:cs="仿宋"/>
        </w:rPr>
      </w:pPr>
    </w:p>
    <w:p>
      <w:pPr>
        <w:pStyle w:val="2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rPr>
      </w:pPr>
    </w:p>
    <w:p>
      <w:pPr>
        <w:bidi w:val="0"/>
        <w:rPr>
          <w:rFonts w:hint="eastAsia" w:ascii="仿宋" w:hAnsi="仿宋" w:eastAsia="仿宋" w:cs="仿宋"/>
          <w:b/>
          <w:bCs/>
          <w:sz w:val="24"/>
          <w:szCs w:val="24"/>
        </w:rPr>
      </w:pPr>
      <w:bookmarkStart w:id="341" w:name="_Toc23135"/>
      <w:bookmarkStart w:id="342" w:name="_Toc24331"/>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：制造商出具的授权函</w:t>
      </w:r>
      <w:bookmarkEnd w:id="341"/>
      <w:bookmarkEnd w:id="342"/>
    </w:p>
    <w:p>
      <w:pPr>
        <w:spacing w:line="360" w:lineRule="atLeast"/>
        <w:rPr>
          <w:rFonts w:hint="eastAsia" w:ascii="仿宋" w:hAnsi="仿宋" w:eastAsia="仿宋" w:cs="仿宋"/>
          <w:sz w:val="21"/>
        </w:rPr>
      </w:pPr>
      <w:r>
        <w:rPr>
          <w:rFonts w:hint="eastAsia" w:ascii="仿宋" w:hAnsi="仿宋" w:eastAsia="仿宋" w:cs="仿宋"/>
          <w:sz w:val="21"/>
        </w:rPr>
        <w:t xml:space="preserve">     </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致：（招标机构）</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们（制造商名称）是按（国家/地区名称）法律成立的一家制造商，主要营业地点设在（制造商地址）。兹指派按（国家/地区名称）的法律正式成立的，主要营业地点设在（贸易公司地址）的（贸易公司名称）作为我方真正的和合法的代理人进行下列有效的活动：</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⑴ 代表我方在中华人民共和国办理贵方第（投标邀请编号）号</w:t>
      </w:r>
      <w:r>
        <w:rPr>
          <w:rFonts w:hint="eastAsia" w:ascii="仿宋" w:hAnsi="仿宋" w:eastAsia="仿宋" w:cs="仿宋"/>
          <w:sz w:val="24"/>
          <w:szCs w:val="24"/>
          <w:lang w:eastAsia="zh-CN"/>
        </w:rPr>
        <w:t>投标</w:t>
      </w:r>
      <w:r>
        <w:rPr>
          <w:rFonts w:hint="eastAsia" w:ascii="仿宋" w:hAnsi="仿宋" w:eastAsia="仿宋" w:cs="仿宋"/>
          <w:sz w:val="24"/>
          <w:szCs w:val="24"/>
        </w:rPr>
        <w:t>邀请要求提供的由我方制造的货物的有关事宜，并对我方具有约束力。</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⑵ 作为制造商，我方保证以投标合作者来约束自己，并对该投标共同和分别承担招标文件中所规定的义务。</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⑶ 我方兹授予（贸易公司名称）全权办理和履行上述我方为完成上述各点所必须的事宜，具有替换或撤消的全权。兹确认（贸易公司名称）或其正式授权代表依此合法地办理一切事宜。</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我方于_  __年_  __月_  __日签署本文件，（贸易公司名称）于_ _ _年_ _ _月_ _ _日接受此件，以此为证。</w:t>
      </w:r>
    </w:p>
    <w:p>
      <w:pPr>
        <w:spacing w:after="0" w:line="360" w:lineRule="auto"/>
        <w:ind w:firstLine="480" w:firstLineChars="200"/>
        <w:rPr>
          <w:rFonts w:hint="eastAsia" w:ascii="仿宋" w:hAnsi="仿宋" w:eastAsia="仿宋" w:cs="仿宋"/>
          <w:sz w:val="24"/>
          <w:szCs w:val="24"/>
        </w:rPr>
      </w:pP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贸易公司名称：                            制造商名称：                       </w:t>
      </w:r>
    </w:p>
    <w:p>
      <w:pPr>
        <w:spacing w:after="0" w:line="360" w:lineRule="auto"/>
        <w:ind w:firstLine="480" w:firstLineChars="200"/>
        <w:rPr>
          <w:rFonts w:hint="eastAsia" w:ascii="仿宋" w:hAnsi="仿宋" w:eastAsia="仿宋" w:cs="仿宋"/>
          <w:sz w:val="24"/>
          <w:szCs w:val="24"/>
        </w:rPr>
      </w:pP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签字人职务：                         　   签字人职务：                       </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签字人姓名：                              签字人姓名：                       </w:t>
      </w:r>
    </w:p>
    <w:p>
      <w:pPr>
        <w:spacing w:after="0" w:line="360" w:lineRule="auto"/>
        <w:ind w:firstLine="480" w:firstLineChars="200"/>
        <w:rPr>
          <w:rFonts w:hint="eastAsia" w:ascii="仿宋" w:hAnsi="仿宋" w:eastAsia="仿宋" w:cs="仿宋"/>
          <w:sz w:val="24"/>
          <w:szCs w:val="24"/>
        </w:rPr>
      </w:pP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签字人签名：                              签字人签名：                       </w:t>
      </w:r>
    </w:p>
    <w:p>
      <w:pPr>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after="0" w:line="360" w:lineRule="auto"/>
        <w:ind w:firstLine="480" w:firstLineChars="200"/>
        <w:rPr>
          <w:rFonts w:hint="eastAsia" w:ascii="仿宋" w:hAnsi="仿宋" w:eastAsia="仿宋" w:cs="仿宋"/>
          <w:sz w:val="24"/>
          <w:szCs w:val="24"/>
        </w:rPr>
      </w:pPr>
    </w:p>
    <w:p/>
    <w:sectPr>
      <w:headerReference r:id="rId12" w:type="default"/>
      <w:footerReference r:id="rId13" w:type="default"/>
      <w:pgSz w:w="11906" w:h="16838"/>
      <w:pgMar w:top="1440" w:right="1179" w:bottom="1440" w:left="1179" w:header="1020"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adjustRightInd/>
      <w:spacing w:after="0" w:line="240" w:lineRule="exact"/>
      <w:ind w:firstLine="0" w:firstLineChars="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adjustRightInd/>
      <w:spacing w:after="0" w:line="240" w:lineRule="exact"/>
      <w:ind w:firstLine="0" w:firstLineChars="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adjustRightInd/>
      <w:spacing w:after="0" w:line="240" w:lineRule="exact"/>
      <w:ind w:firstLine="0" w:firstLineChars="0"/>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5"/>
                      <w:ind w:firstLine="360"/>
                      <w:rPr>
                        <w:rFonts w:eastAsia="宋体"/>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96850"/>
              <wp:effectExtent l="0" t="0" r="0" b="0"/>
              <wp:wrapNone/>
              <wp:docPr id="4097" name="Text Box 1025"/>
              <wp:cNvGraphicFramePr/>
              <a:graphic xmlns:a="http://schemas.openxmlformats.org/drawingml/2006/main">
                <a:graphicData uri="http://schemas.microsoft.com/office/word/2010/wordprocessingShape">
                  <wps:wsp>
                    <wps:cNvSpPr/>
                    <wps:spPr>
                      <a:xfrm>
                        <a:off x="0" y="0"/>
                        <a:ext cx="286385" cy="196850"/>
                      </a:xfrm>
                      <a:prstGeom prst="rect">
                        <a:avLst/>
                      </a:prstGeom>
                      <a:noFill/>
                      <a:ln>
                        <a:noFill/>
                      </a:ln>
                      <a:effectLst/>
                    </wps:spPr>
                    <wps:txbx>
                      <w:txbxContent>
                        <w:p>
                          <w:pPr>
                            <w:pStyle w:val="15"/>
                            <w:ind w:firstLine="360"/>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rect id="Text Box 1025" o:spid="_x0000_s1026" o:spt="1"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9b1TNIAAAADAQAADwAAAAAAAAABACAAAAAiAAAAZHJzL2Rvd25yZXYueG1s&#10;UEsBAhQAFAAAAAgAh07iQH9dMETFAQAAoAMAAA4AAAAAAAAAAQAgAAAAIQEAAGRycy9lMm9Eb2Mu&#10;eG1sUEsFBgAAAAAGAAYAWQEAAFg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spacing w:line="240" w:lineRule="auto"/>
      <w:ind w:firstLine="180" w:firstLineChars="100"/>
      <w:jc w:val="both"/>
      <w:rPr>
        <w:rFonts w:hint="eastAsia" w:ascii="仿宋" w:hAnsi="仿宋" w:eastAsia="仿宋" w:cs="仿宋"/>
      </w:rPr>
    </w:pPr>
    <w:r>
      <w:rPr>
        <w:rFonts w:hint="eastAsia" w:ascii="仿宋" w:hAnsi="仿宋" w:eastAsia="仿宋" w:cs="仿宋"/>
        <w:lang w:eastAsia="zh-CN"/>
      </w:rPr>
      <w:t>NJDCX-202204131501</w:t>
    </w:r>
    <w:r>
      <w:rPr>
        <w:rFonts w:hint="eastAsia" w:ascii="仿宋" w:hAnsi="仿宋" w:eastAsia="仿宋" w:cs="仿宋"/>
      </w:rPr>
      <w:t xml:space="preserve">                                                            南京达琛鑫工程咨询有限公司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spacing w:line="240" w:lineRule="auto"/>
      <w:ind w:firstLine="0" w:firstLineChars="0"/>
      <w:rPr>
        <w:rFonts w:hint="eastAsia" w:ascii="仿宋" w:hAnsi="仿宋" w:eastAsia="仿宋" w:cs="仿宋"/>
      </w:rPr>
    </w:pPr>
    <w:r>
      <w:rPr>
        <w:rFonts w:hint="eastAsia" w:ascii="仿宋" w:hAnsi="仿宋" w:eastAsia="仿宋" w:cs="仿宋"/>
        <w:lang w:eastAsia="zh-CN"/>
      </w:rPr>
      <w:t>NJDCX-202204131501</w:t>
    </w:r>
    <w:r>
      <w:rPr>
        <w:rFonts w:hint="eastAsia" w:ascii="仿宋" w:hAnsi="仿宋" w:eastAsia="仿宋" w:cs="仿宋"/>
      </w:rPr>
      <w:t xml:space="preserve">                                                            南京达琛鑫工程咨询有限公司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spacing w:line="240" w:lineRule="auto"/>
      <w:ind w:firstLine="0" w:firstLineChars="0"/>
      <w:jc w:val="both"/>
      <w:rPr>
        <w:rFonts w:ascii="楷体" w:hAnsi="楷体" w:eastAsia="楷体"/>
      </w:rPr>
    </w:pPr>
    <w:r>
      <w:rPr>
        <w:rFonts w:hint="eastAsia"/>
        <w:lang w:eastAsia="zh-CN"/>
      </w:rPr>
      <w:t>NJDCX-202204131501</w:t>
    </w:r>
    <w:r>
      <w:rPr>
        <w:rFonts w:hint="eastAsia"/>
      </w:rPr>
      <w:t xml:space="preserve">                                                         </w:t>
    </w:r>
    <w:r>
      <w:rPr>
        <w:rFonts w:hint="eastAsia" w:ascii="楷体" w:hAnsi="楷体" w:eastAsia="楷体"/>
      </w:rPr>
      <w:t>南京达琛鑫工程咨询有限公司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E4A01"/>
    <w:multiLevelType w:val="singleLevel"/>
    <w:tmpl w:val="976E4A01"/>
    <w:lvl w:ilvl="0" w:tentative="0">
      <w:start w:val="1"/>
      <w:numFmt w:val="decimal"/>
      <w:suff w:val="nothing"/>
      <w:lvlText w:val="%1．"/>
      <w:lvlJc w:val="left"/>
      <w:pPr>
        <w:ind w:left="0" w:firstLine="400"/>
      </w:pPr>
      <w:rPr>
        <w:rFonts w:hint="default"/>
      </w:rPr>
    </w:lvl>
  </w:abstractNum>
  <w:abstractNum w:abstractNumId="1">
    <w:nsid w:val="C2030E2D"/>
    <w:multiLevelType w:val="singleLevel"/>
    <w:tmpl w:val="C2030E2D"/>
    <w:lvl w:ilvl="0" w:tentative="0">
      <w:start w:val="3"/>
      <w:numFmt w:val="chineseCounting"/>
      <w:suff w:val="nothing"/>
      <w:lvlText w:val="（%1）"/>
      <w:lvlJc w:val="left"/>
      <w:rPr>
        <w:rFonts w:hint="eastAsia"/>
      </w:rPr>
    </w:lvl>
  </w:abstractNum>
  <w:abstractNum w:abstractNumId="2">
    <w:nsid w:val="E10327E4"/>
    <w:multiLevelType w:val="singleLevel"/>
    <w:tmpl w:val="E10327E4"/>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pStyle w:val="5"/>
      <w:suff w:val="nothing"/>
      <w:lvlText w:val="第 %1 部分 "/>
      <w:lvlJc w:val="left"/>
      <w:rPr>
        <w:rFonts w:hint="eastAsia" w:ascii="黑体" w:hAnsi="宋体" w:eastAsia="黑体"/>
        <w:b/>
        <w:bCs/>
        <w:i w:val="0"/>
        <w:iCs w:val="0"/>
        <w:caps w:val="0"/>
        <w:smallCaps w:val="0"/>
        <w:vanish w:val="0"/>
        <w:spacing w:val="0"/>
        <w:position w:val="0"/>
        <w:u w:val="none"/>
        <w:vertAlign w:val="baseline"/>
      </w:rPr>
    </w:lvl>
    <w:lvl w:ilvl="1" w:tentative="0">
      <w:start w:val="1"/>
      <w:numFmt w:val="decimal"/>
      <w:pStyle w:val="6"/>
      <w:isLgl/>
      <w:suff w:val="nothing"/>
      <w:lvlText w:val="%1.%2 "/>
      <w:lvlJc w:val="left"/>
      <w:rPr>
        <w:rFonts w:hint="eastAsia"/>
      </w:rPr>
    </w:lvl>
    <w:lvl w:ilvl="2" w:tentative="0">
      <w:start w:val="1"/>
      <w:numFmt w:val="none"/>
      <w:pStyle w:val="7"/>
      <w:isLgl/>
      <w:suff w:val="nothing"/>
      <w:lvlText w:val=""/>
      <w:lvlJc w:val="left"/>
      <w:rPr>
        <w:rFonts w:hint="eastAsia" w:ascii="Arial Unicode MS" w:hAnsi="Arial Unicode MS" w:eastAsia="Arial Unicode MS"/>
        <w:sz w:val="24"/>
        <w:szCs w:val="24"/>
      </w:rPr>
    </w:lvl>
    <w:lvl w:ilvl="3" w:tentative="0">
      <w:start w:val="1"/>
      <w:numFmt w:val="none"/>
      <w:isLgl/>
      <w:suff w:val="nothing"/>
      <w:lvlText w:val=""/>
      <w:lvlJc w:val="left"/>
      <w:rPr>
        <w:rFonts w:hint="eastAsia"/>
      </w:rPr>
    </w:lvl>
    <w:lvl w:ilvl="4" w:tentative="0">
      <w:start w:val="1"/>
      <w:numFmt w:val="decimal"/>
      <w:isLgl/>
      <w:suff w:val="nothing"/>
      <w:lvlText w:val="%1.%2.%3.%4.%5 "/>
      <w:lvlJc w:val="left"/>
      <w:rPr>
        <w:rFonts w:hint="eastAsia"/>
        <w:sz w:val="28"/>
        <w:szCs w:val="28"/>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2"/>
    <w:multiLevelType w:val="multilevel"/>
    <w:tmpl w:val="00000002"/>
    <w:lvl w:ilvl="0" w:tentative="0">
      <w:start w:val="1"/>
      <w:numFmt w:val="japaneseCounting"/>
      <w:pStyle w:val="29"/>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1495A7AE"/>
    <w:multiLevelType w:val="singleLevel"/>
    <w:tmpl w:val="1495A7AE"/>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OGUyNmU1ZmEzZWZiOWM2Y2Q1OGIxNjM2NjM3MjMifQ=="/>
  </w:docVars>
  <w:rsids>
    <w:rsidRoot w:val="767F5B0E"/>
    <w:rsid w:val="03FF35AF"/>
    <w:rsid w:val="0986672D"/>
    <w:rsid w:val="0CCA0CAE"/>
    <w:rsid w:val="10B5627F"/>
    <w:rsid w:val="14E37E9A"/>
    <w:rsid w:val="1EDA44F7"/>
    <w:rsid w:val="215747DF"/>
    <w:rsid w:val="244E0FF6"/>
    <w:rsid w:val="24604D0B"/>
    <w:rsid w:val="24CD7059"/>
    <w:rsid w:val="24FC44F5"/>
    <w:rsid w:val="26EE6000"/>
    <w:rsid w:val="28D14C29"/>
    <w:rsid w:val="28FE2DF4"/>
    <w:rsid w:val="2E4B78E1"/>
    <w:rsid w:val="2EC93120"/>
    <w:rsid w:val="2F577C95"/>
    <w:rsid w:val="2FD3CEEB"/>
    <w:rsid w:val="322B6454"/>
    <w:rsid w:val="332A1363"/>
    <w:rsid w:val="340B74B8"/>
    <w:rsid w:val="388F6D48"/>
    <w:rsid w:val="3DCE1246"/>
    <w:rsid w:val="3DE77F4F"/>
    <w:rsid w:val="40750578"/>
    <w:rsid w:val="425357A3"/>
    <w:rsid w:val="484F3A11"/>
    <w:rsid w:val="52A92735"/>
    <w:rsid w:val="54470F5C"/>
    <w:rsid w:val="57DF2C35"/>
    <w:rsid w:val="58E42340"/>
    <w:rsid w:val="5B6B45B0"/>
    <w:rsid w:val="5C6221A1"/>
    <w:rsid w:val="5DC56187"/>
    <w:rsid w:val="6159245D"/>
    <w:rsid w:val="63A66D95"/>
    <w:rsid w:val="657C2413"/>
    <w:rsid w:val="662E08A7"/>
    <w:rsid w:val="6B4B44A9"/>
    <w:rsid w:val="74AA776B"/>
    <w:rsid w:val="767F5B0E"/>
    <w:rsid w:val="7A297488"/>
    <w:rsid w:val="7BCB2696"/>
    <w:rsid w:val="7E5E2A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qFormat/>
    <w:uiPriority w:val="99"/>
    <w:pPr>
      <w:keepNext/>
      <w:numPr>
        <w:ilvl w:val="0"/>
        <w:numId w:val="1"/>
      </w:numPr>
      <w:spacing w:line="360" w:lineRule="auto"/>
      <w:ind w:firstLine="200" w:firstLineChars="200"/>
      <w:jc w:val="center"/>
      <w:outlineLvl w:val="0"/>
    </w:pPr>
    <w:rPr>
      <w:rFonts w:ascii="楷体_GB2312" w:eastAsia="楷体_GB2312" w:cs="楷体_GB2312"/>
      <w:sz w:val="28"/>
      <w:szCs w:val="28"/>
    </w:rPr>
  </w:style>
  <w:style w:type="paragraph" w:styleId="6">
    <w:name w:val="heading 2"/>
    <w:basedOn w:val="1"/>
    <w:next w:val="1"/>
    <w:qFormat/>
    <w:uiPriority w:val="99"/>
    <w:pPr>
      <w:keepNext/>
      <w:keepLines/>
      <w:numPr>
        <w:ilvl w:val="1"/>
        <w:numId w:val="1"/>
      </w:numPr>
      <w:spacing w:before="260" w:after="260" w:line="415" w:lineRule="auto"/>
      <w:jc w:val="center"/>
      <w:outlineLvl w:val="1"/>
    </w:pPr>
    <w:rPr>
      <w:rFonts w:ascii="Arial" w:hAnsi="Arial" w:eastAsia="幼圆" w:cs="Arial"/>
      <w:b/>
      <w:bCs/>
      <w:sz w:val="44"/>
      <w:szCs w:val="44"/>
    </w:rPr>
  </w:style>
  <w:style w:type="paragraph" w:styleId="7">
    <w:name w:val="heading 3"/>
    <w:basedOn w:val="1"/>
    <w:next w:val="8"/>
    <w:qFormat/>
    <w:uiPriority w:val="99"/>
    <w:pPr>
      <w:keepNext/>
      <w:keepLines/>
      <w:numPr>
        <w:ilvl w:val="2"/>
        <w:numId w:val="1"/>
      </w:numPr>
      <w:spacing w:before="260" w:after="260" w:line="415" w:lineRule="auto"/>
      <w:outlineLvl w:val="2"/>
    </w:pPr>
    <w:rPr>
      <w:b/>
      <w:bCs/>
      <w:sz w:val="32"/>
      <w:szCs w:val="32"/>
    </w:rPr>
  </w:style>
  <w:style w:type="paragraph" w:styleId="9">
    <w:name w:val="heading 4"/>
    <w:basedOn w:val="1"/>
    <w:next w:val="1"/>
    <w:qFormat/>
    <w:uiPriority w:val="9"/>
    <w:pPr>
      <w:keepNext/>
      <w:keepLines/>
      <w:spacing w:line="376" w:lineRule="auto"/>
      <w:outlineLvl w:val="3"/>
    </w:pPr>
    <w:rPr>
      <w:rFonts w:ascii="Cambria" w:hAnsi="Cambria" w:cs="Times New Roman"/>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snapToGrid w:val="0"/>
      <w:spacing w:line="440" w:lineRule="exact"/>
      <w:ind w:firstLine="420" w:firstLineChars="200"/>
      <w:jc w:val="both"/>
      <w:textAlignment w:val="baseline"/>
    </w:pPr>
    <w:rPr>
      <w:rFonts w:ascii="Calibri" w:hAnsi="Calibri" w:eastAsia="宋体"/>
      <w:kern w:val="2"/>
      <w:sz w:val="21"/>
      <w:szCs w:val="21"/>
      <w:lang w:val="en-US" w:eastAsia="zh-CN" w:bidi="ar-SA"/>
    </w:rPr>
  </w:style>
  <w:style w:type="paragraph" w:customStyle="1" w:styleId="3">
    <w:name w:val="BodyTextIndent"/>
    <w:basedOn w:val="1"/>
    <w:next w:val="4"/>
    <w:qFormat/>
    <w:uiPriority w:val="0"/>
    <w:pPr>
      <w:snapToGrid w:val="0"/>
      <w:spacing w:line="440" w:lineRule="exact"/>
      <w:ind w:firstLine="403" w:firstLineChars="192"/>
      <w:jc w:val="both"/>
      <w:textAlignment w:val="baseline"/>
    </w:pPr>
    <w:rPr>
      <w:rFonts w:ascii="宋体" w:hAnsi="宋体" w:eastAsia="宋体"/>
      <w:kern w:val="2"/>
      <w:sz w:val="21"/>
      <w:szCs w:val="21"/>
      <w:lang w:val="en-US" w:eastAsia="zh-CN" w:bidi="ar-SA"/>
    </w:rPr>
  </w:style>
  <w:style w:type="paragraph" w:customStyle="1" w:styleId="4">
    <w:name w:val="EnvelopeReturn"/>
    <w:basedOn w:val="1"/>
    <w:qFormat/>
    <w:uiPriority w:val="0"/>
    <w:pPr>
      <w:snapToGrid w:val="0"/>
      <w:jc w:val="both"/>
      <w:textAlignment w:val="baseline"/>
    </w:pPr>
    <w:rPr>
      <w:rFonts w:ascii="Arial" w:hAnsi="Arial" w:eastAsia="微软雅黑"/>
      <w:kern w:val="2"/>
      <w:sz w:val="21"/>
      <w:szCs w:val="22"/>
      <w:lang w:val="en-US" w:eastAsia="zh-CN" w:bidi="ar-SA"/>
    </w:rPr>
  </w:style>
  <w:style w:type="paragraph" w:styleId="8">
    <w:name w:val="Normal Indent"/>
    <w:basedOn w:val="1"/>
    <w:qFormat/>
    <w:uiPriority w:val="0"/>
    <w:pPr>
      <w:spacing w:line="360" w:lineRule="auto"/>
      <w:ind w:firstLine="420" w:firstLineChars="200"/>
    </w:pPr>
    <w:rPr>
      <w:rFonts w:ascii="Times New Roman" w:hAnsi="Times New Roman" w:cs="Times New Roman"/>
      <w:sz w:val="24"/>
      <w:szCs w:val="24"/>
    </w:rPr>
  </w:style>
  <w:style w:type="paragraph" w:styleId="10">
    <w:name w:val="Body Text Indent"/>
    <w:basedOn w:val="1"/>
    <w:next w:val="11"/>
    <w:qFormat/>
    <w:uiPriority w:val="99"/>
    <w:pPr>
      <w:spacing w:line="440" w:lineRule="exact"/>
      <w:ind w:firstLine="403" w:firstLineChars="192"/>
    </w:pPr>
    <w:rPr>
      <w:rFonts w:ascii="宋体" w:hAnsi="宋体" w:cs="宋体"/>
    </w:rPr>
  </w:style>
  <w:style w:type="paragraph" w:styleId="11">
    <w:name w:val="envelope return"/>
    <w:basedOn w:val="1"/>
    <w:qFormat/>
    <w:uiPriority w:val="0"/>
    <w:rPr>
      <w:rFonts w:ascii="Arial" w:hAnsi="Arial"/>
    </w:rPr>
  </w:style>
  <w:style w:type="paragraph" w:styleId="12">
    <w:name w:val="index 4"/>
    <w:basedOn w:val="1"/>
    <w:next w:val="1"/>
    <w:qFormat/>
    <w:uiPriority w:val="99"/>
    <w:pPr>
      <w:ind w:left="600" w:leftChars="600"/>
    </w:pPr>
    <w:rPr>
      <w:rFonts w:ascii="Verdana" w:hAnsi="Verdana"/>
      <w:szCs w:val="20"/>
    </w:rPr>
  </w:style>
  <w:style w:type="paragraph" w:styleId="13">
    <w:name w:val="Plain Text"/>
    <w:basedOn w:val="1"/>
    <w:qFormat/>
    <w:uiPriority w:val="99"/>
    <w:pPr>
      <w:spacing w:line="360" w:lineRule="auto"/>
      <w:ind w:firstLine="200" w:firstLineChars="200"/>
    </w:pPr>
    <w:rPr>
      <w:rFonts w:ascii="宋体" w:hAnsi="Courier New" w:cs="宋体"/>
      <w:sz w:val="24"/>
      <w:szCs w:val="24"/>
    </w:rPr>
  </w:style>
  <w:style w:type="paragraph" w:styleId="14">
    <w:name w:val="Date"/>
    <w:basedOn w:val="1"/>
    <w:next w:val="1"/>
    <w:qFormat/>
    <w:uiPriority w:val="99"/>
    <w:pPr>
      <w:spacing w:line="360" w:lineRule="auto"/>
      <w:ind w:firstLine="200" w:firstLineChars="200"/>
    </w:pPr>
    <w:rPr>
      <w:rFonts w:ascii="Times New Roman" w:hAnsi="Times New Roman" w:cs="Times New Roman"/>
      <w:sz w:val="24"/>
      <w:szCs w:val="24"/>
    </w:rPr>
  </w:style>
  <w:style w:type="paragraph" w:styleId="15">
    <w:name w:val="footer"/>
    <w:basedOn w:val="1"/>
    <w:qFormat/>
    <w:uiPriority w:val="99"/>
    <w:pPr>
      <w:tabs>
        <w:tab w:val="center" w:pos="4153"/>
        <w:tab w:val="right" w:pos="8306"/>
      </w:tabs>
      <w:spacing w:line="360" w:lineRule="auto"/>
      <w:ind w:firstLine="200" w:firstLineChars="200"/>
    </w:pPr>
    <w:rPr>
      <w:rFonts w:ascii="Times New Roman" w:hAnsi="Times New Roman" w:cs="Times New Roman"/>
      <w:sz w:val="18"/>
      <w:szCs w:val="18"/>
    </w:rPr>
  </w:style>
  <w:style w:type="paragraph" w:styleId="16">
    <w:name w:val="header"/>
    <w:basedOn w:val="1"/>
    <w:qFormat/>
    <w:uiPriority w:val="99"/>
    <w:pPr>
      <w:pBdr>
        <w:bottom w:val="single" w:color="auto" w:sz="6" w:space="1"/>
      </w:pBdr>
      <w:tabs>
        <w:tab w:val="center" w:pos="4153"/>
        <w:tab w:val="right" w:pos="8306"/>
      </w:tabs>
      <w:spacing w:line="360" w:lineRule="auto"/>
      <w:ind w:firstLine="200" w:firstLineChars="200"/>
      <w:jc w:val="center"/>
    </w:pPr>
    <w:rPr>
      <w:rFonts w:ascii="Times New Roman" w:hAnsi="Times New Roman" w:cs="Times New Roman"/>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99"/>
    <w:pPr>
      <w:spacing w:before="100" w:beforeAutospacing="1" w:after="100" w:afterAutospacing="1"/>
    </w:pPr>
    <w:rPr>
      <w:rFonts w:ascii="宋体" w:hAnsi="宋体" w:cs="宋体"/>
      <w:sz w:val="24"/>
      <w:szCs w:val="24"/>
    </w:rPr>
  </w:style>
  <w:style w:type="paragraph" w:styleId="20">
    <w:name w:val="Body Text First Indent 2"/>
    <w:basedOn w:val="10"/>
    <w:next w:val="1"/>
    <w:qFormat/>
    <w:uiPriority w:val="99"/>
    <w:pPr>
      <w:widowControl w:val="0"/>
      <w:ind w:firstLine="420" w:firstLineChars="200"/>
      <w:jc w:val="both"/>
    </w:pPr>
    <w:rPr>
      <w:rFonts w:ascii="Calibri" w:hAnsi="Calibri" w:eastAsia="宋体" w:cs="Calibri"/>
      <w:kern w:val="2"/>
      <w:sz w:val="21"/>
      <w:szCs w:val="21"/>
    </w:rPr>
  </w:style>
  <w:style w:type="character" w:styleId="23">
    <w:name w:val="Strong"/>
    <w:basedOn w:val="22"/>
    <w:qFormat/>
    <w:uiPriority w:val="99"/>
    <w:rPr>
      <w:b/>
      <w:bCs/>
    </w:rPr>
  </w:style>
  <w:style w:type="paragraph" w:customStyle="1" w:styleId="24">
    <w:name w:val="普通正文"/>
    <w:basedOn w:val="1"/>
    <w:qFormat/>
    <w:uiPriority w:val="99"/>
    <w:pPr>
      <w:spacing w:before="120" w:after="120" w:line="360" w:lineRule="auto"/>
      <w:ind w:firstLine="480" w:firstLineChars="200"/>
    </w:pPr>
    <w:rPr>
      <w:rFonts w:ascii="Arial" w:hAnsi="Arial" w:cs="Arial"/>
      <w:sz w:val="24"/>
      <w:szCs w:val="24"/>
    </w:rPr>
  </w:style>
  <w:style w:type="paragraph" w:customStyle="1" w:styleId="25">
    <w:name w:val="段"/>
    <w:next w:val="1"/>
    <w:qFormat/>
    <w:uiPriority w:val="99"/>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WPSOffice手动目录 1"/>
    <w:qFormat/>
    <w:uiPriority w:val="0"/>
    <w:pPr>
      <w:ind w:leftChars="0"/>
    </w:pPr>
    <w:rPr>
      <w:rFonts w:ascii="Calibri" w:hAnsi="Calibri" w:eastAsia="宋体" w:cs="Times New Roman"/>
      <w:sz w:val="20"/>
      <w:szCs w:val="20"/>
    </w:rPr>
  </w:style>
  <w:style w:type="paragraph" w:customStyle="1" w:styleId="27">
    <w:name w:val="WPSOffice手动目录 2"/>
    <w:qFormat/>
    <w:uiPriority w:val="0"/>
    <w:pPr>
      <w:ind w:leftChars="200"/>
    </w:pPr>
    <w:rPr>
      <w:rFonts w:ascii="Calibri" w:hAnsi="Calibri" w:eastAsia="宋体" w:cs="Times New Roman"/>
      <w:sz w:val="20"/>
      <w:szCs w:val="20"/>
    </w:rPr>
  </w:style>
  <w:style w:type="paragraph" w:customStyle="1" w:styleId="28">
    <w:name w:val="一级目录"/>
    <w:next w:val="1"/>
    <w:qFormat/>
    <w:uiPriority w:val="99"/>
    <w:pPr>
      <w:spacing w:afterLines="100" w:line="259" w:lineRule="auto"/>
      <w:jc w:val="center"/>
      <w:outlineLvl w:val="0"/>
    </w:pPr>
    <w:rPr>
      <w:rFonts w:ascii="黑体" w:hAnsi="Times New Roman" w:eastAsia="黑体" w:cs="Times New Roman"/>
      <w:b/>
      <w:bCs/>
      <w:kern w:val="2"/>
      <w:sz w:val="44"/>
      <w:szCs w:val="44"/>
      <w:lang w:val="en-US" w:eastAsia="zh-CN" w:bidi="ar-SA"/>
    </w:rPr>
  </w:style>
  <w:style w:type="paragraph" w:customStyle="1" w:styleId="29">
    <w:name w:val="二级目录"/>
    <w:next w:val="1"/>
    <w:link w:val="34"/>
    <w:qFormat/>
    <w:uiPriority w:val="99"/>
    <w:pPr>
      <w:numPr>
        <w:ilvl w:val="0"/>
        <w:numId w:val="2"/>
      </w:numPr>
      <w:spacing w:after="160" w:line="259" w:lineRule="auto"/>
      <w:outlineLvl w:val="1"/>
    </w:pPr>
    <w:rPr>
      <w:rFonts w:ascii="Calibri" w:hAnsi="Calibri" w:eastAsia="宋体" w:cs="Times New Roman"/>
      <w:b/>
      <w:bCs/>
      <w:kern w:val="2"/>
      <w:sz w:val="28"/>
      <w:szCs w:val="28"/>
      <w:lang w:val="en-US" w:eastAsia="zh-CN" w:bidi="ar-SA"/>
    </w:rPr>
  </w:style>
  <w:style w:type="paragraph" w:customStyle="1" w:styleId="30">
    <w:name w:val="正文首行缩进 21"/>
    <w:basedOn w:val="10"/>
    <w:next w:val="1"/>
    <w:qFormat/>
    <w:locked/>
    <w:uiPriority w:val="99"/>
    <w:pPr>
      <w:widowControl w:val="0"/>
      <w:ind w:firstLine="420" w:firstLineChars="200"/>
      <w:jc w:val="both"/>
    </w:pPr>
    <w:rPr>
      <w:rFonts w:ascii="Calibri" w:hAnsi="Calibri" w:cs="Calibri"/>
      <w:kern w:val="2"/>
      <w:sz w:val="21"/>
    </w:rPr>
  </w:style>
  <w:style w:type="paragraph" w:customStyle="1" w:styleId="31">
    <w:name w:val="列出段落1"/>
    <w:basedOn w:val="1"/>
    <w:qFormat/>
    <w:uiPriority w:val="99"/>
    <w:pPr>
      <w:ind w:firstLine="420" w:firstLineChars="200"/>
    </w:pPr>
  </w:style>
  <w:style w:type="paragraph" w:customStyle="1" w:styleId="32">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paragraph" w:customStyle="1" w:styleId="33">
    <w:name w:val="_Style 3"/>
    <w:basedOn w:val="1"/>
    <w:next w:val="1"/>
    <w:qFormat/>
    <w:uiPriority w:val="99"/>
    <w:pPr>
      <w:pBdr>
        <w:bottom w:val="single" w:color="auto" w:sz="6" w:space="1"/>
      </w:pBdr>
      <w:jc w:val="center"/>
    </w:pPr>
    <w:rPr>
      <w:rFonts w:ascii="Arial" w:hAnsi="Arial" w:cs="Arial"/>
      <w:vanish/>
      <w:sz w:val="16"/>
      <w:szCs w:val="16"/>
    </w:rPr>
  </w:style>
  <w:style w:type="character" w:customStyle="1" w:styleId="34">
    <w:name w:val="二级目录 Char"/>
    <w:link w:val="29"/>
    <w:qFormat/>
    <w:uiPriority w:val="99"/>
    <w:rPr>
      <w:rFonts w:ascii="Calibri" w:hAnsi="Calibri" w:eastAsia="宋体" w:cs="Times New Roman"/>
      <w:b/>
      <w:bCs/>
      <w:kern w:val="2"/>
      <w:sz w:val="28"/>
      <w:szCs w:val="28"/>
      <w:lang w:val="en-US" w:eastAsia="zh-CN" w:bidi="ar-SA"/>
    </w:rPr>
  </w:style>
  <w:style w:type="paragraph" w:customStyle="1" w:styleId="35">
    <w:name w:val="Char1"/>
    <w:basedOn w:val="1"/>
    <w:qFormat/>
    <w:uiPriority w:val="99"/>
    <w:rPr>
      <w:rFonts w:cs="Tahoma"/>
      <w:sz w:val="24"/>
      <w:szCs w:val="24"/>
    </w:rPr>
  </w:style>
  <w:style w:type="paragraph" w:styleId="36">
    <w:name w:val="List Paragraph"/>
    <w:basedOn w:val="1"/>
    <w:qFormat/>
    <w:uiPriority w:val="34"/>
    <w:pPr>
      <w:ind w:firstLine="420" w:firstLineChars="200"/>
    </w:pPr>
    <w:rPr>
      <w:szCs w:val="24"/>
    </w:rPr>
  </w:style>
  <w:style w:type="character" w:customStyle="1" w:styleId="37">
    <w:name w:val="15"/>
    <w:qFormat/>
    <w:uiPriority w:val="0"/>
    <w:rPr>
      <w:rFonts w:hint="default" w:ascii="Calibri" w:hAnsi="Calibri" w:eastAsia="微软雅黑"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24006</Words>
  <Characters>25615</Characters>
  <Lines>0</Lines>
  <Paragraphs>0</Paragraphs>
  <TotalTime>0</TotalTime>
  <ScaleCrop>false</ScaleCrop>
  <LinksUpToDate>false</LinksUpToDate>
  <CharactersWithSpaces>27168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2022-04-13T14:13:00Z</dcterms:created>
  <dc:creator>oem</dc:creator>
  <cp:lastModifiedBy>oem</cp:lastModifiedBy>
  <dcterms:modified xsi:type="dcterms:W3CDTF">2022-05-13T08:21:52Z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307612D8969241F0B13C0C58C2C065B2</vt:lpwstr>
  </property>
  <property fmtid="{D5CDD505-2E9C-101B-9397-08002B2CF9AE}" pid="4" name="commondata">
    <vt:lpwstr>eyJoZGlkIjoiZjAwOGUyNmU1ZmEzZWZiOWM2Y2Q1OGIxNjM2NjM3MjMifQ==</vt:lpwstr>
  </property>
</Properties>
</file>