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8" w:rsidRDefault="00BF0F0E" w:rsidP="000C19B8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C19B8" w:rsidRPr="000C19B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动物中心无创血压分析系统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652327" w:rsidRDefault="00130D74" w:rsidP="000C19B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130D74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0C19B8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C19B8" w:rsidRPr="000C19B8">
        <w:rPr>
          <w:rFonts w:asciiTheme="minorEastAsia" w:eastAsiaTheme="minorEastAsia" w:hAnsiTheme="minorEastAsia" w:hint="eastAsia"/>
          <w:sz w:val="28"/>
          <w:szCs w:val="28"/>
          <w:u w:val="single"/>
        </w:rPr>
        <w:t>动物中心无创血压分析系统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C19B8" w:rsidRPr="000C19B8">
        <w:rPr>
          <w:rFonts w:asciiTheme="minorEastAsia" w:eastAsiaTheme="minorEastAsia" w:hAnsiTheme="minorEastAsia" w:hint="eastAsia"/>
          <w:sz w:val="28"/>
          <w:szCs w:val="28"/>
        </w:rPr>
        <w:t>动物中心无创血压分析系统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69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南京佳晨鑫生物工程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壹拾捌万元整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180000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B5" w:rsidRDefault="00E130B5" w:rsidP="00BF0F0E">
      <w:pPr>
        <w:spacing w:after="0"/>
      </w:pPr>
      <w:r>
        <w:separator/>
      </w:r>
    </w:p>
  </w:endnote>
  <w:endnote w:type="continuationSeparator" w:id="0">
    <w:p w:rsidR="00E130B5" w:rsidRDefault="00E130B5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B5" w:rsidRDefault="00E130B5" w:rsidP="00BF0F0E">
      <w:pPr>
        <w:spacing w:after="0"/>
      </w:pPr>
      <w:r>
        <w:separator/>
      </w:r>
    </w:p>
  </w:footnote>
  <w:footnote w:type="continuationSeparator" w:id="0">
    <w:p w:rsidR="00E130B5" w:rsidRDefault="00E130B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42EF4"/>
    <w:rsid w:val="000503FE"/>
    <w:rsid w:val="000513CE"/>
    <w:rsid w:val="00061071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8B57EC-9290-4A8F-816A-513AA7E0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201</cp:revision>
  <dcterms:created xsi:type="dcterms:W3CDTF">2008-09-11T17:20:00Z</dcterms:created>
  <dcterms:modified xsi:type="dcterms:W3CDTF">2019-12-03T03:38:00Z</dcterms:modified>
</cp:coreProperties>
</file>