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249F">
      <w:pPr>
        <w:pStyle w:val="33"/>
        <w:ind w:firstLine="0"/>
        <w:jc w:val="center"/>
        <w:rPr>
          <w:rFonts w:eastAsia="黑体"/>
          <w:b/>
          <w:bCs/>
          <w:color w:val="000000" w:themeColor="text1"/>
          <w:sz w:val="8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447DF3E9">
      <w:pPr>
        <w:pStyle w:val="33"/>
        <w:ind w:firstLine="0"/>
        <w:jc w:val="center"/>
        <w:rPr>
          <w:rFonts w:eastAsia="黑体"/>
          <w:b/>
          <w:bCs/>
          <w:color w:val="000000" w:themeColor="text1"/>
          <w:sz w:val="84"/>
          <w14:textFill>
            <w14:solidFill>
              <w14:schemeClr w14:val="tx1"/>
            </w14:solidFill>
          </w14:textFill>
        </w:rPr>
      </w:pPr>
    </w:p>
    <w:p w14:paraId="4EC98968">
      <w:pPr>
        <w:pStyle w:val="33"/>
        <w:ind w:firstLine="0"/>
        <w:jc w:val="center"/>
        <w:rPr>
          <w:rFonts w:ascii="微软雅黑" w:hAnsi="微软雅黑" w:eastAsia="微软雅黑" w:cs="微软雅黑"/>
          <w:b/>
          <w:bCs/>
          <w:color w:val="000000" w:themeColor="text1"/>
          <w:sz w:val="84"/>
          <w14:textFill>
            <w14:solidFill>
              <w14:schemeClr w14:val="tx1"/>
            </w14:solidFill>
          </w14:textFill>
        </w:rPr>
      </w:pPr>
      <w:r>
        <w:rPr>
          <w:rFonts w:hint="eastAsia" w:ascii="微软雅黑" w:hAnsi="微软雅黑" w:eastAsia="微软雅黑" w:cs="微软雅黑"/>
          <w:b/>
          <w:bCs/>
          <w:color w:val="000000" w:themeColor="text1"/>
          <w:sz w:val="96"/>
          <w:szCs w:val="28"/>
          <w14:textFill>
            <w14:solidFill>
              <w14:schemeClr w14:val="tx1"/>
            </w14:solidFill>
          </w14:textFill>
        </w:rPr>
        <w:t>招　标　文　件</w:t>
      </w:r>
    </w:p>
    <w:p w14:paraId="7841D2CB">
      <w:pPr>
        <w:pStyle w:val="33"/>
        <w:ind w:firstLine="2401" w:firstLineChars="750"/>
        <w:rPr>
          <w:rFonts w:ascii="微软雅黑" w:hAnsi="微软雅黑" w:eastAsia="微软雅黑" w:cs="微软雅黑"/>
          <w:b/>
          <w:bCs/>
          <w:color w:val="000000" w:themeColor="text1"/>
          <w:sz w:val="32"/>
          <w14:textFill>
            <w14:solidFill>
              <w14:schemeClr w14:val="tx1"/>
            </w14:solidFill>
          </w14:textFill>
        </w:rPr>
      </w:pPr>
    </w:p>
    <w:p w14:paraId="788BDBAD">
      <w:pPr>
        <w:pStyle w:val="33"/>
        <w:rPr>
          <w:rFonts w:ascii="微软雅黑" w:hAnsi="微软雅黑" w:eastAsia="微软雅黑" w:cs="微软雅黑"/>
          <w:b/>
          <w:bCs/>
          <w:color w:val="000000" w:themeColor="text1"/>
          <w:sz w:val="32"/>
          <w14:textFill>
            <w14:solidFill>
              <w14:schemeClr w14:val="tx1"/>
            </w14:solidFill>
          </w14:textFill>
        </w:rPr>
      </w:pPr>
    </w:p>
    <w:p w14:paraId="6012CAF0">
      <w:pPr>
        <w:pStyle w:val="33"/>
        <w:rPr>
          <w:rFonts w:hint="default" w:ascii="微软雅黑" w:hAnsi="微软雅黑" w:eastAsia="微软雅黑" w:cs="微软雅黑"/>
          <w:b/>
          <w:bCs/>
          <w:color w:val="000000" w:themeColor="text1"/>
          <w:sz w:val="32"/>
          <w:u w:val="thick"/>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uVoHekBAADeAwAADgAAAGRycy9lMm9Eb2MueG1srVNL&#10;ktMwEN1TxR1U2hM7CZOhXHFmMWHYUJAqhgN0ZNlWlX6lVuLkLFyDFRuOM9egJZsMDJss8EJuqZ+e&#10;+r2W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Nfzp2/en&#10;Hz/ZKnkzeKwIcm93YZqh34Uk9NQGk/4kgZ2yn+eLn/IUmaDF5dtVeXtDVgvKrZY3ibF43uoDxg/S&#10;GZaCmmtlk1io4PgR4wj9DUnL2rKBLuzitkyMQFevpZZTaDyVj7bLm9Fp1TwordMWDN3+Xgd2hNT+&#10;/E01/AVLp2wB+xGXUwkGVS+heW8bFs+ejLH0HniqwciGMy3p+aQoIyMofQ2S5GtLLiRjRytTtHfN&#10;mdpw8EF1PVkxz1WmDLU9ezZd0XSv/pxnpudn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x/g&#10;sdgAAAAJAQAADwAAAAAAAAABACAAAAAiAAAAZHJzL2Rvd25yZXYueG1sUEsBAhQAFAAAAAgAh07i&#10;QMrlaB3pAQAA3gMAAA4AAAAAAAAAAQAgAAAAJwEAAGRycy9lMm9Eb2MueG1sUEsFBgAAAAAGAAYA&#10;WQEAAII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000000" w:themeColor="text1"/>
          <w:sz w:val="32"/>
          <w14:textFill>
            <w14:solidFill>
              <w14:schemeClr w14:val="tx1"/>
            </w14:solidFill>
          </w14:textFill>
        </w:rPr>
        <w:t>项目名称：</w:t>
      </w:r>
      <w:r>
        <w:rPr>
          <w:rFonts w:hint="eastAsia" w:ascii="微软雅黑" w:hAnsi="微软雅黑" w:eastAsia="微软雅黑" w:cs="微软雅黑"/>
          <w:b/>
          <w:bCs/>
          <w:color w:val="000000" w:themeColor="text1"/>
          <w:sz w:val="32"/>
          <w:lang w:val="en-US" w:eastAsia="zh-CN"/>
          <w14:textFill>
            <w14:solidFill>
              <w14:schemeClr w14:val="tx1"/>
            </w14:solidFill>
          </w14:textFill>
        </w:rPr>
        <w:t xml:space="preserve">      南京医科大学在线虚拟诊疗系统服务</w:t>
      </w:r>
    </w:p>
    <w:p w14:paraId="56D7608D">
      <w:pPr>
        <w:pStyle w:val="33"/>
        <w:rPr>
          <w:rFonts w:ascii="微软雅黑" w:hAnsi="微软雅黑" w:eastAsia="微软雅黑" w:cs="微软雅黑"/>
          <w:b/>
          <w:bCs/>
          <w:color w:val="000000" w:themeColor="text1"/>
          <w:sz w:val="13"/>
          <w:szCs w:val="10"/>
          <w:u w:val="thick"/>
          <w14:textFill>
            <w14:solidFill>
              <w14:schemeClr w14:val="tx1"/>
            </w14:solidFill>
          </w14:textFill>
        </w:rPr>
      </w:pPr>
    </w:p>
    <w:p w14:paraId="38A5AA46">
      <w:pPr>
        <w:pStyle w:val="33"/>
        <w:ind w:firstLine="0"/>
        <w:rPr>
          <w:rFonts w:ascii="微软雅黑" w:hAnsi="微软雅黑" w:eastAsia="微软雅黑" w:cs="微软雅黑"/>
          <w:b/>
          <w:bCs/>
          <w:color w:val="000000" w:themeColor="text1"/>
          <w:sz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1u7ve6QEAAN4DAAAOAAAAZHJzL2Uyb0RvYy54bWytU0uS&#10;0zAQ3VPFHVTaEzuZmYRyxZnFhGFDQaqAA3Rk2VaVfqVW4uQsXIMVG44z16AlmwwMmyzwQm6pn576&#10;vZb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DU8Kdv359+&#10;/GSr5M3gsSLIg92FaYZ+F5LQUxtM+pMEdsp+ni9+ylNkghZvbpfl6o6sFpRb3twlxuJ5qw8Y30tn&#10;WApqrpVNYqGC4weMI/Q3JC1rywa6sItVmRiBrl5LLafQeCofbZc3o9OqeVRapy0Yuv2DDuwIqf35&#10;m2r4C5ZO2QL2Iy6nEgyqXkLzzjYsnj0ZY+k98FSDkQ1nWtLzSVFGRlD6GiTJ15ZcSMaOVqZo75oz&#10;teHgg+p6smKeq0wZanv2bLqi6V79Oc9Mz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9bu73u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000000" w:themeColor="text1"/>
          <w:sz w:val="32"/>
          <w14:textFill>
            <w14:solidFill>
              <w14:schemeClr w14:val="tx1"/>
            </w14:solidFill>
          </w14:textFill>
        </w:rPr>
        <w:t xml:space="preserve">     项目编号：</w:t>
      </w:r>
      <w:r>
        <w:rPr>
          <w:rFonts w:hint="eastAsia" w:ascii="微软雅黑" w:hAnsi="微软雅黑" w:eastAsia="微软雅黑" w:cs="微软雅黑"/>
          <w:b/>
          <w:bCs/>
          <w:color w:val="000000" w:themeColor="text1"/>
          <w:sz w:val="32"/>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32"/>
          <w14:textFill>
            <w14:solidFill>
              <w14:schemeClr w14:val="tx1"/>
            </w14:solidFill>
          </w14:textFill>
        </w:rPr>
        <w:t>NJMUZB2242024038</w:t>
      </w:r>
    </w:p>
    <w:p w14:paraId="4E14CEF4">
      <w:pPr>
        <w:pStyle w:val="33"/>
        <w:spacing w:before="0" w:after="0"/>
        <w:ind w:firstLine="0"/>
        <w:rPr>
          <w:rFonts w:ascii="宋体" w:hAnsi="宋体"/>
          <w:color w:val="000000" w:themeColor="text1"/>
          <w14:textFill>
            <w14:solidFill>
              <w14:schemeClr w14:val="tx1"/>
            </w14:solidFill>
          </w14:textFill>
        </w:rPr>
      </w:pPr>
    </w:p>
    <w:p w14:paraId="2E29AB44">
      <w:pPr>
        <w:pStyle w:val="33"/>
        <w:spacing w:before="0" w:after="0"/>
        <w:ind w:firstLine="0"/>
        <w:rPr>
          <w:rFonts w:ascii="宋体" w:hAnsi="宋体"/>
          <w:color w:val="000000" w:themeColor="text1"/>
          <w14:textFill>
            <w14:solidFill>
              <w14:schemeClr w14:val="tx1"/>
            </w14:solidFill>
          </w14:textFill>
        </w:rPr>
      </w:pPr>
    </w:p>
    <w:p w14:paraId="4BE6B7BB">
      <w:pPr>
        <w:pStyle w:val="33"/>
        <w:spacing w:before="0" w:after="0"/>
        <w:ind w:firstLine="0"/>
        <w:rPr>
          <w:rFonts w:ascii="宋体" w:hAnsi="宋体"/>
          <w:color w:val="000000" w:themeColor="text1"/>
          <w14:textFill>
            <w14:solidFill>
              <w14:schemeClr w14:val="tx1"/>
            </w14:solidFill>
          </w14:textFill>
        </w:rPr>
      </w:pPr>
    </w:p>
    <w:p w14:paraId="33C8441B">
      <w:pPr>
        <w:pStyle w:val="33"/>
        <w:spacing w:before="0" w:after="0"/>
        <w:ind w:firstLine="0"/>
        <w:rPr>
          <w:rFonts w:ascii="宋体" w:hAnsi="宋体"/>
          <w:color w:val="000000" w:themeColor="text1"/>
          <w14:textFill>
            <w14:solidFill>
              <w14:schemeClr w14:val="tx1"/>
            </w14:solidFill>
          </w14:textFill>
        </w:rPr>
      </w:pPr>
    </w:p>
    <w:p w14:paraId="739C0F7F">
      <w:pPr>
        <w:pStyle w:val="33"/>
        <w:ind w:firstLine="0"/>
        <w:jc w:val="center"/>
        <w:rPr>
          <w:rFonts w:ascii="微软雅黑" w:hAnsi="微软雅黑" w:eastAsia="微软雅黑" w:cs="微软雅黑"/>
          <w:b/>
          <w:bCs/>
          <w:color w:val="000000" w:themeColor="text1"/>
          <w:sz w:val="32"/>
          <w14:textFill>
            <w14:solidFill>
              <w14:schemeClr w14:val="tx1"/>
            </w14:solidFill>
          </w14:textFill>
        </w:rPr>
      </w:pPr>
      <w:r>
        <w:rPr>
          <w:rFonts w:hint="eastAsia" w:ascii="微软雅黑" w:hAnsi="微软雅黑" w:eastAsia="微软雅黑" w:cs="微软雅黑"/>
          <w:b/>
          <w:bCs/>
          <w:color w:val="000000" w:themeColor="text1"/>
          <w:sz w:val="32"/>
          <w14:textFill>
            <w14:solidFill>
              <w14:schemeClr w14:val="tx1"/>
            </w14:solidFill>
          </w14:textFill>
        </w:rPr>
        <w:t>二零二四年</w:t>
      </w:r>
      <w:r>
        <w:rPr>
          <w:rFonts w:hint="eastAsia" w:ascii="微软雅黑" w:hAnsi="微软雅黑" w:eastAsia="微软雅黑" w:cs="微软雅黑"/>
          <w:b/>
          <w:bCs/>
          <w:color w:val="000000" w:themeColor="text1"/>
          <w:sz w:val="32"/>
          <w:lang w:val="en-US" w:eastAsia="zh-CN"/>
          <w14:textFill>
            <w14:solidFill>
              <w14:schemeClr w14:val="tx1"/>
            </w14:solidFill>
          </w14:textFill>
        </w:rPr>
        <w:t>十一</w:t>
      </w:r>
      <w:r>
        <w:rPr>
          <w:rFonts w:hint="eastAsia" w:ascii="微软雅黑" w:hAnsi="微软雅黑" w:eastAsia="微软雅黑" w:cs="微软雅黑"/>
          <w:b/>
          <w:bCs/>
          <w:color w:val="000000" w:themeColor="text1"/>
          <w:sz w:val="32"/>
          <w14:textFill>
            <w14:solidFill>
              <w14:schemeClr w14:val="tx1"/>
            </w14:solidFill>
          </w14:textFill>
        </w:rPr>
        <w:t>月</w:t>
      </w:r>
    </w:p>
    <w:p w14:paraId="0F68F9F1">
      <w:pPr>
        <w:pStyle w:val="33"/>
        <w:ind w:firstLine="0"/>
        <w:jc w:val="center"/>
        <w:rPr>
          <w:rFonts w:ascii="微软雅黑" w:hAnsi="微软雅黑" w:eastAsia="微软雅黑" w:cs="微软雅黑"/>
          <w:b/>
          <w:bCs/>
          <w:color w:val="000000" w:themeColor="text1"/>
          <w:sz w:val="32"/>
          <w14:textFill>
            <w14:solidFill>
              <w14:schemeClr w14:val="tx1"/>
            </w14:solidFill>
          </w14:textFill>
        </w:rPr>
      </w:pPr>
    </w:p>
    <w:p w14:paraId="2E067B73">
      <w:pPr>
        <w:pStyle w:val="33"/>
        <w:ind w:firstLine="0"/>
        <w:jc w:val="center"/>
        <w:rPr>
          <w:rFonts w:hint="eastAsia" w:ascii="黑体" w:hAnsi="黑体" w:eastAsia="黑体"/>
          <w:b/>
          <w:color w:val="000000" w:themeColor="text1"/>
          <w:sz w:val="44"/>
          <w:szCs w:val="28"/>
          <w14:textFill>
            <w14:solidFill>
              <w14:schemeClr w14:val="tx1"/>
            </w14:solidFill>
          </w14:textFill>
        </w:rPr>
      </w:pPr>
      <w:bookmarkStart w:id="0" w:name="_Toc517190880"/>
      <w:bookmarkStart w:id="1" w:name="_Toc120614210"/>
      <w:bookmarkStart w:id="2" w:name="_Toc20823272"/>
      <w:bookmarkStart w:id="3" w:name="_Toc479757206"/>
      <w:bookmarkStart w:id="4" w:name="_Toc523127445"/>
      <w:bookmarkStart w:id="5" w:name="_Toc513029200"/>
      <w:bookmarkStart w:id="6" w:name="_Toc16938516"/>
    </w:p>
    <w:p w14:paraId="29A72248">
      <w:pPr>
        <w:pStyle w:val="33"/>
        <w:ind w:firstLine="0"/>
        <w:jc w:val="center"/>
        <w:rPr>
          <w:rFonts w:eastAsia="黑体"/>
          <w:b/>
          <w:bCs/>
          <w:color w:val="000000" w:themeColor="text1"/>
          <w:sz w:val="32"/>
          <w14:textFill>
            <w14:solidFill>
              <w14:schemeClr w14:val="tx1"/>
            </w14:solidFill>
          </w14:textFill>
        </w:rPr>
      </w:pPr>
      <w:r>
        <w:rPr>
          <w:rFonts w:hint="eastAsia" w:ascii="黑体" w:hAnsi="黑体" w:eastAsia="黑体"/>
          <w:b/>
          <w:color w:val="000000" w:themeColor="text1"/>
          <w:sz w:val="44"/>
          <w:szCs w:val="28"/>
          <w14:textFill>
            <w14:solidFill>
              <w14:schemeClr w14:val="tx1"/>
            </w14:solidFill>
          </w14:textFill>
        </w:rPr>
        <w:t>目  录</w:t>
      </w:r>
      <w:bookmarkEnd w:id="0"/>
    </w:p>
    <w:p w14:paraId="602196DC">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b w:val="0"/>
          <w:color w:val="000000" w:themeColor="text1"/>
          <w:sz w:val="40"/>
          <w:szCs w:val="28"/>
          <w14:textFill>
            <w14:solidFill>
              <w14:schemeClr w14:val="tx1"/>
            </w14:solidFill>
          </w14:textFill>
        </w:rPr>
        <w:fldChar w:fldCharType="begin"/>
      </w:r>
      <w:r>
        <w:rPr>
          <w:rFonts w:asciiTheme="minorEastAsia" w:hAnsiTheme="minorEastAsia" w:eastAsiaTheme="minorEastAsia"/>
          <w:b w:val="0"/>
          <w:color w:val="000000" w:themeColor="text1"/>
          <w:sz w:val="40"/>
          <w:szCs w:val="28"/>
          <w14:textFill>
            <w14:solidFill>
              <w14:schemeClr w14:val="tx1"/>
            </w14:solidFill>
          </w14:textFill>
        </w:rPr>
        <w:instrText xml:space="preserve"> TOC \o "1-3" \h \z \u </w:instrText>
      </w:r>
      <w:r>
        <w:rPr>
          <w:rFonts w:asciiTheme="minorEastAsia" w:hAnsiTheme="minorEastAsia" w:eastAsiaTheme="minorEastAsia"/>
          <w:b w:val="0"/>
          <w:color w:val="000000" w:themeColor="text1"/>
          <w:sz w:val="40"/>
          <w:szCs w:val="28"/>
          <w14:textFill>
            <w14:solidFill>
              <w14:schemeClr w14:val="tx1"/>
            </w14:solidFill>
          </w14:textFill>
        </w:rPr>
        <w:fldChar w:fldCharType="separate"/>
      </w: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_Toc16294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Theme="majorEastAsia" w:hAnsiTheme="majorEastAsia" w:eastAsiaTheme="majorEastAsia"/>
          <w:color w:val="000000" w:themeColor="text1"/>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3B4D1D58">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_Toc32151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Theme="majorEastAsia" w:hAnsiTheme="majorEastAsia" w:eastAsiaTheme="majorEastAsia"/>
          <w:color w:val="000000" w:themeColor="text1"/>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_Toc32151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4FD5F1E6">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_Toc31620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Theme="majorEastAsia" w:hAnsiTheme="majorEastAsia" w:eastAsiaTheme="majorEastAsia"/>
          <w:color w:val="000000" w:themeColor="text1"/>
          <w:szCs w:val="32"/>
          <w14:textFill>
            <w14:solidFill>
              <w14:schemeClr w14:val="tx1"/>
            </w14:solidFill>
          </w14:textFill>
        </w:rPr>
        <w:t>第三章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_Toc31620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44B21E7C">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_Toc6447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Theme="majorEastAsia" w:hAnsiTheme="majorEastAsia" w:eastAsiaTheme="majorEastAsia"/>
          <w:color w:val="000000" w:themeColor="text1"/>
          <w:szCs w:val="32"/>
          <w14:textFill>
            <w14:solidFill>
              <w14:schemeClr w14:val="tx1"/>
            </w14:solidFill>
          </w14:textFill>
        </w:rPr>
        <w:t>第四章  评标方法与评标标准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38587E90">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_Toc32204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第五章 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6B6A33B6">
      <w:pPr>
        <w:pStyle w:val="18"/>
        <w:tabs>
          <w:tab w:val="right" w:leader="dot" w:pos="8306"/>
        </w:tabs>
        <w:rPr>
          <w:color w:val="000000" w:themeColor="text1"/>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begin"/>
      </w:r>
      <w:r>
        <w:rPr>
          <w:rFonts w:asciiTheme="minorEastAsia" w:hAnsiTheme="minorEastAsia" w:eastAsiaTheme="minorEastAsia"/>
          <w:color w:val="000000" w:themeColor="text1"/>
          <w:szCs w:val="28"/>
          <w14:textFill>
            <w14:solidFill>
              <w14:schemeClr w14:val="tx1"/>
            </w14:solidFill>
          </w14:textFill>
        </w:rPr>
        <w:instrText xml:space="preserve"> HYPERLINK \l _Toc19271 </w:instrText>
      </w:r>
      <w:r>
        <w:rPr>
          <w:rFonts w:asciiTheme="minorEastAsia" w:hAnsiTheme="minorEastAsia" w:eastAsiaTheme="minorEastAsia"/>
          <w:color w:val="000000" w:themeColor="text1"/>
          <w:szCs w:val="28"/>
          <w14:textFill>
            <w14:solidFill>
              <w14:schemeClr w14:val="tx1"/>
            </w14:solidFill>
          </w14:textFill>
        </w:rPr>
        <w:fldChar w:fldCharType="separate"/>
      </w:r>
      <w:r>
        <w:rPr>
          <w:rFonts w:hint="eastAsia" w:asciiTheme="majorEastAsia" w:hAnsiTheme="majorEastAsia" w:eastAsiaTheme="majorEastAsia" w:cstheme="minorBidi"/>
          <w:color w:val="000000" w:themeColor="text1"/>
          <w:kern w:val="0"/>
          <w:szCs w:val="32"/>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asciiTheme="minorEastAsia" w:hAnsiTheme="minorEastAsia" w:eastAsiaTheme="minorEastAsia"/>
          <w:color w:val="000000" w:themeColor="text1"/>
          <w:szCs w:val="28"/>
          <w14:textFill>
            <w14:solidFill>
              <w14:schemeClr w14:val="tx1"/>
            </w14:solidFill>
          </w14:textFill>
        </w:rPr>
        <w:fldChar w:fldCharType="end"/>
      </w:r>
    </w:p>
    <w:p w14:paraId="5FF5173E">
      <w:pPr>
        <w:spacing w:line="360" w:lineRule="auto"/>
        <w:jc w:val="center"/>
        <w:outlineLvl w:val="0"/>
        <w:rPr>
          <w:rFonts w:ascii="黑体" w:hAnsi="Arial" w:eastAsia="黑体"/>
          <w:b/>
          <w:color w:val="000000" w:themeColor="text1"/>
          <w:sz w:val="44"/>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end"/>
      </w:r>
    </w:p>
    <w:p w14:paraId="36B5A1EE">
      <w:pPr>
        <w:spacing w:line="480" w:lineRule="auto"/>
        <w:rPr>
          <w:rFonts w:ascii="仿宋_GB2312" w:hAnsi="Arial" w:eastAsia="仿宋_GB2312"/>
          <w:b/>
          <w:color w:val="000000" w:themeColor="text1"/>
          <w:sz w:val="28"/>
          <w14:textFill>
            <w14:solidFill>
              <w14:schemeClr w14:val="tx1"/>
            </w14:solidFill>
          </w14:textFill>
        </w:rPr>
      </w:pPr>
    </w:p>
    <w:p w14:paraId="60524335">
      <w:pPr>
        <w:rPr>
          <w:color w:val="000000" w:themeColor="text1"/>
          <w14:textFill>
            <w14:solidFill>
              <w14:schemeClr w14:val="tx1"/>
            </w14:solidFill>
          </w14:textFill>
        </w:rPr>
      </w:pPr>
    </w:p>
    <w:p w14:paraId="4065C195">
      <w:pPr>
        <w:rPr>
          <w:color w:val="000000" w:themeColor="text1"/>
          <w14:textFill>
            <w14:solidFill>
              <w14:schemeClr w14:val="tx1"/>
            </w14:solidFill>
          </w14:textFill>
        </w:rPr>
      </w:pPr>
    </w:p>
    <w:p w14:paraId="4218B494">
      <w:pPr>
        <w:rPr>
          <w:color w:val="000000" w:themeColor="text1"/>
          <w14:textFill>
            <w14:solidFill>
              <w14:schemeClr w14:val="tx1"/>
            </w14:solidFill>
          </w14:textFill>
        </w:rPr>
      </w:pPr>
    </w:p>
    <w:p w14:paraId="13D3DB77">
      <w:pPr>
        <w:rPr>
          <w:color w:val="000000" w:themeColor="text1"/>
          <w14:textFill>
            <w14:solidFill>
              <w14:schemeClr w14:val="tx1"/>
            </w14:solidFill>
          </w14:textFill>
        </w:rPr>
      </w:pPr>
    </w:p>
    <w:p w14:paraId="6D866D03">
      <w:pPr>
        <w:rPr>
          <w:color w:val="000000" w:themeColor="text1"/>
          <w14:textFill>
            <w14:solidFill>
              <w14:schemeClr w14:val="tx1"/>
            </w14:solidFill>
          </w14:textFill>
        </w:rPr>
      </w:pPr>
    </w:p>
    <w:p w14:paraId="0D026310">
      <w:pPr>
        <w:rPr>
          <w:color w:val="000000" w:themeColor="text1"/>
          <w14:textFill>
            <w14:solidFill>
              <w14:schemeClr w14:val="tx1"/>
            </w14:solidFill>
          </w14:textFill>
        </w:rPr>
      </w:pPr>
    </w:p>
    <w:p w14:paraId="672AC0F6">
      <w:pPr>
        <w:rPr>
          <w:color w:val="000000" w:themeColor="text1"/>
          <w14:textFill>
            <w14:solidFill>
              <w14:schemeClr w14:val="tx1"/>
            </w14:solidFill>
          </w14:textFill>
        </w:rPr>
      </w:pPr>
    </w:p>
    <w:p w14:paraId="6F35E24F">
      <w:pPr>
        <w:rPr>
          <w:color w:val="000000" w:themeColor="text1"/>
          <w14:textFill>
            <w14:solidFill>
              <w14:schemeClr w14:val="tx1"/>
            </w14:solidFill>
          </w14:textFill>
        </w:rPr>
      </w:pPr>
    </w:p>
    <w:p w14:paraId="01804653">
      <w:pPr>
        <w:rPr>
          <w:color w:val="000000" w:themeColor="text1"/>
          <w14:textFill>
            <w14:solidFill>
              <w14:schemeClr w14:val="tx1"/>
            </w14:solidFill>
          </w14:textFill>
        </w:rPr>
      </w:pPr>
    </w:p>
    <w:p w14:paraId="5DDBE43C">
      <w:pPr>
        <w:rPr>
          <w:color w:val="000000" w:themeColor="text1"/>
          <w14:textFill>
            <w14:solidFill>
              <w14:schemeClr w14:val="tx1"/>
            </w14:solidFill>
          </w14:textFill>
        </w:rPr>
      </w:pPr>
    </w:p>
    <w:p w14:paraId="04B5EA73">
      <w:pPr>
        <w:rPr>
          <w:color w:val="000000" w:themeColor="text1"/>
          <w14:textFill>
            <w14:solidFill>
              <w14:schemeClr w14:val="tx1"/>
            </w14:solidFill>
          </w14:textFill>
        </w:rPr>
      </w:pPr>
    </w:p>
    <w:p w14:paraId="4E0D6229">
      <w:pPr>
        <w:rPr>
          <w:color w:val="000000" w:themeColor="text1"/>
          <w14:textFill>
            <w14:solidFill>
              <w14:schemeClr w14:val="tx1"/>
            </w14:solidFill>
          </w14:textFill>
        </w:rPr>
      </w:pPr>
    </w:p>
    <w:p w14:paraId="6BA4A7A2">
      <w:pPr>
        <w:rPr>
          <w:color w:val="000000" w:themeColor="text1"/>
          <w14:textFill>
            <w14:solidFill>
              <w14:schemeClr w14:val="tx1"/>
            </w14:solidFill>
          </w14:textFill>
        </w:rPr>
      </w:pPr>
    </w:p>
    <w:p w14:paraId="29E2D1D0">
      <w:pPr>
        <w:rPr>
          <w:color w:val="000000" w:themeColor="text1"/>
          <w14:textFill>
            <w14:solidFill>
              <w14:schemeClr w14:val="tx1"/>
            </w14:solidFill>
          </w14:textFill>
        </w:rPr>
      </w:pPr>
    </w:p>
    <w:p w14:paraId="5E35C8D3">
      <w:pPr>
        <w:rPr>
          <w:color w:val="000000" w:themeColor="text1"/>
          <w14:textFill>
            <w14:solidFill>
              <w14:schemeClr w14:val="tx1"/>
            </w14:solidFill>
          </w14:textFill>
        </w:rPr>
      </w:pPr>
    </w:p>
    <w:p w14:paraId="73B7E18A">
      <w:pPr>
        <w:rPr>
          <w:color w:val="000000" w:themeColor="text1"/>
          <w14:textFill>
            <w14:solidFill>
              <w14:schemeClr w14:val="tx1"/>
            </w14:solidFill>
          </w14:textFill>
        </w:rPr>
      </w:pPr>
    </w:p>
    <w:bookmarkEnd w:id="1"/>
    <w:p w14:paraId="18121D8D">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7" w:name="_Toc19097"/>
      <w:bookmarkStart w:id="8" w:name="_Toc16294"/>
      <w:bookmarkStart w:id="9" w:name="_Toc24948"/>
      <w:r>
        <w:rPr>
          <w:rFonts w:hint="eastAsia" w:asciiTheme="majorEastAsia" w:hAnsiTheme="majorEastAsia" w:eastAsiaTheme="majorEastAsia"/>
          <w:b/>
          <w:color w:val="000000" w:themeColor="text1"/>
          <w:sz w:val="32"/>
          <w:szCs w:val="32"/>
          <w14:textFill>
            <w14:solidFill>
              <w14:schemeClr w14:val="tx1"/>
            </w14:solidFill>
          </w14:textFill>
        </w:rPr>
        <w:t>第一章  招标公告</w:t>
      </w:r>
      <w:bookmarkEnd w:id="7"/>
      <w:bookmarkEnd w:id="8"/>
      <w:bookmarkEnd w:id="9"/>
    </w:p>
    <w:p w14:paraId="025B37CC">
      <w:pPr>
        <w:rPr>
          <w:color w:val="000000" w:themeColor="text1"/>
          <w14:textFill>
            <w14:solidFill>
              <w14:schemeClr w14:val="tx1"/>
            </w14:solidFill>
          </w14:textFill>
        </w:rPr>
      </w:pPr>
    </w:p>
    <w:bookmarkEnd w:id="2"/>
    <w:bookmarkEnd w:id="3"/>
    <w:bookmarkEnd w:id="4"/>
    <w:bookmarkEnd w:id="5"/>
    <w:bookmarkEnd w:id="6"/>
    <w:p w14:paraId="345D2D89">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10" w:name="_Toc513029242"/>
      <w:bookmarkStart w:id="11" w:name="_Toc120614221"/>
      <w:bookmarkStart w:id="12" w:name="OLE_LINK2"/>
      <w:bookmarkStart w:id="13" w:name="OLE_LINK1"/>
      <w:bookmarkStart w:id="14" w:name="_Toc16938558"/>
      <w:bookmarkStart w:id="15" w:name="_Toc479757207"/>
      <w:bookmarkStart w:id="16" w:name="_Toc444669970"/>
      <w:bookmarkStart w:id="17" w:name="_Toc20823314"/>
      <w:bookmarkStart w:id="18" w:name="_Toc120614211"/>
      <w:r>
        <w:rPr>
          <w:rFonts w:hint="eastAsia" w:ascii="宋体" w:hAnsi="宋体" w:eastAsia="宋体" w:cs="宋体"/>
          <w:color w:val="000000" w:themeColor="text1"/>
          <w:sz w:val="24"/>
          <w:szCs w:val="24"/>
          <w14:textFill>
            <w14:solidFill>
              <w14:schemeClr w14:val="tx1"/>
            </w14:solidFill>
          </w14:textFill>
        </w:rPr>
        <w:t>南京医科大学就</w:t>
      </w:r>
      <w:r>
        <w:rPr>
          <w:rFonts w:hint="eastAsia" w:ascii="宋体" w:hAnsi="宋体" w:eastAsia="宋体" w:cs="宋体"/>
          <w:color w:val="000000" w:themeColor="text1"/>
          <w:sz w:val="24"/>
          <w:szCs w:val="24"/>
          <w:u w:val="single"/>
          <w:lang w:val="en-US" w:eastAsia="zh-CN"/>
          <w14:textFill>
            <w14:solidFill>
              <w14:schemeClr w14:val="tx1"/>
            </w14:solidFill>
          </w14:textFill>
        </w:rPr>
        <w:t>南京医科大学在线虚拟诊疗系统服务</w:t>
      </w:r>
      <w:r>
        <w:rPr>
          <w:rFonts w:hint="eastAsia" w:ascii="宋体" w:hAnsi="宋体" w:eastAsia="宋体" w:cs="宋体"/>
          <w:color w:val="000000" w:themeColor="text1"/>
          <w:sz w:val="24"/>
          <w:szCs w:val="24"/>
          <w14:textFill>
            <w14:solidFill>
              <w14:schemeClr w14:val="tx1"/>
            </w14:solidFill>
          </w14:textFill>
        </w:rPr>
        <w:t>采购项目公开招标，相应资金已落实，欢迎符合招标公告资质要求的投标人前来投标。</w:t>
      </w:r>
    </w:p>
    <w:p w14:paraId="115FF93C">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一、项目基本情况</w:t>
      </w:r>
    </w:p>
    <w:p w14:paraId="0BE457AA">
      <w:pPr>
        <w:spacing w:before="120" w:beforeLines="50" w:after="120" w:afterLines="50"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南京医科大学在线虚拟诊疗系统服务</w:t>
      </w:r>
    </w:p>
    <w:p w14:paraId="387583AD">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1.2项目编号：NJMUZB2242024038</w:t>
      </w:r>
    </w:p>
    <w:p w14:paraId="018A5C79">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1.3项目预算：人民币</w:t>
      </w:r>
      <w:r>
        <w:rPr>
          <w:rFonts w:hint="eastAsia" w:ascii="宋体" w:hAnsi="宋体" w:eastAsia="宋体" w:cs="宋体"/>
          <w:color w:val="000000" w:themeColor="text1"/>
          <w:sz w:val="24"/>
          <w:szCs w:val="24"/>
          <w:lang w:val="en-US" w:eastAsia="zh-CN"/>
          <w14:textFill>
            <w14:solidFill>
              <w14:schemeClr w14:val="tx1"/>
            </w14:solidFill>
          </w14:textFill>
        </w:rPr>
        <w:t>9.6</w:t>
      </w:r>
      <w:r>
        <w:rPr>
          <w:rFonts w:hint="eastAsia" w:ascii="宋体" w:hAnsi="宋体" w:eastAsia="宋体" w:cs="宋体"/>
          <w:color w:val="000000" w:themeColor="text1"/>
          <w:sz w:val="24"/>
          <w:szCs w:val="24"/>
          <w14:textFill>
            <w14:solidFill>
              <w14:schemeClr w14:val="tx1"/>
            </w14:solidFill>
          </w14:textFill>
        </w:rPr>
        <w:t xml:space="preserve">万元（¥ </w:t>
      </w:r>
      <w:r>
        <w:rPr>
          <w:rFonts w:hint="eastAsia" w:ascii="宋体" w:hAnsi="宋体" w:eastAsia="宋体" w:cs="宋体"/>
          <w:color w:val="000000" w:themeColor="text1"/>
          <w:sz w:val="24"/>
          <w:szCs w:val="24"/>
          <w:lang w:val="en-US" w:eastAsia="zh-CN"/>
          <w14:textFill>
            <w14:solidFill>
              <w14:schemeClr w14:val="tx1"/>
            </w14:solidFill>
          </w14:textFill>
        </w:rPr>
        <w:t>96000.00</w:t>
      </w:r>
      <w:r>
        <w:rPr>
          <w:rFonts w:hint="eastAsia" w:ascii="宋体" w:hAnsi="宋体" w:eastAsia="宋体" w:cs="宋体"/>
          <w:color w:val="000000" w:themeColor="text1"/>
          <w:sz w:val="24"/>
          <w:szCs w:val="24"/>
          <w14:textFill>
            <w14:solidFill>
              <w14:schemeClr w14:val="tx1"/>
            </w14:solidFill>
          </w14:textFill>
        </w:rPr>
        <w:t xml:space="preserve">  ）  </w:t>
      </w:r>
    </w:p>
    <w:p w14:paraId="2498A2F4">
      <w:pPr>
        <w:spacing w:before="120" w:beforeLines="50" w:after="120" w:afterLines="50" w:line="360" w:lineRule="auto"/>
        <w:ind w:firstLine="480"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1.4最高总限价：</w:t>
      </w:r>
      <w:r>
        <w:rPr>
          <w:rFonts w:hint="eastAsia" w:ascii="宋体" w:hAnsi="宋体" w:eastAsia="宋体" w:cs="宋体"/>
          <w:color w:val="000000" w:themeColor="text1"/>
          <w:sz w:val="24"/>
          <w:szCs w:val="24"/>
          <w:lang w:val="en-US" w:eastAsia="zh-CN"/>
          <w14:textFill>
            <w14:solidFill>
              <w14:schemeClr w14:val="tx1"/>
            </w14:solidFill>
          </w14:textFill>
        </w:rPr>
        <w:t>9.6</w:t>
      </w:r>
      <w:r>
        <w:rPr>
          <w:rFonts w:hint="eastAsia" w:ascii="宋体" w:hAnsi="宋体" w:eastAsia="宋体" w:cs="宋体"/>
          <w:color w:val="000000" w:themeColor="text1"/>
          <w:sz w:val="24"/>
          <w:szCs w:val="24"/>
          <w14:textFill>
            <w14:solidFill>
              <w14:schemeClr w14:val="tx1"/>
            </w14:solidFill>
          </w14:textFill>
        </w:rPr>
        <w:t xml:space="preserve">万元，投标报价超过最高限价的为无效投标。                                             </w:t>
      </w:r>
    </w:p>
    <w:p w14:paraId="2167BE88">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二、项目需求</w:t>
      </w:r>
    </w:p>
    <w:p w14:paraId="3ABAEFB8">
      <w:pPr>
        <w:spacing w:before="120" w:beforeLines="50" w:after="120" w:afterLines="50" w:line="360" w:lineRule="auto"/>
        <w:ind w:firstLine="480" w:firstLineChars="200"/>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w:t>
      </w:r>
      <w:r>
        <w:rPr>
          <w:rFonts w:hint="eastAsia" w:ascii="宋体" w:hAnsi="宋体" w:eastAsia="宋体" w:cs="宋体"/>
          <w:b w:val="0"/>
          <w:color w:val="000000" w:themeColor="text1"/>
          <w:sz w:val="24"/>
          <w:szCs w:val="24"/>
          <w14:textFill>
            <w14:solidFill>
              <w14:schemeClr w14:val="tx1"/>
            </w14:solidFill>
          </w14:textFill>
        </w:rPr>
        <w:t>采购需求：</w:t>
      </w:r>
    </w:p>
    <w:tbl>
      <w:tblPr>
        <w:tblStyle w:val="23"/>
        <w:tblW w:w="4260" w:type="pct"/>
        <w:jc w:val="center"/>
        <w:tblLayout w:type="fixed"/>
        <w:tblCellMar>
          <w:top w:w="0" w:type="dxa"/>
          <w:left w:w="108" w:type="dxa"/>
          <w:bottom w:w="0" w:type="dxa"/>
          <w:right w:w="108" w:type="dxa"/>
        </w:tblCellMar>
      </w:tblPr>
      <w:tblGrid>
        <w:gridCol w:w="728"/>
        <w:gridCol w:w="4184"/>
        <w:gridCol w:w="1277"/>
        <w:gridCol w:w="1072"/>
      </w:tblGrid>
      <w:tr w14:paraId="1415B155">
        <w:tblPrEx>
          <w:tblCellMar>
            <w:top w:w="0" w:type="dxa"/>
            <w:left w:w="108" w:type="dxa"/>
            <w:bottom w:w="0" w:type="dxa"/>
            <w:right w:w="108" w:type="dxa"/>
          </w:tblCellMar>
        </w:tblPrEx>
        <w:trPr>
          <w:trHeight w:val="567" w:hRule="atLeast"/>
          <w:tblHeader/>
          <w:jc w:val="center"/>
        </w:trPr>
        <w:tc>
          <w:tcPr>
            <w:tcW w:w="501" w:type="pct"/>
            <w:tcBorders>
              <w:top w:val="single" w:color="auto" w:sz="4" w:space="0"/>
              <w:left w:val="single" w:color="auto" w:sz="4" w:space="0"/>
              <w:bottom w:val="single" w:color="auto" w:sz="4" w:space="0"/>
              <w:right w:val="single" w:color="auto" w:sz="4" w:space="0"/>
            </w:tcBorders>
            <w:noWrap/>
            <w:vAlign w:val="center"/>
          </w:tcPr>
          <w:p w14:paraId="44AF6CBE">
            <w:pPr>
              <w:widowControl/>
              <w:spacing w:after="0"/>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序号</w:t>
            </w:r>
          </w:p>
        </w:tc>
        <w:tc>
          <w:tcPr>
            <w:tcW w:w="2881" w:type="pct"/>
            <w:tcBorders>
              <w:top w:val="single" w:color="auto" w:sz="4" w:space="0"/>
              <w:left w:val="nil"/>
              <w:bottom w:val="single" w:color="auto" w:sz="4" w:space="0"/>
              <w:right w:val="single" w:color="auto" w:sz="4" w:space="0"/>
            </w:tcBorders>
            <w:noWrap/>
            <w:vAlign w:val="center"/>
          </w:tcPr>
          <w:p w14:paraId="2E72ACBF">
            <w:pPr>
              <w:widowControl/>
              <w:spacing w:after="0"/>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lang w:eastAsia="zh-CN"/>
                <w14:textFill>
                  <w14:solidFill>
                    <w14:schemeClr w14:val="tx1"/>
                  </w14:solidFill>
                </w14:textFill>
              </w:rPr>
              <w:t>采</w:t>
            </w:r>
            <w:r>
              <w:rPr>
                <w:rFonts w:hint="eastAsia" w:ascii="仿宋" w:hAnsi="仿宋" w:eastAsia="仿宋" w:cs="仿宋"/>
                <w:color w:val="000000" w:themeColor="text1"/>
                <w:kern w:val="0"/>
                <w:sz w:val="22"/>
                <w:szCs w:val="28"/>
                <w14:textFill>
                  <w14:solidFill>
                    <w14:schemeClr w14:val="tx1"/>
                  </w14:solidFill>
                </w14:textFill>
              </w:rPr>
              <w:t>购物资</w:t>
            </w:r>
          </w:p>
        </w:tc>
        <w:tc>
          <w:tcPr>
            <w:tcW w:w="879" w:type="pct"/>
            <w:tcBorders>
              <w:top w:val="single" w:color="auto" w:sz="4" w:space="0"/>
              <w:left w:val="nil"/>
              <w:bottom w:val="single" w:color="auto" w:sz="4" w:space="0"/>
              <w:right w:val="single" w:color="auto" w:sz="4" w:space="0"/>
            </w:tcBorders>
            <w:noWrap/>
            <w:vAlign w:val="center"/>
          </w:tcPr>
          <w:p w14:paraId="2449ABB1">
            <w:pPr>
              <w:widowControl/>
              <w:spacing w:after="0"/>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计量单位</w:t>
            </w:r>
          </w:p>
        </w:tc>
        <w:tc>
          <w:tcPr>
            <w:tcW w:w="738" w:type="pct"/>
            <w:tcBorders>
              <w:top w:val="single" w:color="auto" w:sz="4" w:space="0"/>
              <w:left w:val="nil"/>
              <w:bottom w:val="single" w:color="auto" w:sz="4" w:space="0"/>
              <w:right w:val="single" w:color="auto" w:sz="4" w:space="0"/>
            </w:tcBorders>
            <w:noWrap/>
            <w:vAlign w:val="center"/>
          </w:tcPr>
          <w:p w14:paraId="54700974">
            <w:pPr>
              <w:widowControl/>
              <w:spacing w:after="0"/>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数量</w:t>
            </w:r>
          </w:p>
        </w:tc>
      </w:tr>
      <w:tr w14:paraId="44561929">
        <w:tblPrEx>
          <w:tblCellMar>
            <w:top w:w="0" w:type="dxa"/>
            <w:left w:w="108" w:type="dxa"/>
            <w:bottom w:w="0" w:type="dxa"/>
            <w:right w:w="108" w:type="dxa"/>
          </w:tblCellMar>
        </w:tblPrEx>
        <w:trPr>
          <w:trHeight w:val="567" w:hRule="atLeast"/>
          <w:jc w:val="center"/>
        </w:trPr>
        <w:tc>
          <w:tcPr>
            <w:tcW w:w="501" w:type="pct"/>
            <w:tcBorders>
              <w:top w:val="nil"/>
              <w:left w:val="single" w:color="auto" w:sz="4" w:space="0"/>
              <w:bottom w:val="single" w:color="auto" w:sz="4" w:space="0"/>
              <w:right w:val="single" w:color="auto" w:sz="4" w:space="0"/>
            </w:tcBorders>
            <w:noWrap/>
            <w:vAlign w:val="center"/>
          </w:tcPr>
          <w:p w14:paraId="4AACFC4E">
            <w:pPr>
              <w:widowControl/>
              <w:spacing w:after="0"/>
              <w:jc w:val="center"/>
              <w:rPr>
                <w:rFonts w:hint="eastAsia"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1</w:t>
            </w:r>
          </w:p>
        </w:tc>
        <w:tc>
          <w:tcPr>
            <w:tcW w:w="2881" w:type="pct"/>
            <w:tcBorders>
              <w:top w:val="nil"/>
              <w:left w:val="nil"/>
              <w:bottom w:val="single" w:color="auto" w:sz="4" w:space="0"/>
              <w:right w:val="single" w:color="auto" w:sz="4" w:space="0"/>
            </w:tcBorders>
            <w:noWrap/>
            <w:vAlign w:val="center"/>
          </w:tcPr>
          <w:p w14:paraId="30790745">
            <w:pPr>
              <w:widowControl/>
              <w:spacing w:after="0"/>
              <w:jc w:val="center"/>
              <w:rPr>
                <w:rFonts w:hint="default"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在线虚拟诊疗系统服务</w:t>
            </w:r>
          </w:p>
        </w:tc>
        <w:tc>
          <w:tcPr>
            <w:tcW w:w="879" w:type="pct"/>
            <w:tcBorders>
              <w:top w:val="nil"/>
              <w:left w:val="nil"/>
              <w:bottom w:val="single" w:color="auto" w:sz="4" w:space="0"/>
              <w:right w:val="single" w:color="auto" w:sz="4" w:space="0"/>
            </w:tcBorders>
            <w:noWrap/>
            <w:vAlign w:val="center"/>
          </w:tcPr>
          <w:p w14:paraId="1AEB95E1">
            <w:pPr>
              <w:widowControl/>
              <w:spacing w:after="0"/>
              <w:jc w:val="center"/>
              <w:rPr>
                <w:rFonts w:hint="default"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年</w:t>
            </w:r>
          </w:p>
        </w:tc>
        <w:tc>
          <w:tcPr>
            <w:tcW w:w="738" w:type="pct"/>
            <w:tcBorders>
              <w:top w:val="nil"/>
              <w:left w:val="nil"/>
              <w:bottom w:val="single" w:color="auto" w:sz="4" w:space="0"/>
              <w:right w:val="single" w:color="auto" w:sz="4" w:space="0"/>
            </w:tcBorders>
            <w:noWrap/>
            <w:vAlign w:val="center"/>
          </w:tcPr>
          <w:p w14:paraId="4430A82B">
            <w:pPr>
              <w:widowControl/>
              <w:spacing w:after="0"/>
              <w:jc w:val="center"/>
              <w:rPr>
                <w:rFonts w:hint="eastAsia"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1</w:t>
            </w:r>
          </w:p>
        </w:tc>
      </w:tr>
    </w:tbl>
    <w:p w14:paraId="4A84DA6A">
      <w:pPr>
        <w:spacing w:before="120" w:beforeLines="50" w:after="120" w:afterLines="50" w:line="360" w:lineRule="auto"/>
        <w:rPr>
          <w:rFonts w:hint="eastAsia" w:ascii="宋体" w:hAnsi="宋体" w:eastAsia="宋体" w:cs="宋体"/>
          <w:b w:val="0"/>
          <w:color w:val="000000" w:themeColor="text1"/>
          <w:sz w:val="24"/>
          <w:szCs w:val="24"/>
          <w14:textFill>
            <w14:solidFill>
              <w14:schemeClr w14:val="tx1"/>
            </w14:solidFill>
          </w14:textFill>
        </w:rPr>
      </w:pPr>
    </w:p>
    <w:p w14:paraId="3E4DD93D">
      <w:pPr>
        <w:spacing w:before="120" w:beforeLines="50" w:after="120" w:afterLines="50" w:line="360" w:lineRule="auto"/>
        <w:ind w:firstLine="480" w:firstLineChars="200"/>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w:t>
      </w:r>
      <w:r>
        <w:rPr>
          <w:rFonts w:hint="eastAsia" w:ascii="宋体" w:hAnsi="宋体" w:eastAsia="宋体" w:cs="宋体"/>
          <w:b w:val="0"/>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14:textFill>
            <w14:solidFill>
              <w14:schemeClr w14:val="tx1"/>
            </w14:solidFill>
          </w14:textFill>
        </w:rPr>
        <w:t>合同签订之日起</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个工作日内完成安装及调试</w:t>
      </w:r>
      <w:r>
        <w:rPr>
          <w:rFonts w:hint="eastAsia" w:ascii="宋体" w:hAnsi="宋体" w:eastAsia="宋体" w:cs="宋体"/>
          <w:color w:val="000000" w:themeColor="text1"/>
          <w:sz w:val="24"/>
          <w:szCs w:val="24"/>
          <w:lang w:eastAsia="zh-CN"/>
          <w14:textFill>
            <w14:solidFill>
              <w14:schemeClr w14:val="tx1"/>
            </w14:solidFill>
          </w14:textFill>
        </w:rPr>
        <w:t>。</w:t>
      </w:r>
    </w:p>
    <w:p w14:paraId="38C0A08E">
      <w:pPr>
        <w:spacing w:before="120" w:beforeLines="50" w:after="120" w:afterLines="50" w:line="360" w:lineRule="auto"/>
        <w:ind w:firstLine="480" w:firstLineChars="200"/>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2.3</w:t>
      </w:r>
      <w:r>
        <w:rPr>
          <w:rFonts w:hint="eastAsia" w:ascii="宋体" w:hAnsi="宋体" w:eastAsia="宋体" w:cs="宋体"/>
          <w:b w:val="0"/>
          <w:color w:val="000000" w:themeColor="text1"/>
          <w:sz w:val="24"/>
          <w:szCs w:val="24"/>
          <w14:textFill>
            <w14:solidFill>
              <w14:schemeClr w14:val="tx1"/>
            </w14:solidFill>
          </w14:textFill>
        </w:rPr>
        <w:t>本项目</w:t>
      </w:r>
      <w:r>
        <w:rPr>
          <w:rFonts w:hint="eastAsia" w:ascii="宋体" w:hAnsi="宋体" w:eastAsia="宋体" w:cs="宋体"/>
          <w:b w:val="0"/>
          <w:color w:val="000000" w:themeColor="text1"/>
          <w:sz w:val="24"/>
          <w:szCs w:val="24"/>
          <w:lang w:val="en-US" w:eastAsia="zh-CN"/>
          <w14:textFill>
            <w14:solidFill>
              <w14:schemeClr w14:val="tx1"/>
            </w14:solidFill>
          </w14:textFill>
        </w:rPr>
        <w:t>不</w:t>
      </w:r>
      <w:r>
        <w:rPr>
          <w:rFonts w:hint="eastAsia" w:ascii="宋体" w:hAnsi="宋体" w:eastAsia="宋体" w:cs="宋体"/>
          <w:b w:val="0"/>
          <w:color w:val="000000" w:themeColor="text1"/>
          <w:sz w:val="24"/>
          <w:szCs w:val="24"/>
          <w14:textFill>
            <w14:solidFill>
              <w14:schemeClr w14:val="tx1"/>
            </w14:solidFill>
          </w14:textFill>
        </w:rPr>
        <w:t>接受联合体</w:t>
      </w:r>
      <w:r>
        <w:rPr>
          <w:rFonts w:hint="eastAsia" w:ascii="宋体" w:hAnsi="宋体" w:eastAsia="宋体" w:cs="宋体"/>
          <w:b w:val="0"/>
          <w:color w:val="000000" w:themeColor="text1"/>
          <w:sz w:val="24"/>
          <w:szCs w:val="24"/>
          <w:lang w:val="en-US" w:eastAsia="zh-CN"/>
          <w14:textFill>
            <w14:solidFill>
              <w14:schemeClr w14:val="tx1"/>
            </w14:solidFill>
          </w14:textFill>
        </w:rPr>
        <w:t>投标</w:t>
      </w:r>
      <w:r>
        <w:rPr>
          <w:rFonts w:hint="eastAsia" w:ascii="宋体" w:hAnsi="宋体" w:eastAsia="宋体" w:cs="宋体"/>
          <w:b w:val="0"/>
          <w:color w:val="000000" w:themeColor="text1"/>
          <w:sz w:val="24"/>
          <w:szCs w:val="24"/>
          <w14:textFill>
            <w14:solidFill>
              <w14:schemeClr w14:val="tx1"/>
            </w14:solidFill>
          </w14:textFill>
        </w:rPr>
        <w:t>。</w:t>
      </w:r>
    </w:p>
    <w:p w14:paraId="43195AED">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具体技术参数见采购文件第三章“采购需求”。</w:t>
      </w:r>
    </w:p>
    <w:p w14:paraId="4881FD47">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申请人的资格要求</w:t>
      </w:r>
    </w:p>
    <w:p w14:paraId="7EA283D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3.1满足《中华人民共和国政府采购法》第二十二条规定，提供下列材料： </w:t>
      </w:r>
    </w:p>
    <w:p w14:paraId="1511124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（1）具有独立承担民事责任的能力：法人或者其他组织的</w:t>
      </w:r>
      <w:r>
        <w:rPr>
          <w:rFonts w:hint="eastAsia" w:ascii="宋体" w:hAnsi="宋体" w:eastAsia="宋体" w:cs="宋体"/>
          <w:b/>
          <w:bCs/>
          <w:color w:val="000000" w:themeColor="text1"/>
          <w:sz w:val="24"/>
          <w:szCs w:val="24"/>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（投标人为自然人的提供其</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法定代表人和授权代表</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（提供相关证明材料</w:t>
      </w:r>
      <w:r>
        <w:rPr>
          <w:rFonts w:hint="eastAsia" w:ascii="宋体" w:hAnsi="宋体" w:eastAsia="宋体" w:cs="宋体"/>
          <w:b/>
          <w:bCs/>
          <w:color w:val="000000" w:themeColor="text1"/>
          <w:sz w:val="24"/>
          <w:szCs w:val="24"/>
          <w14:textFill>
            <w14:solidFill>
              <w14:schemeClr w14:val="tx1"/>
            </w14:solidFill>
          </w14:textFill>
        </w:rPr>
        <w:t>复印件并加盖公章</w:t>
      </w:r>
      <w:r>
        <w:rPr>
          <w:rFonts w:hint="eastAsia" w:ascii="宋体" w:hAnsi="宋体" w:eastAsia="宋体" w:cs="宋体"/>
          <w:color w:val="000000" w:themeColor="text1"/>
          <w:sz w:val="24"/>
          <w:szCs w:val="24"/>
          <w14:textFill>
            <w14:solidFill>
              <w14:schemeClr w14:val="tx1"/>
            </w14:solidFill>
          </w14:textFill>
        </w:rPr>
        <w:t>）；</w:t>
      </w:r>
    </w:p>
    <w:p w14:paraId="39733433">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（2）具有良好的商业信誉和健全的财务会计制度：提供</w:t>
      </w:r>
      <w:r>
        <w:rPr>
          <w:rFonts w:hint="eastAsia" w:ascii="宋体" w:hAnsi="宋体" w:eastAsia="宋体" w:cs="宋体"/>
          <w:b/>
          <w:bCs/>
          <w:color w:val="000000" w:themeColor="text1"/>
          <w:sz w:val="24"/>
          <w:szCs w:val="24"/>
          <w:lang w:val="en-US" w:eastAsia="zh-CN"/>
          <w14:textFill>
            <w14:solidFill>
              <w14:schemeClr w14:val="tx1"/>
            </w14:solidFill>
          </w14:textFill>
        </w:rPr>
        <w:t>上一</w:t>
      </w:r>
      <w:r>
        <w:rPr>
          <w:rFonts w:hint="eastAsia" w:ascii="宋体" w:hAnsi="宋体" w:eastAsia="宋体" w:cs="宋体"/>
          <w:b/>
          <w:bCs/>
          <w:color w:val="000000" w:themeColor="text1"/>
          <w:sz w:val="24"/>
          <w:szCs w:val="24"/>
          <w14:textFill>
            <w14:solidFill>
              <w14:schemeClr w14:val="tx1"/>
            </w14:solidFill>
          </w14:textFill>
        </w:rPr>
        <w:t>年度审计报告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招标截止时间前六个月内</w:t>
      </w:r>
      <w:r>
        <w:rPr>
          <w:rFonts w:hint="eastAsia" w:ascii="宋体" w:hAnsi="宋体" w:eastAsia="宋体" w:cs="宋体"/>
          <w:b/>
          <w:bCs/>
          <w:color w:val="000000" w:themeColor="text1"/>
          <w:sz w:val="24"/>
          <w:szCs w:val="24"/>
          <w14:textFill>
            <w14:solidFill>
              <w14:schemeClr w14:val="tx1"/>
            </w14:solidFill>
          </w14:textFill>
        </w:rPr>
        <w:t>任一月的财务报告</w:t>
      </w:r>
      <w:r>
        <w:rPr>
          <w:rFonts w:hint="eastAsia" w:ascii="宋体" w:hAnsi="宋体" w:eastAsia="宋体" w:cs="宋体"/>
          <w:color w:val="000000" w:themeColor="text1"/>
          <w:sz w:val="24"/>
          <w:szCs w:val="24"/>
          <w14:textFill>
            <w14:solidFill>
              <w14:schemeClr w14:val="tx1"/>
            </w14:solidFill>
          </w14:textFill>
        </w:rPr>
        <w:t>（至少包含资产负债表和利润表），或投标截止时间前三个月内银行出具的资信证明，或财政部门认可的专业担保机构出具的担保函；</w:t>
      </w:r>
    </w:p>
    <w:p w14:paraId="13560330">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w:t>
      </w:r>
      <w:r>
        <w:rPr>
          <w:rFonts w:hint="eastAsia" w:ascii="宋体" w:hAnsi="宋体" w:eastAsia="宋体" w:cs="宋体"/>
          <w:b/>
          <w:bCs/>
          <w:color w:val="000000" w:themeColor="text1"/>
          <w:sz w:val="24"/>
          <w:szCs w:val="24"/>
          <w14:textFill>
            <w14:solidFill>
              <w14:schemeClr w14:val="tx1"/>
            </w14:solidFill>
          </w14:textFill>
        </w:rPr>
        <w:t>设备和专业技术能力</w:t>
      </w:r>
      <w:r>
        <w:rPr>
          <w:rFonts w:hint="eastAsia" w:ascii="宋体" w:hAnsi="宋体" w:eastAsia="宋体" w:cs="宋体"/>
          <w:color w:val="000000" w:themeColor="text1"/>
          <w:sz w:val="24"/>
          <w:szCs w:val="24"/>
          <w14:textFill>
            <w14:solidFill>
              <w14:schemeClr w14:val="tx1"/>
            </w14:solidFill>
          </w14:textFill>
        </w:rPr>
        <w:t>（格式详见附件）；</w:t>
      </w:r>
    </w:p>
    <w:p w14:paraId="31BB3475">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w:t>
      </w:r>
      <w:r>
        <w:rPr>
          <w:rFonts w:hint="eastAsia" w:ascii="宋体" w:hAnsi="宋体" w:eastAsia="宋体" w:cs="宋体"/>
          <w:b/>
          <w:bCs/>
          <w:color w:val="000000" w:themeColor="text1"/>
          <w:sz w:val="24"/>
          <w:szCs w:val="24"/>
          <w14:textFill>
            <w14:solidFill>
              <w14:schemeClr w14:val="tx1"/>
            </w14:solidFill>
          </w14:textFill>
        </w:rPr>
        <w:t>缴纳税收和社会保障资金</w:t>
      </w:r>
      <w:r>
        <w:rPr>
          <w:rFonts w:hint="eastAsia" w:ascii="宋体" w:hAnsi="宋体" w:eastAsia="宋体" w:cs="宋体"/>
          <w:color w:val="000000" w:themeColor="text1"/>
          <w:sz w:val="24"/>
          <w:szCs w:val="24"/>
          <w14:textFill>
            <w14:solidFill>
              <w14:schemeClr w14:val="tx1"/>
            </w14:solidFill>
          </w14:textFill>
        </w:rPr>
        <w:t>的良好记录：提供</w:t>
      </w:r>
      <w:r>
        <w:rPr>
          <w:rFonts w:hint="eastAsia" w:ascii="宋体" w:hAnsi="宋体" w:eastAsia="宋体" w:cs="宋体"/>
          <w:b/>
          <w:bCs/>
          <w:color w:val="000000" w:themeColor="text1"/>
          <w:sz w:val="24"/>
          <w:szCs w:val="24"/>
          <w14:textFill>
            <w14:solidFill>
              <w14:schemeClr w14:val="tx1"/>
            </w14:solidFill>
          </w14:textFill>
        </w:rPr>
        <w:t>招标截止时间前六个月内任一月</w:t>
      </w:r>
      <w:r>
        <w:rPr>
          <w:rFonts w:hint="eastAsia" w:ascii="宋体" w:hAnsi="宋体" w:eastAsia="宋体" w:cs="宋体"/>
          <w:color w:val="000000" w:themeColor="text1"/>
          <w:sz w:val="24"/>
          <w:szCs w:val="24"/>
          <w14:textFill>
            <w14:solidFill>
              <w14:schemeClr w14:val="tx1"/>
            </w14:solidFill>
          </w14:textFill>
        </w:rPr>
        <w:t>缴纳增值税，或营业税，或企业所得税的凭据；并提供缴纳社会保险的凭据（专用收据，或社会保险缴纳清单等）；</w:t>
      </w:r>
    </w:p>
    <w:p w14:paraId="2D565776">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w:t>
      </w:r>
      <w:r>
        <w:rPr>
          <w:rFonts w:hint="eastAsia" w:ascii="宋体" w:hAnsi="宋体" w:eastAsia="宋体" w:cs="宋体"/>
          <w:b/>
          <w:bCs/>
          <w:color w:val="000000" w:themeColor="text1"/>
          <w:sz w:val="24"/>
          <w:szCs w:val="24"/>
          <w14:textFill>
            <w14:solidFill>
              <w14:schemeClr w14:val="tx1"/>
            </w14:solidFill>
          </w14:textFill>
        </w:rPr>
        <w:t>没有重大违法记录</w:t>
      </w:r>
      <w:r>
        <w:rPr>
          <w:rFonts w:hint="eastAsia" w:ascii="宋体" w:hAnsi="宋体" w:eastAsia="宋体" w:cs="宋体"/>
          <w:color w:val="000000" w:themeColor="text1"/>
          <w:sz w:val="24"/>
          <w:szCs w:val="24"/>
          <w14:textFill>
            <w14:solidFill>
              <w14:schemeClr w14:val="tx1"/>
            </w14:solidFill>
          </w14:textFill>
        </w:rPr>
        <w:t>（格式详见附件）；</w:t>
      </w:r>
    </w:p>
    <w:p w14:paraId="1F5EE5B0">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14:paraId="2A6ADAA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28299A5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3.3落实政府采购政策需满足的资格要求：投标人如为中小企业、监狱企业、残疾人福利性单位，提供的产品为国家认定的节能产品和环保产品的须按要求提供相关材料。</w:t>
      </w:r>
    </w:p>
    <w:p w14:paraId="17A40518">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3.4本项目接受进口产品投标；</w:t>
      </w:r>
    </w:p>
    <w:p w14:paraId="1C0B1FA9">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3.5本项目不接受联合体参与投标；</w:t>
      </w:r>
    </w:p>
    <w:p w14:paraId="68E7854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3.6拒绝下述投标人参加本次采购活动：</w:t>
      </w:r>
    </w:p>
    <w:p w14:paraId="402FFFA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（1）投标人单位负责人为同一人或者存在直接控股、管理关系的不同投标人，不得参加同一合同项下的采购活动。</w:t>
      </w:r>
    </w:p>
    <w:p w14:paraId="2F9F93AD">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（2）凡为采购项目提供整体设计、规范编制或者项目管理、监理、检测等服务的投标人，不得再参加本项目的采购活动。</w:t>
      </w:r>
    </w:p>
    <w:p w14:paraId="3602854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25E26342">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四、公告发布媒体</w:t>
      </w:r>
    </w:p>
    <w:p w14:paraId="26195280">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本项目在“https://www.njmu.edu.cn/南京医科大学官方网站”发布</w:t>
      </w:r>
      <w:r>
        <w:rPr>
          <w:rFonts w:hint="eastAsia" w:ascii="宋体" w:hAnsi="宋体" w:eastAsia="宋体" w:cs="宋体"/>
          <w:color w:val="000000" w:themeColor="text1"/>
          <w:sz w:val="24"/>
          <w:szCs w:val="24"/>
          <w:lang w:val="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，投标人可自行下载。</w:t>
      </w:r>
    </w:p>
    <w:p w14:paraId="0DCC7BB1">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五、投标截止时间及开标信息</w:t>
      </w:r>
    </w:p>
    <w:p w14:paraId="3B4BA35F">
      <w:pPr>
        <w:spacing w:before="120" w:beforeLines="50" w:after="120" w:afterLines="50" w:line="360" w:lineRule="auto"/>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5.1投标文件接收截止时间及开标时间：202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月 </w:t>
      </w:r>
      <w:r>
        <w:rPr>
          <w:rFonts w:hint="eastAsia" w:ascii="宋体" w:hAnsi="宋体" w:eastAsia="宋体" w:cs="宋体"/>
          <w:color w:val="000000" w:themeColor="text1"/>
          <w:sz w:val="24"/>
          <w:szCs w:val="24"/>
          <w:lang w:val="en-US" w:eastAsia="zh-CN"/>
          <w14:textFill>
            <w14:solidFill>
              <w14:schemeClr w14:val="tx1"/>
            </w14:solidFill>
          </w14:textFill>
        </w:rPr>
        <w:t xml:space="preserve">13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9:15</w:t>
      </w:r>
      <w:bookmarkStart w:id="87" w:name="_GoBack"/>
      <w:bookmarkEnd w:id="87"/>
    </w:p>
    <w:p w14:paraId="45098D4E">
      <w:pPr>
        <w:spacing w:before="120" w:beforeLines="50" w:after="120" w:afterLines="5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5.2投标文件接收地点及开标地点：南京医科大学江宁校区德馨楼B201室</w:t>
      </w:r>
      <w:r>
        <w:rPr>
          <w:rFonts w:hint="eastAsia" w:ascii="宋体" w:hAnsi="宋体" w:eastAsia="宋体" w:cs="宋体"/>
          <w:color w:val="000000" w:themeColor="text1"/>
          <w:sz w:val="24"/>
          <w:szCs w:val="24"/>
          <w:lang w:eastAsia="zh-CN"/>
          <w14:textFill>
            <w14:solidFill>
              <w14:schemeClr w14:val="tx1"/>
            </w14:solidFill>
          </w14:textFill>
        </w:rPr>
        <w:t>。</w:t>
      </w:r>
    </w:p>
    <w:p w14:paraId="7CDFAC9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796B6925">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4D6A9913">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3007545B">
      <w:pPr>
        <w:spacing w:before="120" w:beforeLines="50" w:after="120" w:afterLines="5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逾期送达及未按要求密封的投标文件，采购人不予接收。</w:t>
      </w:r>
    </w:p>
    <w:p w14:paraId="03E29336">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5.4需要现场说明或者澄清的问题，投标商代表未到场确认的，后果自负。</w:t>
      </w:r>
    </w:p>
    <w:p w14:paraId="562547B7">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六、投标保证金</w:t>
      </w:r>
    </w:p>
    <w:p w14:paraId="2CFB1E53">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本次招标项目</w:t>
      </w:r>
      <w:r>
        <w:rPr>
          <w:rFonts w:hint="eastAsia" w:ascii="宋体" w:hAnsi="宋体" w:eastAsia="宋体" w:cs="宋体"/>
          <w:b/>
          <w:bCs/>
          <w:color w:val="000000" w:themeColor="text1"/>
          <w:sz w:val="24"/>
          <w:szCs w:val="24"/>
          <w14:textFill>
            <w14:solidFill>
              <w14:schemeClr w14:val="tx1"/>
            </w14:solidFill>
          </w14:textFill>
        </w:rPr>
        <w:t>不收取</w:t>
      </w:r>
      <w:r>
        <w:rPr>
          <w:rFonts w:hint="eastAsia" w:ascii="宋体" w:hAnsi="宋体" w:eastAsia="宋体" w:cs="宋体"/>
          <w:color w:val="000000" w:themeColor="text1"/>
          <w:sz w:val="24"/>
          <w:szCs w:val="24"/>
          <w14:textFill>
            <w14:solidFill>
              <w14:schemeClr w14:val="tx1"/>
            </w14:solidFill>
          </w14:textFill>
        </w:rPr>
        <w:t>投标保证金。</w:t>
      </w:r>
    </w:p>
    <w:p w14:paraId="30608947">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七、项目联系信息</w:t>
      </w:r>
    </w:p>
    <w:p w14:paraId="06404227">
      <w:pPr>
        <w:spacing w:before="120" w:beforeLines="50" w:after="120" w:afterLines="50"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郑嘉琳</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联系电话：</w:t>
      </w:r>
      <w:r>
        <w:rPr>
          <w:rFonts w:hint="eastAsia" w:ascii="宋体" w:hAnsi="宋体" w:eastAsia="宋体" w:cs="宋体"/>
          <w:color w:val="000000" w:themeColor="text1"/>
          <w:sz w:val="24"/>
          <w:szCs w:val="24"/>
          <w:lang w:val="en-US" w:eastAsia="zh-CN"/>
          <w14:textFill>
            <w14:solidFill>
              <w14:schemeClr w14:val="tx1"/>
            </w14:solidFill>
          </w14:textFill>
        </w:rPr>
        <w:t>025-86862945</w:t>
      </w:r>
    </w:p>
    <w:p w14:paraId="39BE0342">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   南京市江宁区龙眠大道101号                </w:t>
      </w:r>
    </w:p>
    <w:p w14:paraId="2E435F9D">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八、其他</w:t>
      </w:r>
    </w:p>
    <w:p w14:paraId="2B4903C8">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根据学校管理要求，校外人员需办理申请入校手续（请于开标时间前1天内完成进校申请的提交，如因个人原因未及时提交，导致开标当天无法进校的，后果自负）。具体办理流程如下：</w:t>
      </w:r>
    </w:p>
    <w:p w14:paraId="53F009BF">
      <w:pPr>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关注“智慧南医”公众号，进入系统，选择“综合服务”——“校园开放日预约”——填写基本信息提交审核。</w:t>
      </w:r>
      <w:r>
        <w:rPr>
          <w:rFonts w:hint="eastAsia" w:ascii="宋体" w:hAnsi="宋体" w:eastAsia="宋体" w:cs="宋体"/>
          <w:color w:val="000000" w:themeColor="text1"/>
          <w:sz w:val="24"/>
          <w:szCs w:val="24"/>
          <w14:textFill>
            <w14:solidFill>
              <w14:schemeClr w14:val="tx1"/>
            </w14:solidFill>
          </w14:textFill>
        </w:rPr>
        <w:t>如下图：</w:t>
      </w:r>
    </w:p>
    <w:p w14:paraId="132A6F79">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2B739F1C">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p>
    <w:bookmarkEnd w:id="10"/>
    <w:bookmarkEnd w:id="11"/>
    <w:bookmarkEnd w:id="12"/>
    <w:bookmarkEnd w:id="13"/>
    <w:bookmarkEnd w:id="14"/>
    <w:bookmarkEnd w:id="15"/>
    <w:bookmarkEnd w:id="16"/>
    <w:bookmarkEnd w:id="17"/>
    <w:bookmarkEnd w:id="18"/>
    <w:p w14:paraId="656D9747">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19" w:name="_Toc8848"/>
      <w:bookmarkStart w:id="20" w:name="_Toc28299"/>
      <w:bookmarkStart w:id="21" w:name="_Toc32151"/>
      <w:r>
        <w:rPr>
          <w:rFonts w:hint="eastAsia" w:asciiTheme="majorEastAsia" w:hAnsiTheme="majorEastAsia" w:eastAsiaTheme="majorEastAsia"/>
          <w:b/>
          <w:color w:val="000000" w:themeColor="text1"/>
          <w:sz w:val="32"/>
          <w:szCs w:val="32"/>
          <w14:textFill>
            <w14:solidFill>
              <w14:schemeClr w14:val="tx1"/>
            </w14:solidFill>
          </w14:textFill>
        </w:rPr>
        <w:t xml:space="preserve">第二章  </w:t>
      </w:r>
      <w:bookmarkStart w:id="22" w:name="_Toc513029202"/>
      <w:bookmarkStart w:id="23" w:name="_Toc16938518"/>
      <w:bookmarkStart w:id="24" w:name="_Toc120614213"/>
      <w:bookmarkStart w:id="25" w:name="_Toc20823274"/>
      <w:r>
        <w:rPr>
          <w:rFonts w:hint="eastAsia" w:asciiTheme="majorEastAsia" w:hAnsiTheme="majorEastAsia" w:eastAsiaTheme="majorEastAsia"/>
          <w:b/>
          <w:color w:val="000000" w:themeColor="text1"/>
          <w:sz w:val="32"/>
          <w:szCs w:val="32"/>
          <w14:textFill>
            <w14:solidFill>
              <w14:schemeClr w14:val="tx1"/>
            </w14:solidFill>
          </w14:textFill>
        </w:rPr>
        <w:t>投标人须知</w:t>
      </w:r>
      <w:bookmarkEnd w:id="19"/>
      <w:bookmarkEnd w:id="20"/>
      <w:bookmarkEnd w:id="21"/>
      <w:bookmarkEnd w:id="22"/>
      <w:bookmarkEnd w:id="23"/>
      <w:bookmarkEnd w:id="24"/>
      <w:bookmarkEnd w:id="25"/>
    </w:p>
    <w:p w14:paraId="395E6363">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26" w:name="_Toc513029203"/>
      <w:bookmarkStart w:id="27" w:name="_Toc16938519"/>
      <w:bookmarkStart w:id="28" w:name="_Toc20823275"/>
      <w:bookmarkStart w:id="29" w:name="_Toc120614214"/>
      <w:r>
        <w:rPr>
          <w:rFonts w:hint="eastAsia" w:ascii="宋体" w:hAnsi="宋体" w:eastAsia="宋体" w:cs="宋体"/>
          <w:b/>
          <w:bCs/>
          <w:color w:val="000000" w:themeColor="text1"/>
          <w:sz w:val="24"/>
          <w:szCs w:val="24"/>
          <w:lang w:val="zh-CN"/>
          <w14:textFill>
            <w14:solidFill>
              <w14:schemeClr w14:val="tx1"/>
            </w14:solidFill>
          </w14:textFill>
        </w:rPr>
        <w:t>一、总则</w:t>
      </w:r>
    </w:p>
    <w:p w14:paraId="4DB4DC0C">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1、适用法律</w:t>
      </w:r>
    </w:p>
    <w:p w14:paraId="6869C6E6">
      <w:pPr>
        <w:spacing w:after="0" w:line="360" w:lineRule="auto"/>
        <w:ind w:firstLine="480"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 《中华人民共和国政府采购法》《中华人民共和国政府采购法实施条例》《政府采购货物和服务招标投标管理办法》等有关法律、规章和规定等。</w:t>
      </w:r>
    </w:p>
    <w:p w14:paraId="5FB1327C">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30" w:name="_Toc14852"/>
      <w:bookmarkStart w:id="31" w:name="_Toc25367"/>
      <w:r>
        <w:rPr>
          <w:rFonts w:hint="eastAsia" w:ascii="宋体" w:hAnsi="宋体" w:eastAsia="宋体" w:cs="宋体"/>
          <w:b/>
          <w:bCs/>
          <w:color w:val="000000" w:themeColor="text1"/>
          <w:sz w:val="24"/>
          <w:szCs w:val="24"/>
          <w:lang w:val="zh-CN"/>
          <w14:textFill>
            <w14:solidFill>
              <w14:schemeClr w14:val="tx1"/>
            </w14:solidFill>
          </w14:textFill>
        </w:rPr>
        <w:t>2、定义</w:t>
      </w:r>
      <w:bookmarkEnd w:id="30"/>
      <w:bookmarkEnd w:id="31"/>
    </w:p>
    <w:p w14:paraId="5AD92D48">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2.1 “</w:t>
      </w:r>
      <w:r>
        <w:rPr>
          <w:rFonts w:hint="eastAsia" w:ascii="宋体" w:hAnsi="宋体" w:eastAsia="宋体" w:cs="宋体"/>
          <w:bCs/>
          <w:color w:val="000000" w:themeColor="text1"/>
          <w:sz w:val="24"/>
          <w:szCs w:val="24"/>
          <w14:textFill>
            <w14:solidFill>
              <w14:schemeClr w14:val="tx1"/>
            </w14:solidFill>
          </w14:textFill>
        </w:rPr>
        <w:t>投标人</w:t>
      </w: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是指参加投标竞争，并符合招标文件规定资格条件的法人、其他组织或者自然人。</w:t>
      </w:r>
    </w:p>
    <w:p w14:paraId="7F66E187">
      <w:pPr>
        <w:autoSpaceDE w:val="0"/>
        <w:autoSpaceDN w:val="0"/>
        <w:spacing w:line="360" w:lineRule="auto"/>
        <w:ind w:firstLine="480"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2.2 “产品”指本招标文件中所述产品</w:t>
      </w:r>
      <w:r>
        <w:rPr>
          <w:rFonts w:hint="eastAsia" w:ascii="宋体" w:hAnsi="宋体" w:eastAsia="宋体" w:cs="宋体"/>
          <w:color w:val="000000" w:themeColor="text1"/>
          <w:sz w:val="24"/>
          <w:szCs w:val="24"/>
          <w:lang w:val="zh-CN"/>
          <w14:textFill>
            <w14:solidFill>
              <w14:schemeClr w14:val="tx1"/>
            </w14:solidFill>
          </w14:textFill>
        </w:rPr>
        <w:t>及相关服务。</w:t>
      </w:r>
    </w:p>
    <w:p w14:paraId="0188A50E">
      <w:pPr>
        <w:autoSpaceDE w:val="0"/>
        <w:autoSpaceDN w:val="0"/>
        <w:spacing w:line="360" w:lineRule="auto"/>
        <w:ind w:firstLine="482"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3、政策功能</w:t>
      </w:r>
    </w:p>
    <w:p w14:paraId="7A61D36D">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3.1</w:t>
      </w:r>
      <w:r>
        <w:rPr>
          <w:rFonts w:hint="eastAsia" w:ascii="宋体" w:hAnsi="宋体" w:eastAsia="宋体" w:cs="宋体"/>
          <w:bCs/>
          <w:color w:val="000000" w:themeColor="text1"/>
          <w:sz w:val="24"/>
          <w:szCs w:val="24"/>
          <w14:textFill>
            <w14:solidFill>
              <w14:schemeClr w14:val="tx1"/>
            </w14:solidFill>
          </w14:textFill>
        </w:rPr>
        <w:t>相关</w:t>
      </w:r>
      <w:r>
        <w:rPr>
          <w:rFonts w:hint="eastAsia" w:ascii="宋体" w:hAnsi="宋体" w:eastAsia="宋体" w:cs="宋体"/>
          <w:bCs/>
          <w:color w:val="000000" w:themeColor="text1"/>
          <w:sz w:val="24"/>
          <w:szCs w:val="24"/>
          <w:lang w:val="zh-CN"/>
          <w14:textFill>
            <w14:solidFill>
              <w14:schemeClr w14:val="tx1"/>
            </w14:solidFill>
          </w14:textFill>
        </w:rPr>
        <w:t>政策</w:t>
      </w:r>
    </w:p>
    <w:p w14:paraId="0377282E">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（1）参加投标的</w:t>
      </w:r>
      <w:r>
        <w:rPr>
          <w:rFonts w:hint="eastAsia" w:ascii="宋体" w:hAnsi="宋体" w:eastAsia="宋体" w:cs="宋体"/>
          <w:bCs/>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zh-CN"/>
          <w14:textFill>
            <w14:solidFill>
              <w14:schemeClr w14:val="tx1"/>
            </w14:solidFill>
          </w14:textFill>
        </w:rPr>
        <w:t>小企业，应当提供</w:t>
      </w:r>
      <w:r>
        <w:rPr>
          <w:rFonts w:hint="eastAsia" w:ascii="宋体" w:hAnsi="宋体" w:eastAsia="宋体" w:cs="宋体"/>
          <w:bCs/>
          <w:color w:val="000000" w:themeColor="text1"/>
          <w:sz w:val="24"/>
          <w:szCs w:val="24"/>
          <w14:textFill>
            <w14:solidFill>
              <w14:schemeClr w14:val="tx1"/>
            </w14:solidFill>
          </w14:textFill>
        </w:rPr>
        <w:t>规定的</w:t>
      </w:r>
      <w:r>
        <w:rPr>
          <w:rFonts w:hint="eastAsia" w:ascii="宋体" w:hAnsi="宋体" w:eastAsia="宋体" w:cs="宋体"/>
          <w:bCs/>
          <w:color w:val="000000" w:themeColor="text1"/>
          <w:sz w:val="24"/>
          <w:szCs w:val="24"/>
          <w:lang w:val="zh-CN"/>
          <w14:textFill>
            <w14:solidFill>
              <w14:schemeClr w14:val="tx1"/>
            </w14:solidFill>
          </w14:textFill>
        </w:rPr>
        <w:t>《中小企业声明函》，</w:t>
      </w:r>
      <w:r>
        <w:rPr>
          <w:rFonts w:ascii="宋体" w:hAnsi="宋体" w:eastAsia="宋体" w:cs="宋体"/>
          <w:color w:val="000000" w:themeColor="text1"/>
          <w:sz w:val="24"/>
          <w:szCs w:val="24"/>
          <w14:textFill>
            <w14:solidFill>
              <w14:schemeClr w14:val="tx1"/>
            </w14:solidFill>
          </w14:textFill>
        </w:rPr>
        <w:t>否则不得享受相关中小企业扶持政策。</w:t>
      </w:r>
    </w:p>
    <w:p w14:paraId="445E09E8">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270BD01D">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（3）参加投标的残疾人福利性单位，应当提供 《残疾人福利性单位声明函》，残疾人福利性单位享受政府采购支持政策的要求详见财库〔2017〕141号。</w:t>
      </w:r>
    </w:p>
    <w:p w14:paraId="1FD7F163">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zh-CN"/>
          <w14:textFill>
            <w14:solidFill>
              <w14:schemeClr w14:val="tx1"/>
            </w14:solidFill>
          </w14:textFill>
        </w:rPr>
        <w:t>）提供的产品属于信息安全产品的，投标人应当选择经国家认证的信息安全产品投标，并提供由中国信息安全认证中心按国家标准认证颁发的有效认证证书复印件。</w:t>
      </w:r>
    </w:p>
    <w:p w14:paraId="54847CC6">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lang w:val="zh-CN"/>
          <w14:textFill>
            <w14:solidFill>
              <w14:schemeClr w14:val="tx1"/>
            </w14:solidFill>
          </w14:textFill>
        </w:rPr>
        <w:t>）提供的产品属于政府强制采购节能产品的，投标人应当选择经过认证的节能产品投标，并提供有效的节能产品认证证书复印件。</w:t>
      </w:r>
    </w:p>
    <w:p w14:paraId="578F7825">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lang w:val="zh-CN"/>
          <w14:textFill>
            <w14:solidFill>
              <w14:schemeClr w14:val="tx1"/>
            </w14:solidFill>
          </w14:textFill>
        </w:rPr>
        <w:t>）提供的产品属于环境标志产品的,投标人应当选择经过认证的环境标志产品投标,并提供有效的环境标志产品认证证书复印件。</w:t>
      </w:r>
    </w:p>
    <w:p w14:paraId="22C5FA21">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3.2未按要求提供相关材料的，不享受相关政策。</w:t>
      </w:r>
    </w:p>
    <w:p w14:paraId="5666AFDF">
      <w:pPr>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二、招标文件</w:t>
      </w:r>
    </w:p>
    <w:p w14:paraId="1436A282">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4、招标文件组成</w:t>
      </w:r>
    </w:p>
    <w:p w14:paraId="664A9BD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4.1 招标文件组成：</w:t>
      </w:r>
      <w:r>
        <w:rPr>
          <w:rFonts w:hint="eastAsia" w:ascii="宋体" w:hAnsi="宋体" w:eastAsia="宋体" w:cs="宋体"/>
          <w:color w:val="000000" w:themeColor="text1"/>
          <w:sz w:val="24"/>
          <w:szCs w:val="24"/>
          <w14:textFill>
            <w14:solidFill>
              <w14:schemeClr w14:val="tx1"/>
            </w14:solidFill>
          </w14:textFill>
        </w:rPr>
        <w:t>招标公告</w:t>
      </w:r>
      <w:r>
        <w:rPr>
          <w:rFonts w:hint="eastAsia" w:ascii="宋体" w:hAnsi="宋体" w:eastAsia="宋体" w:cs="宋体"/>
          <w:color w:val="000000" w:themeColor="text1"/>
          <w:sz w:val="24"/>
          <w:szCs w:val="24"/>
          <w:lang w:val="zh-CN"/>
          <w14:textFill>
            <w14:solidFill>
              <w14:schemeClr w14:val="tx1"/>
            </w14:solidFill>
          </w14:textFill>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25C3D43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 招标的最小单位是</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包。招标服务数量及技术要求中未分包的，投标人对要求提供的服务不得部分投标；招标服务数量及技术要求中已经分包的，应当以包为单位投标。</w:t>
      </w:r>
    </w:p>
    <w:p w14:paraId="3EF9E23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78FA4ED">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bookmarkStart w:id="32" w:name="_Toc16293"/>
      <w:bookmarkStart w:id="33" w:name="_Toc30037"/>
      <w:r>
        <w:rPr>
          <w:rFonts w:hint="eastAsia" w:ascii="宋体" w:hAnsi="宋体" w:eastAsia="宋体" w:cs="宋体"/>
          <w:b/>
          <w:color w:val="000000" w:themeColor="text1"/>
          <w:sz w:val="24"/>
          <w:szCs w:val="24"/>
          <w:lang w:val="zh-CN"/>
          <w14:textFill>
            <w14:solidFill>
              <w14:schemeClr w14:val="tx1"/>
            </w14:solidFill>
          </w14:textFill>
        </w:rPr>
        <w:t>5、招标文件的澄清、修改</w:t>
      </w:r>
      <w:bookmarkEnd w:id="32"/>
      <w:bookmarkEnd w:id="33"/>
    </w:p>
    <w:p w14:paraId="14AAA9E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5.1采购人可以对已发出的招标文件进行必要的澄清或者修改，在招标文件要求提交投标文件截止时间</w:t>
      </w:r>
      <w:r>
        <w:rPr>
          <w:rFonts w:hint="eastAsia" w:ascii="宋体" w:hAnsi="宋体" w:eastAsia="宋体" w:cs="宋体"/>
          <w:b/>
          <w:bCs/>
          <w:color w:val="000000" w:themeColor="text1"/>
          <w:sz w:val="24"/>
          <w:szCs w:val="24"/>
          <w:lang w:val="zh-CN"/>
          <w14:textFill>
            <w14:solidFill>
              <w14:schemeClr w14:val="tx1"/>
            </w14:solidFill>
          </w14:textFill>
        </w:rPr>
        <w:t>十五日</w:t>
      </w:r>
      <w:r>
        <w:rPr>
          <w:rFonts w:hint="eastAsia" w:ascii="宋体" w:hAnsi="宋体" w:eastAsia="宋体" w:cs="宋体"/>
          <w:color w:val="000000" w:themeColor="text1"/>
          <w:sz w:val="24"/>
          <w:szCs w:val="24"/>
          <w:lang w:val="zh-CN"/>
          <w14:textFill>
            <w14:solidFill>
              <w14:schemeClr w14:val="tx1"/>
            </w14:solidFill>
          </w14:textFill>
        </w:rPr>
        <w:t>前，在原招标公告媒体发布更正公告，不足15日的，采购人顺延提交投标文件的截止时间。澄清或者修改的内容为招标文件的组成部分。</w:t>
      </w:r>
    </w:p>
    <w:p w14:paraId="163D65D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应在投标截止时间前关注</w:t>
      </w:r>
      <w:r>
        <w:rPr>
          <w:rFonts w:hint="eastAsia" w:ascii="宋体" w:hAnsi="宋体" w:eastAsia="宋体" w:cs="宋体"/>
          <w:color w:val="000000" w:themeColor="text1"/>
          <w:sz w:val="24"/>
          <w:szCs w:val="24"/>
          <w14:textFill>
            <w14:solidFill>
              <w14:schemeClr w14:val="tx1"/>
            </w14:solidFill>
          </w14:textFill>
        </w:rPr>
        <w:t>原招标信息发布媒体上</w:t>
      </w:r>
      <w:r>
        <w:rPr>
          <w:rFonts w:hint="eastAsia" w:ascii="宋体" w:hAnsi="宋体" w:eastAsia="宋体" w:cs="宋体"/>
          <w:color w:val="000000" w:themeColor="text1"/>
          <w:sz w:val="24"/>
          <w:szCs w:val="24"/>
          <w:lang w:val="zh-CN"/>
          <w14:textFill>
            <w14:solidFill>
              <w14:schemeClr w14:val="tx1"/>
            </w14:solidFill>
          </w14:textFill>
        </w:rPr>
        <w:t>有关本招标项目有无变更公告。</w:t>
      </w:r>
    </w:p>
    <w:p w14:paraId="3946AD95">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4" w:name="_Toc1785"/>
      <w:bookmarkStart w:id="35" w:name="_Toc29531"/>
      <w:r>
        <w:rPr>
          <w:rFonts w:hint="eastAsia" w:ascii="宋体" w:hAnsi="宋体" w:eastAsia="宋体" w:cs="宋体"/>
          <w:b/>
          <w:color w:val="000000" w:themeColor="text1"/>
          <w:sz w:val="24"/>
          <w:szCs w:val="24"/>
          <w:lang w:val="zh-CN"/>
          <w14:textFill>
            <w14:solidFill>
              <w14:schemeClr w14:val="tx1"/>
            </w14:solidFill>
          </w14:textFill>
        </w:rPr>
        <w:t>三、投标</w:t>
      </w:r>
      <w:bookmarkEnd w:id="34"/>
      <w:bookmarkEnd w:id="35"/>
    </w:p>
    <w:p w14:paraId="69454E3D">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6、投标文件的语言、计量单位、货币和编制</w:t>
      </w:r>
    </w:p>
    <w:p w14:paraId="486A1CC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6.1 投标人提交的投标文件、技术文件和资料，包括图纸中的说明，以及投标人与</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zh-CN"/>
          <w14:textFill>
            <w14:solidFill>
              <w14:schemeClr w14:val="tx1"/>
            </w14:solidFill>
          </w14:textFill>
        </w:rPr>
        <w:t>就有关投标的所有来往函电均应使用</w:t>
      </w:r>
      <w:r>
        <w:rPr>
          <w:rFonts w:hint="eastAsia" w:ascii="宋体" w:hAnsi="宋体" w:eastAsia="宋体" w:cs="宋体"/>
          <w:b/>
          <w:bCs/>
          <w:color w:val="000000" w:themeColor="text1"/>
          <w:sz w:val="24"/>
          <w:szCs w:val="24"/>
          <w:lang w:val="zh-CN"/>
          <w14:textFill>
            <w14:solidFill>
              <w14:schemeClr w14:val="tx1"/>
            </w14:solidFill>
          </w14:textFill>
        </w:rPr>
        <w:t>中文</w:t>
      </w:r>
      <w:r>
        <w:rPr>
          <w:rFonts w:hint="eastAsia" w:ascii="宋体" w:hAnsi="宋体" w:eastAsia="宋体" w:cs="宋体"/>
          <w:color w:val="000000" w:themeColor="text1"/>
          <w:sz w:val="24"/>
          <w:szCs w:val="24"/>
          <w:lang w:val="zh-CN"/>
          <w14:textFill>
            <w14:solidFill>
              <w14:schemeClr w14:val="tx1"/>
            </w14:solidFill>
          </w14:textFill>
        </w:rPr>
        <w:t>。投标文件中若有英文或其他语言文字的资料，应提供相应的中文翻译资料。对不同文本投标文件的解释发生异议的，以中文文本为准。</w:t>
      </w:r>
    </w:p>
    <w:p w14:paraId="21E4143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6.2 投标人所使用的计量单位应为国家法定计量单位。</w:t>
      </w:r>
    </w:p>
    <w:p w14:paraId="20D656AC">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6.3 投标人应</w:t>
      </w:r>
      <w:r>
        <w:rPr>
          <w:rFonts w:hint="eastAsia" w:ascii="宋体" w:hAnsi="宋体" w:eastAsia="宋体" w:cs="宋体"/>
          <w:color w:val="000000" w:themeColor="text1"/>
          <w:sz w:val="24"/>
          <w:szCs w:val="24"/>
          <w14:textFill>
            <w14:solidFill>
              <w14:schemeClr w14:val="tx1"/>
            </w14:solidFill>
          </w14:textFill>
        </w:rPr>
        <w:t>使用</w:t>
      </w:r>
      <w:r>
        <w:rPr>
          <w:rFonts w:hint="eastAsia" w:ascii="宋体" w:hAnsi="宋体" w:eastAsia="宋体" w:cs="宋体"/>
          <w:color w:val="000000" w:themeColor="text1"/>
          <w:sz w:val="24"/>
          <w:szCs w:val="24"/>
          <w:lang w:val="zh-CN"/>
          <w14:textFill>
            <w14:solidFill>
              <w14:schemeClr w14:val="tx1"/>
            </w14:solidFill>
          </w14:textFill>
        </w:rPr>
        <w:t>人民币报价。</w:t>
      </w:r>
      <w:r>
        <w:rPr>
          <w:rFonts w:hint="eastAsia" w:ascii="宋体" w:hAnsi="宋体" w:eastAsia="宋体" w:cs="宋体"/>
          <w:b/>
          <w:color w:val="000000" w:themeColor="text1"/>
          <w:sz w:val="24"/>
          <w:szCs w:val="24"/>
          <w:lang w:val="zh-CN"/>
          <w14:textFill>
            <w14:solidFill>
              <w14:schemeClr w14:val="tx1"/>
            </w14:solidFill>
          </w14:textFill>
        </w:rPr>
        <w:t>报价产品如果是进口产品的，应以人民币进行报价，不接受其他币种报价。</w:t>
      </w:r>
    </w:p>
    <w:p w14:paraId="233D572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6.4 投标文件应字迹清楚、内容齐全、不得涂改。如有修改，修改处须有投标人公章和法定代表人或其授权的投标人代表签字。</w:t>
      </w:r>
    </w:p>
    <w:p w14:paraId="0883FE2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6.5 投标文件应按照招标文件规定的顺序，统一用A4规格幅面打印、逐页编码、装订成册并编制目录，由于编排混乱导致投标文件被误读或查找不到，责任由投标人承担。</w:t>
      </w:r>
    </w:p>
    <w:p w14:paraId="1E143F5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投标人应自行承担所有与准备和参加投标有关的费用。</w:t>
      </w:r>
    </w:p>
    <w:p w14:paraId="5DFE90D5">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lang w:val="zh-CN"/>
          <w14:textFill>
            <w14:solidFill>
              <w14:schemeClr w14:val="tx1"/>
            </w14:solidFill>
          </w14:textFill>
        </w:rPr>
        <w:t>、投标文件组成</w:t>
      </w:r>
    </w:p>
    <w:p w14:paraId="5A450BF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 xml:space="preserve"> 投标文件由商务部分、技术部分、价格部分，以及其他部分组成。</w:t>
      </w:r>
    </w:p>
    <w:p w14:paraId="64D3C10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投标人应当根据招标文件要求编制投标文件，投标文件应对招标文件提出的要求和条件作出实质性响应并逐条标明满足与否。</w:t>
      </w:r>
    </w:p>
    <w:p w14:paraId="0E171523">
      <w:pPr>
        <w:spacing w:line="360" w:lineRule="auto"/>
        <w:ind w:firstLine="470"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投标人根据招标文件载明的标的采购项目实际情况，拟在中标后将中标项目的非主体、非关键性工作交由他人完成的，应当在投标文件中载明。</w:t>
      </w:r>
    </w:p>
    <w:p w14:paraId="31CC8E52">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8、投标文件的商务部分</w:t>
      </w:r>
    </w:p>
    <w:p w14:paraId="0017DD7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商务部分是证明投标人有资格参加投标和中标后有能力履行合同的文件，</w:t>
      </w:r>
      <w:r>
        <w:rPr>
          <w:rFonts w:hint="eastAsia" w:ascii="宋体" w:hAnsi="宋体" w:eastAsia="宋体" w:cs="宋体"/>
          <w:color w:val="000000" w:themeColor="text1"/>
          <w:sz w:val="24"/>
          <w:szCs w:val="24"/>
          <w14:textFill>
            <w14:solidFill>
              <w14:schemeClr w14:val="tx1"/>
            </w14:solidFill>
          </w14:textFill>
        </w:rPr>
        <w:t>这些文件应能满足招标的要求</w:t>
      </w:r>
      <w:r>
        <w:rPr>
          <w:rFonts w:hint="eastAsia" w:ascii="宋体" w:hAnsi="宋体" w:eastAsia="宋体" w:cs="宋体"/>
          <w:color w:val="000000" w:themeColor="text1"/>
          <w:sz w:val="24"/>
          <w:szCs w:val="24"/>
          <w:lang w:val="zh-CN"/>
          <w14:textFill>
            <w14:solidFill>
              <w14:schemeClr w14:val="tx1"/>
            </w14:solidFill>
          </w14:textFill>
        </w:rPr>
        <w:t>，包括但不限于下列文件：</w:t>
      </w:r>
    </w:p>
    <w:p w14:paraId="7C51BC9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（1）投标函；</w:t>
      </w:r>
    </w:p>
    <w:p w14:paraId="4CFF59D4">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（2）营业执照、授权委托书；</w:t>
      </w:r>
    </w:p>
    <w:p w14:paraId="636C4354">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（3）法定代表人及授权代表身份证明复印件； </w:t>
      </w:r>
    </w:p>
    <w:p w14:paraId="7013B8F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（4）资格条件证明文件、承诺书；   </w:t>
      </w:r>
    </w:p>
    <w:p w14:paraId="4765DF6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（5）《开标一览表》、《商务条款偏离表》；</w:t>
      </w:r>
    </w:p>
    <w:p w14:paraId="49751FE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（6）投标人认为需要提供的其他资格证明文件和商务资料。</w:t>
      </w:r>
    </w:p>
    <w:p w14:paraId="4055A4F6">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r>
        <w:rPr>
          <w:rFonts w:hint="eastAsia" w:ascii="宋体" w:hAnsi="宋体" w:eastAsia="宋体" w:cs="宋体"/>
          <w:b/>
          <w:bCs/>
          <w:color w:val="000000" w:themeColor="text1"/>
          <w:sz w:val="24"/>
          <w:szCs w:val="24"/>
          <w:lang w:val="zh-CN"/>
          <w14:textFill>
            <w14:solidFill>
              <w14:schemeClr w14:val="tx1"/>
            </w14:solidFill>
          </w14:textFill>
        </w:rPr>
        <w:t>、投标文件的技术部分</w:t>
      </w:r>
    </w:p>
    <w:p w14:paraId="764F2AA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.1 技术部分是证明</w:t>
      </w:r>
      <w:r>
        <w:rPr>
          <w:rFonts w:hint="eastAsia" w:ascii="宋体" w:hAnsi="宋体" w:eastAsia="宋体" w:cs="宋体"/>
          <w:color w:val="000000" w:themeColor="text1"/>
          <w:sz w:val="24"/>
          <w:szCs w:val="24"/>
          <w14:textFill>
            <w14:solidFill>
              <w14:schemeClr w14:val="tx1"/>
            </w14:solidFill>
          </w14:textFill>
        </w:rPr>
        <w:t>投标人提供的产品和服务是合格的、并符合招标文件要求的证明文件，以及</w:t>
      </w:r>
      <w:r>
        <w:rPr>
          <w:rFonts w:hint="eastAsia" w:ascii="宋体" w:hAnsi="宋体" w:eastAsia="宋体" w:cs="宋体"/>
          <w:color w:val="000000" w:themeColor="text1"/>
          <w:sz w:val="24"/>
          <w:szCs w:val="24"/>
          <w:lang w:val="zh-CN"/>
          <w14:textFill>
            <w14:solidFill>
              <w14:schemeClr w14:val="tx1"/>
            </w14:solidFill>
          </w14:textFill>
        </w:rPr>
        <w:t>对投标报价表中的服务的详细说明，这些文件可以是文字资料、图纸和数据等。</w:t>
      </w:r>
    </w:p>
    <w:p w14:paraId="51D3DD8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.2 若技术性能无特殊说明，则按国家有关部门最新颁布的标准及规范为准；</w:t>
      </w:r>
    </w:p>
    <w:p w14:paraId="765E047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.3 提供的服务如与招标文件要求有不符之处，应说明其差别之所在，并在《技术条款偏离表》中逐条予以说明。</w:t>
      </w:r>
    </w:p>
    <w:p w14:paraId="76DCDD6A">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zh-CN"/>
          <w14:textFill>
            <w14:solidFill>
              <w14:schemeClr w14:val="tx1"/>
            </w14:solidFill>
          </w14:textFill>
        </w:rPr>
        <w:t>、投标文件的价格部分</w:t>
      </w:r>
    </w:p>
    <w:p w14:paraId="3C54D06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.1价格部分是对投标服务价格构成的说明，每一项服务仅接受一个价格。</w:t>
      </w:r>
    </w:p>
    <w:p w14:paraId="7A3E435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54784F8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.3投标人的任何错漏、优惠、竞争性报价不得作为减轻责任、减少服务、增加收费、降低质量的理由。</w:t>
      </w:r>
    </w:p>
    <w:p w14:paraId="037FD7A6">
      <w:pPr>
        <w:autoSpaceDE w:val="0"/>
        <w:autoSpaceDN w:val="0"/>
        <w:spacing w:line="360" w:lineRule="auto"/>
        <w:ind w:firstLine="420"/>
        <w:rPr>
          <w:color w:val="000000" w:themeColor="text1"/>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172B3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投标人应在《开标一览表》、《投标分项报价》等标明提供服务的单价、总价以及分项报价。</w:t>
      </w:r>
    </w:p>
    <w:p w14:paraId="1B122C9E">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、投标有效期</w:t>
      </w:r>
    </w:p>
    <w:p w14:paraId="52EAF46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投标有效期为</w:t>
      </w:r>
      <w:r>
        <w:rPr>
          <w:rFonts w:hint="eastAsia" w:ascii="宋体" w:hAnsi="宋体" w:eastAsia="宋体" w:cs="宋体"/>
          <w:b/>
          <w:bCs/>
          <w:color w:val="000000" w:themeColor="text1"/>
          <w:sz w:val="24"/>
          <w:szCs w:val="24"/>
          <w:lang w:val="zh-CN"/>
          <w14:textFill>
            <w14:solidFill>
              <w14:schemeClr w14:val="tx1"/>
            </w14:solidFill>
          </w14:textFill>
        </w:rPr>
        <w:t>90天</w:t>
      </w:r>
      <w:r>
        <w:rPr>
          <w:rFonts w:hint="eastAsia" w:ascii="宋体" w:hAnsi="宋体" w:eastAsia="宋体" w:cs="宋体"/>
          <w:color w:val="000000" w:themeColor="text1"/>
          <w:sz w:val="24"/>
          <w:szCs w:val="24"/>
          <w:lang w:val="zh-CN"/>
          <w14:textFill>
            <w14:solidFill>
              <w14:schemeClr w14:val="tx1"/>
            </w14:solidFill>
          </w14:textFill>
        </w:rPr>
        <w:t>，投标有效期从提交投标文件的截止之日起算。投标文件中承诺的投标有效期应当不少于招标文件中载明的投标有效期。</w:t>
      </w:r>
    </w:p>
    <w:p w14:paraId="1C73E9B9">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、投标文件的份数、签署</w:t>
      </w:r>
    </w:p>
    <w:p w14:paraId="0A5557BF">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投标人应严格按照招标文件要求的份数准备投标文件，每份投标文件须清楚地标明“正本”或“副本”字样。一旦正本和副本不符，以正本为准。</w:t>
      </w:r>
    </w:p>
    <w:p w14:paraId="31636D9A">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 投</w:t>
      </w:r>
      <w:r>
        <w:rPr>
          <w:rFonts w:hint="eastAsia" w:ascii="宋体" w:hAnsi="宋体" w:eastAsia="宋体" w:cs="宋体"/>
          <w:color w:val="000000" w:themeColor="text1"/>
          <w:sz w:val="24"/>
          <w:szCs w:val="24"/>
          <w14:textFill>
            <w14:solidFill>
              <w14:schemeClr w14:val="tx1"/>
            </w14:solidFill>
          </w14:textFill>
        </w:rPr>
        <w:t>标文件正本中，文字材料需打印或用不褪色墨水书写，投标文件的正本须经法定代表人或授权代表</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和加盖投标人公章。本招标文件所表述（指定）的公章是指法定名称章，不包括合同专用章、业务专用章等印章。</w:t>
      </w:r>
    </w:p>
    <w:p w14:paraId="2603684E">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.3 </w:t>
      </w:r>
      <w:r>
        <w:rPr>
          <w:rFonts w:hint="eastAsia" w:ascii="宋体" w:hAnsi="宋体" w:eastAsia="宋体" w:cs="宋体"/>
          <w:bCs/>
          <w:color w:val="000000" w:themeColor="text1"/>
          <w:sz w:val="24"/>
          <w:szCs w:val="24"/>
          <w14:textFill>
            <w14:solidFill>
              <w14:schemeClr w14:val="tx1"/>
            </w14:solidFill>
          </w14:textFill>
        </w:rPr>
        <w:t>除投标人对错处做必要修改外，投标文件不得行间插字、涂改或增删。如有修改错漏处，必须由投标文件签署人签字或盖章。</w:t>
      </w:r>
    </w:p>
    <w:p w14:paraId="70007CB0">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、投标文件的密封和递交</w:t>
      </w:r>
    </w:p>
    <w:p w14:paraId="5526D09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7E1D48AE">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442456C9">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（3）开标一览表必须加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4C0D06D4">
      <w:pPr>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逾期送达及未按要求密封的投标文件，采购人不予接收。</w:t>
      </w:r>
    </w:p>
    <w:p w14:paraId="24DA4AE6">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、投标文件的修改和撤回</w:t>
      </w:r>
    </w:p>
    <w:p w14:paraId="7DE63D7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.1 投标人在投标截止时间前，可以对所递交的投标文件进行补充、修改或撤回，并书面通知</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。补充、修改的内容应当按照招标文件要求签署、盖章，并作为投标文件的组成部分。</w:t>
      </w:r>
    </w:p>
    <w:p w14:paraId="5C4F0A3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.2 投标截止时间之后，投标文件不得撤回。 </w:t>
      </w:r>
    </w:p>
    <w:p w14:paraId="179A63C5">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6" w:name="_Toc17243"/>
      <w:bookmarkStart w:id="37" w:name="_Toc21540"/>
      <w:r>
        <w:rPr>
          <w:rFonts w:hint="eastAsia" w:ascii="宋体" w:hAnsi="宋体" w:eastAsia="宋体" w:cs="宋体"/>
          <w:b/>
          <w:color w:val="000000" w:themeColor="text1"/>
          <w:sz w:val="24"/>
          <w:szCs w:val="24"/>
          <w:lang w:val="zh-CN"/>
          <w14:textFill>
            <w14:solidFill>
              <w14:schemeClr w14:val="tx1"/>
            </w14:solidFill>
          </w14:textFill>
        </w:rPr>
        <w:t>四、开标、评标与确定中标投标人</w:t>
      </w:r>
      <w:bookmarkEnd w:id="36"/>
      <w:bookmarkEnd w:id="37"/>
    </w:p>
    <w:p w14:paraId="534CD0BB">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、开标</w:t>
      </w:r>
    </w:p>
    <w:p w14:paraId="29FB369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将在招标文件确定的时间和地点进行公开开标，</w:t>
      </w:r>
      <w:r>
        <w:rPr>
          <w:rFonts w:hint="eastAsia" w:ascii="宋体" w:hAnsi="宋体" w:eastAsia="宋体" w:cs="宋体"/>
          <w:color w:val="000000" w:themeColor="text1"/>
          <w:sz w:val="24"/>
          <w:szCs w:val="24"/>
          <w14:textFill>
            <w14:solidFill>
              <w14:schemeClr w14:val="tx1"/>
            </w14:solidFill>
          </w14:textFill>
        </w:rPr>
        <w:t>授权</w:t>
      </w:r>
      <w:r>
        <w:rPr>
          <w:rFonts w:hint="eastAsia" w:ascii="宋体" w:hAnsi="宋体" w:eastAsia="宋体" w:cs="宋体"/>
          <w:color w:val="000000" w:themeColor="text1"/>
          <w:sz w:val="24"/>
          <w:szCs w:val="24"/>
          <w:lang w:val="zh-CN"/>
          <w14:textFill>
            <w14:solidFill>
              <w14:schemeClr w14:val="tx1"/>
            </w14:solidFill>
          </w14:textFill>
        </w:rPr>
        <w:t>代表</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eastAsia="宋体" w:cs="宋体"/>
          <w:color w:val="000000" w:themeColor="text1"/>
          <w:sz w:val="24"/>
          <w:szCs w:val="24"/>
          <w:lang w:val="zh-CN"/>
          <w14:textFill>
            <w14:solidFill>
              <w14:schemeClr w14:val="tx1"/>
            </w14:solidFill>
          </w14:textFill>
        </w:rPr>
        <w:t>准时参加。</w:t>
      </w:r>
    </w:p>
    <w:p w14:paraId="5CCFDF7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.2 开标时，</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将邀请投标人代表检查投标文件的密封情况，经确认无误后，由工作人员当众拆封，宣读投标人名称、投标价格</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zh-CN"/>
          <w14:textFill>
            <w14:solidFill>
              <w14:schemeClr w14:val="tx1"/>
            </w14:solidFill>
          </w14:textFill>
        </w:rPr>
        <w:t xml:space="preserve">主要内容。 </w:t>
      </w:r>
    </w:p>
    <w:p w14:paraId="205F3A7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开标时，《开标一览表》内容与投标文件中相应内容不一致的，以《开标一览表》为准。</w:t>
      </w:r>
    </w:p>
    <w:p w14:paraId="56486FD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 投标文件、《开标一览表》中报价的大写金额与小写金额不一致的，以大写金额为准。</w:t>
      </w:r>
    </w:p>
    <w:p w14:paraId="0DEC735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单价金额小数点或者百分比有明显错位的，以《开标一览表》的总价为准，并修改单价；</w:t>
      </w:r>
    </w:p>
    <w:p w14:paraId="2145ECB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总价金额与按单价汇总金额不一致的，以单价金额计算结果为准；</w:t>
      </w:r>
    </w:p>
    <w:p w14:paraId="2F0731C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 xml:space="preserve">  对不同文字文本投标文件的解释发生异议的，以中文文本为准。</w:t>
      </w:r>
    </w:p>
    <w:p w14:paraId="279AD1B4">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、评标</w:t>
      </w:r>
    </w:p>
    <w:p w14:paraId="28CB7551">
      <w:pPr>
        <w:autoSpaceDE w:val="0"/>
        <w:autoSpaceDN w:val="0"/>
        <w:spacing w:line="360" w:lineRule="auto"/>
        <w:ind w:firstLine="42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评标组织</w:t>
      </w:r>
    </w:p>
    <w:p w14:paraId="2AD7670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评标工作由</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负责组织，具体评标事务由依法组建的评标委员会负责，评标委员会由采购人代表和有关技术、经济等方面的专家组成，独立开展评审工作。</w:t>
      </w:r>
    </w:p>
    <w:p w14:paraId="5FF8C908">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 评标程序</w:t>
      </w:r>
    </w:p>
    <w:p w14:paraId="62A1321F">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w:t>
      </w:r>
      <w:r>
        <w:rPr>
          <w:rFonts w:hint="eastAsia" w:ascii="宋体" w:hAnsi="宋体" w:eastAsia="宋体" w:cs="宋体"/>
          <w:b/>
          <w:color w:val="000000" w:themeColor="text1"/>
          <w:sz w:val="24"/>
          <w:szCs w:val="24"/>
          <w:lang w:val="zh-CN"/>
          <w14:textFill>
            <w14:solidFill>
              <w14:schemeClr w14:val="tx1"/>
            </w14:solidFill>
          </w14:textFill>
        </w:rPr>
        <w:t>.2.1 投标文件的资格审查</w:t>
      </w:r>
    </w:p>
    <w:p w14:paraId="5692E5A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479877C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投标文件有下列情况之一的，在资格性审查时按照无效投标处理： </w:t>
      </w:r>
    </w:p>
    <w:p w14:paraId="7CB5A88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（1）不具备招标文件中规定资格条件的；</w:t>
      </w:r>
    </w:p>
    <w:p w14:paraId="651882D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投标人被“信用中国”网站（www.creditchina.gov.cn）、“中国政府采购网"(www.ccgp.gov.cn) 列入失信被执行人、重大税收违法失信主体、政府采购严重违法失信行为记录名单的 </w:t>
      </w:r>
    </w:p>
    <w:p w14:paraId="36CA5DAB">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.2.2 投标文件的符合性审查</w:t>
      </w:r>
    </w:p>
    <w:p w14:paraId="1158C2F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07FF6BF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投标文件有下列情况之一的，在符合性审查时按照无效投标处理： </w:t>
      </w:r>
    </w:p>
    <w:p w14:paraId="69E0B98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（1）未按照招标文件规定要求密封、签署、盖章的； </w:t>
      </w:r>
    </w:p>
    <w:p w14:paraId="74275822">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（2）投标总价超出采购预算金额或者最高限价的； </w:t>
      </w:r>
    </w:p>
    <w:p w14:paraId="5D74690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（3）不同投标人的投标文件由同一单位或者个人编制； </w:t>
      </w:r>
    </w:p>
    <w:p w14:paraId="6B9DED3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（4）不同投标人委托同一单位或者个人办理投标事宜； </w:t>
      </w:r>
    </w:p>
    <w:p w14:paraId="1151153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（5）不同投标人的投标文件载明的项目管理成员或者联系人员为同一人； </w:t>
      </w:r>
    </w:p>
    <w:p w14:paraId="1A1B483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（6）不同投标人的投标文件异常一致或者投标报价呈规律性差异； </w:t>
      </w:r>
    </w:p>
    <w:p w14:paraId="75261EF2">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（7）不同投标人的投标文件相互混装； </w:t>
      </w:r>
    </w:p>
    <w:p w14:paraId="1794250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（8）不同投标人的法定代表人或委托代理人有夫妻、直系血亲关系的； </w:t>
      </w:r>
    </w:p>
    <w:p w14:paraId="74AC726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（9）不同投标人的负责人为同一人或者存在控股、管理关系的； </w:t>
      </w:r>
    </w:p>
    <w:p w14:paraId="1925907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（10）没有逐一说明投标产品名称、品牌、规格型号、产地、技术参数和服务响应，而是直接拷贝招标文件技术要求的； </w:t>
      </w:r>
    </w:p>
    <w:p w14:paraId="25CF3A9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（11）不同投标人的委托代理人(或法定代表人、项目经理、项目总监、项目负责人等)在采购文件发布日上月至投标截止日当月在同一单位缴纳社会保险的；</w:t>
      </w:r>
    </w:p>
    <w:p w14:paraId="53C81EB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（12）服务承诺和付款条件未响应招标要求的； </w:t>
      </w:r>
    </w:p>
    <w:p w14:paraId="430564F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（13）投标文件含有采购人不能接受的附加条件的； </w:t>
      </w:r>
    </w:p>
    <w:p w14:paraId="6405CF1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5B93451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（15）不符合法律、法规和招标文件规定的其他无效情形。</w:t>
      </w:r>
    </w:p>
    <w:p w14:paraId="2D32B51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 xml:space="preserve"> 投标文件的</w:t>
      </w:r>
      <w:r>
        <w:rPr>
          <w:rFonts w:hint="eastAsia" w:ascii="宋体" w:hAnsi="宋体" w:eastAsia="宋体" w:cs="宋体"/>
          <w:b/>
          <w:bCs/>
          <w:color w:val="000000" w:themeColor="text1"/>
          <w:sz w:val="24"/>
          <w:szCs w:val="24"/>
          <w14:textFill>
            <w14:solidFill>
              <w14:schemeClr w14:val="tx1"/>
            </w14:solidFill>
          </w14:textFill>
        </w:rPr>
        <w:t>进一步评审</w:t>
      </w:r>
      <w:r>
        <w:rPr>
          <w:rFonts w:hint="eastAsia" w:ascii="宋体" w:hAnsi="宋体" w:eastAsia="宋体" w:cs="宋体"/>
          <w:color w:val="000000" w:themeColor="text1"/>
          <w:sz w:val="24"/>
          <w:szCs w:val="24"/>
          <w14:textFill>
            <w14:solidFill>
              <w14:schemeClr w14:val="tx1"/>
            </w14:solidFill>
          </w14:textFill>
        </w:rPr>
        <w:t xml:space="preserve"> </w:t>
      </w:r>
    </w:p>
    <w:p w14:paraId="2A61590C">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269DBB05">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5F6E534D">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废标情形</w:t>
      </w:r>
    </w:p>
    <w:p w14:paraId="7849156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有下列情形之一的予以废标： </w:t>
      </w:r>
    </w:p>
    <w:p w14:paraId="62E96CC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（1）符合资质条件的投标人或者对招标文件作实质性响应的投标人不足三家的； </w:t>
      </w:r>
    </w:p>
    <w:p w14:paraId="67C9F2D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1D8C17F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（3）投标人的报价均超过了采购预算或最高限价的，采购人不能支付的； </w:t>
      </w:r>
    </w:p>
    <w:p w14:paraId="33CDD63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w:t>
      </w:r>
    </w:p>
    <w:p w14:paraId="782CB214">
      <w:pPr>
        <w:autoSpaceDE w:val="0"/>
        <w:autoSpaceDN w:val="0"/>
        <w:spacing w:line="360" w:lineRule="auto"/>
        <w:ind w:firstLine="42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（5）投标文件存在歧义、重大缺陷，或者招标文件内容违反国家有关强制性规定的。 </w:t>
      </w:r>
    </w:p>
    <w:p w14:paraId="48E0AC1E">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、确定中标投标人</w:t>
      </w:r>
    </w:p>
    <w:p w14:paraId="5829A65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采用综合评分法，评标结果按评审后得分由高到低顺序排列。得分相同的，按投标报价由低到高顺序排列。得分且投标报价相同的并列</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投标文件满足招标文件全部实质性要求，且按照评审因素的量化指标评审得分最高的投标人为排名第一的中标候选人。</w:t>
      </w:r>
    </w:p>
    <w:p w14:paraId="761C642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.2中标投标人确定之日起2个工作日内，将在</w:t>
      </w:r>
      <w:r>
        <w:rPr>
          <w:rFonts w:hint="eastAsia" w:ascii="宋体" w:hAnsi="宋体" w:eastAsia="宋体" w:cs="宋体"/>
          <w:color w:val="000000" w:themeColor="text1"/>
          <w:sz w:val="24"/>
          <w:szCs w:val="24"/>
          <w14:textFill>
            <w14:solidFill>
              <w14:schemeClr w14:val="tx1"/>
            </w14:solidFill>
          </w14:textFill>
        </w:rPr>
        <w:t>南京医科大学官方网站发布中标</w:t>
      </w:r>
      <w:r>
        <w:rPr>
          <w:rFonts w:hint="eastAsia" w:ascii="宋体" w:hAnsi="宋体" w:eastAsia="宋体" w:cs="宋体"/>
          <w:color w:val="000000" w:themeColor="text1"/>
          <w:sz w:val="24"/>
          <w:szCs w:val="24"/>
          <w:lang w:val="zh-CN"/>
          <w14:textFill>
            <w14:solidFill>
              <w14:schemeClr w14:val="tx1"/>
            </w14:solidFill>
          </w14:textFill>
        </w:rPr>
        <w:t>公告，中标人及时领取《中标通知书》。</w:t>
      </w:r>
    </w:p>
    <w:p w14:paraId="502801A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3中标通知书发出后，中标投标人无正当理由不与采购人签订合同的；情节严重的，将其列入不良行为记录名单，在一至三年内禁止参加采购人组织的政府采购活动。</w:t>
      </w:r>
    </w:p>
    <w:p w14:paraId="458645BD">
      <w:pPr>
        <w:tabs>
          <w:tab w:val="left" w:pos="1260"/>
        </w:tabs>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18.4采购人</w:t>
      </w:r>
      <w:r>
        <w:rPr>
          <w:rFonts w:hint="eastAsia" w:ascii="宋体" w:hAnsi="宋体" w:eastAsia="宋体" w:cs="宋体"/>
          <w:color w:val="000000" w:themeColor="text1"/>
          <w:sz w:val="24"/>
          <w:szCs w:val="24"/>
          <w:lang w:val="zh-CN"/>
          <w14:textFill>
            <w14:solidFill>
              <w14:schemeClr w14:val="tx1"/>
            </w14:solidFill>
          </w14:textFill>
        </w:rPr>
        <w:t>和评标委员会</w:t>
      </w:r>
      <w:r>
        <w:rPr>
          <w:rFonts w:hint="eastAsia" w:ascii="宋体" w:hAnsi="宋体" w:eastAsia="宋体" w:cs="宋体"/>
          <w:color w:val="000000" w:themeColor="text1"/>
          <w:sz w:val="24"/>
          <w:szCs w:val="24"/>
          <w14:textFill>
            <w14:solidFill>
              <w14:schemeClr w14:val="tx1"/>
            </w14:solidFill>
          </w14:textFill>
        </w:rPr>
        <w:t>对未中标的投标人不作未中标原因的解释。</w:t>
      </w:r>
    </w:p>
    <w:p w14:paraId="7D36017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18.5所有投标文件都将作为档案保存，不论中标与否，采购人均不退回。</w:t>
      </w:r>
    </w:p>
    <w:p w14:paraId="2B85147D">
      <w:pPr>
        <w:autoSpaceDE w:val="0"/>
        <w:autoSpaceDN w:val="0"/>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编写评标报告</w:t>
      </w:r>
    </w:p>
    <w:p w14:paraId="5A0411B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评标委员会根据全体评标成员签字的原始评标记录和评标结果编写评标报告。</w:t>
      </w:r>
    </w:p>
    <w:p w14:paraId="5C632942">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w:t>
      </w:r>
      <w:r>
        <w:rPr>
          <w:rFonts w:hint="eastAsia" w:ascii="宋体" w:hAnsi="宋体" w:eastAsia="宋体" w:cs="宋体"/>
          <w:b/>
          <w:color w:val="000000" w:themeColor="text1"/>
          <w:sz w:val="24"/>
          <w:szCs w:val="24"/>
          <w:lang w:val="zh-CN"/>
          <w14:textFill>
            <w14:solidFill>
              <w14:schemeClr w14:val="tx1"/>
            </w14:solidFill>
          </w14:textFill>
        </w:rPr>
        <w:t>、评标过程的保密性</w:t>
      </w:r>
    </w:p>
    <w:p w14:paraId="51287CB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将采取必要措施，保证评标在严格保密的情况下进行。</w:t>
      </w:r>
    </w:p>
    <w:p w14:paraId="704C487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.2 任何单位和个人不得非法干预、影响评标办法的确定，以及评标过程和结果。</w:t>
      </w:r>
    </w:p>
    <w:p w14:paraId="575B892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.3 凡是与审查、澄清、评价和比较投标的有关资料等，均不向投标人及与评标无关的其他人员透露。</w:t>
      </w:r>
    </w:p>
    <w:p w14:paraId="4B57BDFE">
      <w:pPr>
        <w:pStyle w:val="33"/>
        <w:rPr>
          <w:rFonts w:ascii="宋体" w:hAnsi="宋体" w:cs="宋体"/>
          <w:b/>
          <w:color w:val="000000" w:themeColor="text1"/>
          <w14:textFill>
            <w14:solidFill>
              <w14:schemeClr w14:val="tx1"/>
            </w14:solidFill>
          </w14:textFill>
        </w:rPr>
      </w:pPr>
      <w:bookmarkStart w:id="38" w:name="_Toc513029237"/>
      <w:bookmarkStart w:id="39" w:name="_Toc20823309"/>
      <w:bookmarkStart w:id="40" w:name="_Toc16938553"/>
      <w:r>
        <w:rPr>
          <w:rFonts w:hint="eastAsia" w:ascii="宋体" w:hAnsi="宋体" w:cs="宋体"/>
          <w:b/>
          <w:color w:val="000000" w:themeColor="text1"/>
          <w14:textFill>
            <w14:solidFill>
              <w14:schemeClr w14:val="tx1"/>
            </w14:solidFill>
          </w14:textFill>
        </w:rPr>
        <w:t>21、样品</w:t>
      </w:r>
    </w:p>
    <w:p w14:paraId="4507D1D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项目要求提供样品的，中标人的样品由采购人负责保管、</w:t>
      </w:r>
      <w:r>
        <w:rPr>
          <w:rFonts w:hint="eastAsia" w:ascii="宋体" w:hAnsi="宋体" w:eastAsia="宋体" w:cs="宋体"/>
          <w:color w:val="000000" w:themeColor="text1"/>
          <w:sz w:val="24"/>
          <w:szCs w:val="24"/>
          <w14:textFill>
            <w14:solidFill>
              <w14:schemeClr w14:val="tx1"/>
            </w14:solidFill>
          </w14:textFill>
        </w:rPr>
        <w:t>封</w:t>
      </w:r>
      <w:r>
        <w:rPr>
          <w:rFonts w:hint="eastAsia" w:ascii="宋体" w:hAnsi="宋体" w:eastAsia="宋体" w:cs="宋体"/>
          <w:color w:val="000000" w:themeColor="text1"/>
          <w:sz w:val="24"/>
          <w:szCs w:val="24"/>
          <w:lang w:val="zh-CN"/>
          <w14:textFill>
            <w14:solidFill>
              <w14:schemeClr w14:val="tx1"/>
            </w14:solidFill>
          </w14:textFill>
        </w:rPr>
        <w:t>存，并作为履约验收的参考</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未中标人的样品将及时退还。</w:t>
      </w:r>
      <w:bookmarkEnd w:id="38"/>
      <w:bookmarkEnd w:id="39"/>
      <w:bookmarkEnd w:id="40"/>
    </w:p>
    <w:p w14:paraId="65F54BDB">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41" w:name="_Toc5321"/>
      <w:bookmarkStart w:id="42" w:name="_Toc10016"/>
      <w:r>
        <w:rPr>
          <w:rFonts w:hint="eastAsia" w:ascii="宋体" w:hAnsi="宋体" w:eastAsia="宋体" w:cs="宋体"/>
          <w:b/>
          <w:color w:val="000000" w:themeColor="text1"/>
          <w:sz w:val="24"/>
          <w:szCs w:val="24"/>
          <w:lang w:val="zh-CN"/>
          <w14:textFill>
            <w14:solidFill>
              <w14:schemeClr w14:val="tx1"/>
            </w14:solidFill>
          </w14:textFill>
        </w:rPr>
        <w:t>五、签订合同</w:t>
      </w:r>
      <w:bookmarkEnd w:id="41"/>
      <w:bookmarkEnd w:id="42"/>
    </w:p>
    <w:p w14:paraId="5DA67ED7">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、签订合同</w:t>
      </w:r>
    </w:p>
    <w:p w14:paraId="1C6BBCD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采购人应当自中标通知书发出之日起30日内，按照招标文件和中标人投标文件的规定与中标人签订书面合同。所签订的合同不得对招标文件确定事项和中标人投标文件作实质性修改。</w:t>
      </w:r>
    </w:p>
    <w:p w14:paraId="034C0805">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采购人不得向中标人提出任何不合理的要求作为签订合同的条件，不得与中标人私下订立背离合同实质性内容的协议。</w:t>
      </w:r>
    </w:p>
    <w:p w14:paraId="3E79324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.3中标人拒绝与采购人签订合同，或因不可抗力或者自身原因不能履行政府采购合同的，采购人可以按照评审报告中的得分高低顺序，确定下一顺序投标人为中标人，也可以重新开展政府采购活动。</w:t>
      </w:r>
    </w:p>
    <w:p w14:paraId="60ADEF2A">
      <w:pPr>
        <w:pStyle w:val="33"/>
        <w:rPr>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731183BF">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43" w:name="_Toc3868"/>
      <w:bookmarkStart w:id="44" w:name="_Toc241"/>
      <w:r>
        <w:rPr>
          <w:rFonts w:hint="eastAsia" w:ascii="宋体" w:hAnsi="宋体" w:eastAsia="宋体" w:cs="宋体"/>
          <w:b/>
          <w:color w:val="000000" w:themeColor="text1"/>
          <w:sz w:val="24"/>
          <w:szCs w:val="24"/>
          <w:lang w:val="zh-CN"/>
          <w14:textFill>
            <w14:solidFill>
              <w14:schemeClr w14:val="tx1"/>
            </w14:solidFill>
          </w14:textFill>
        </w:rPr>
        <w:t>六、质疑</w:t>
      </w:r>
      <w:r>
        <w:rPr>
          <w:rFonts w:hint="eastAsia" w:ascii="宋体" w:hAnsi="宋体" w:eastAsia="宋体" w:cs="宋体"/>
          <w:b/>
          <w:color w:val="000000" w:themeColor="text1"/>
          <w:sz w:val="24"/>
          <w:szCs w:val="24"/>
          <w14:textFill>
            <w14:solidFill>
              <w14:schemeClr w14:val="tx1"/>
            </w14:solidFill>
          </w14:textFill>
        </w:rPr>
        <w:t>和</w:t>
      </w:r>
      <w:r>
        <w:rPr>
          <w:rFonts w:hint="eastAsia" w:ascii="宋体" w:hAnsi="宋体" w:eastAsia="宋体" w:cs="宋体"/>
          <w:b/>
          <w:color w:val="000000" w:themeColor="text1"/>
          <w:sz w:val="24"/>
          <w:szCs w:val="24"/>
          <w:lang w:val="zh-CN"/>
          <w14:textFill>
            <w14:solidFill>
              <w14:schemeClr w14:val="tx1"/>
            </w14:solidFill>
          </w14:textFill>
        </w:rPr>
        <w:t>投诉</w:t>
      </w:r>
      <w:bookmarkEnd w:id="43"/>
      <w:bookmarkEnd w:id="44"/>
    </w:p>
    <w:p w14:paraId="7228159B">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、质疑</w:t>
      </w:r>
    </w:p>
    <w:p w14:paraId="6F8559B4">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w:t>
      </w:r>
    </w:p>
    <w:p w14:paraId="430AA46C">
      <w:pPr>
        <w:spacing w:line="360" w:lineRule="auto"/>
        <w:ind w:firstLine="468" w:firstLineChars="195"/>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.2 质疑投标人是指直接参加本次投标活动的投标人，未参加投标活动的投标人或在投标活动中自身权益未受到损害的投标人所提出的质疑不予受理。</w:t>
      </w:r>
    </w:p>
    <w:p w14:paraId="77CCFBA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.3 质疑必须以参加投标投标人法定代表人或授权代表（投标文件中所确定的）原件送达的方式提交，否则，采购人有权不予受理。  </w:t>
      </w:r>
    </w:p>
    <w:p w14:paraId="4A92C5A5">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lang w:val="zh-CN"/>
          <w14:textFill>
            <w14:solidFill>
              <w14:schemeClr w14:val="tx1"/>
            </w14:solidFill>
          </w14:textFill>
        </w:rPr>
        <w:t xml:space="preserve"> 质疑文件应包括以下主要内容，并按照“谁主张、谁举证”的原则，附上相关证明材料。否则，采购人或采购人不予受理：</w:t>
      </w:r>
    </w:p>
    <w:p w14:paraId="63E8D1DC">
      <w:pPr>
        <w:autoSpaceDE w:val="0"/>
        <w:autoSpaceDN w:val="0"/>
        <w:spacing w:line="360" w:lineRule="auto"/>
        <w:ind w:left="440" w:left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（1）质疑项目名称、项目编号、包号、招标公告发布时间、开标时间；</w:t>
      </w:r>
    </w:p>
    <w:p w14:paraId="475C35B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（2）提起质疑的日期、具体的质疑事项及事实根据（具体条款）；</w:t>
      </w:r>
    </w:p>
    <w:p w14:paraId="2E0F57C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（3）认为自己合法权益受到损害或可能受到损害的相关证据材料。质疑相关证明材料中如涉及到产品功能或技术指标的，应出具相关制造商的证明文件；</w:t>
      </w:r>
    </w:p>
    <w:p w14:paraId="7BA3E40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（4）质疑投标人名称、地址、邮编、联系人、联系电话；</w:t>
      </w:r>
    </w:p>
    <w:p w14:paraId="58090B8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（5）质疑文件应当署名，质疑人为自然人的，应当由本人签字并附有效身份证明；质疑人为法人或其他组织的，应当由法定代表人签字并加盖单位公章。</w:t>
      </w:r>
    </w:p>
    <w:p w14:paraId="1D14AFD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在收到投标人的书面质疑后将及时组织调查核实，在七个工作日内作出答复，答复的内容不涉及商业秘密。</w:t>
      </w:r>
    </w:p>
    <w:p w14:paraId="27A6375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、投诉</w:t>
      </w:r>
    </w:p>
    <w:p w14:paraId="43C5FD1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质疑投标人对</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的答复不满意，或未在规定的时间内作出答复的，可以在答复期满后十五个工作日内向采购项目同级财政部门投诉。</w:t>
      </w:r>
    </w:p>
    <w:p w14:paraId="1105EC53">
      <w:pPr>
        <w:pStyle w:val="33"/>
        <w:rPr>
          <w:rFonts w:ascii="宋体" w:hAnsi="宋体" w:cs="宋体"/>
          <w:color w:val="000000" w:themeColor="text1"/>
          <w:lang w:val="zh-CN"/>
          <w14:textFill>
            <w14:solidFill>
              <w14:schemeClr w14:val="tx1"/>
            </w14:solidFill>
          </w14:textFill>
        </w:rPr>
      </w:pPr>
    </w:p>
    <w:p w14:paraId="17B5E961">
      <w:pPr>
        <w:pStyle w:val="33"/>
        <w:rPr>
          <w:rFonts w:ascii="宋体" w:hAnsi="宋体" w:cs="宋体"/>
          <w:color w:val="000000" w:themeColor="text1"/>
          <w:lang w:val="zh-CN"/>
          <w14:textFill>
            <w14:solidFill>
              <w14:schemeClr w14:val="tx1"/>
            </w14:solidFill>
          </w14:textFill>
        </w:rPr>
      </w:pPr>
    </w:p>
    <w:bookmarkEnd w:id="26"/>
    <w:bookmarkEnd w:id="27"/>
    <w:bookmarkEnd w:id="28"/>
    <w:bookmarkEnd w:id="29"/>
    <w:p w14:paraId="162D994F">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45" w:name="_Toc23761"/>
      <w:bookmarkStart w:id="46" w:name="_Toc16007"/>
      <w:bookmarkStart w:id="47" w:name="_Toc31620"/>
      <w:r>
        <w:rPr>
          <w:rFonts w:hint="eastAsia" w:asciiTheme="majorEastAsia" w:hAnsiTheme="majorEastAsia" w:eastAsiaTheme="majorEastAsia"/>
          <w:b/>
          <w:color w:val="000000" w:themeColor="text1"/>
          <w:sz w:val="32"/>
          <w:szCs w:val="32"/>
          <w14:textFill>
            <w14:solidFill>
              <w14:schemeClr w14:val="tx1"/>
            </w14:solidFill>
          </w14:textFill>
        </w:rPr>
        <w:t>第三章  项目需求</w:t>
      </w:r>
      <w:bookmarkEnd w:id="45"/>
      <w:bookmarkEnd w:id="46"/>
      <w:bookmarkEnd w:id="47"/>
    </w:p>
    <w:p w14:paraId="43DB1D58">
      <w:pPr>
        <w:rPr>
          <w:color w:val="000000" w:themeColor="text1"/>
          <w14:textFill>
            <w14:solidFill>
              <w14:schemeClr w14:val="tx1"/>
            </w14:solidFill>
          </w14:textFill>
        </w:rPr>
      </w:pPr>
    </w:p>
    <w:p w14:paraId="083BB45A">
      <w:pPr>
        <w:pStyle w:val="39"/>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846"/>
        <w:gridCol w:w="951"/>
        <w:gridCol w:w="1339"/>
        <w:gridCol w:w="2071"/>
      </w:tblGrid>
      <w:tr w14:paraId="33D1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5" w:type="dxa"/>
            <w:vAlign w:val="center"/>
          </w:tcPr>
          <w:p w14:paraId="6283C25C">
            <w:pPr>
              <w:pStyle w:val="39"/>
              <w:widowControl w:val="0"/>
              <w:spacing w:after="0" w:line="240" w:lineRule="auto"/>
              <w:ind w:left="0" w:leftChars="0"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846" w:type="dxa"/>
            <w:vAlign w:val="center"/>
          </w:tcPr>
          <w:p w14:paraId="12A96C9B">
            <w:pPr>
              <w:pStyle w:val="39"/>
              <w:widowControl w:val="0"/>
              <w:spacing w:after="0" w:line="24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服务</w:t>
            </w:r>
            <w:r>
              <w:rPr>
                <w:rFonts w:hint="eastAsia" w:ascii="宋体" w:hAnsi="宋体" w:eastAsia="宋体" w:cs="宋体"/>
                <w:b/>
                <w:bCs/>
                <w:color w:val="000000" w:themeColor="text1"/>
                <w:sz w:val="24"/>
                <w:szCs w:val="24"/>
                <w14:textFill>
                  <w14:solidFill>
                    <w14:schemeClr w14:val="tx1"/>
                  </w14:solidFill>
                </w14:textFill>
              </w:rPr>
              <w:t>名称</w:t>
            </w:r>
          </w:p>
        </w:tc>
        <w:tc>
          <w:tcPr>
            <w:tcW w:w="951" w:type="dxa"/>
            <w:vAlign w:val="center"/>
          </w:tcPr>
          <w:p w14:paraId="3979C417">
            <w:pPr>
              <w:pStyle w:val="39"/>
              <w:widowControl w:val="0"/>
              <w:spacing w:after="0" w:line="240" w:lineRule="auto"/>
              <w:ind w:left="0" w:leftChars="0"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1339" w:type="dxa"/>
            <w:vAlign w:val="center"/>
          </w:tcPr>
          <w:p w14:paraId="45222CDA">
            <w:pPr>
              <w:pStyle w:val="39"/>
              <w:widowControl w:val="0"/>
              <w:spacing w:after="0" w:line="240" w:lineRule="auto"/>
              <w:ind w:left="0" w:leftChars="0"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c>
          <w:tcPr>
            <w:tcW w:w="2071" w:type="dxa"/>
            <w:vAlign w:val="center"/>
          </w:tcPr>
          <w:p w14:paraId="2EE165F3">
            <w:pPr>
              <w:pStyle w:val="39"/>
              <w:widowControl w:val="0"/>
              <w:spacing w:after="0" w:line="240" w:lineRule="auto"/>
              <w:ind w:firstLine="0" w:firstLineChars="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最高限价</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元）</w:t>
            </w:r>
          </w:p>
        </w:tc>
      </w:tr>
      <w:tr w14:paraId="2305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5" w:type="dxa"/>
            <w:vAlign w:val="center"/>
          </w:tcPr>
          <w:p w14:paraId="7D2AFA56">
            <w:pPr>
              <w:pStyle w:val="39"/>
              <w:widowControl w:val="0"/>
              <w:spacing w:after="0" w:line="240" w:lineRule="auto"/>
              <w:ind w:left="0" w:leftChars="0"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2846" w:type="dxa"/>
            <w:vAlign w:val="center"/>
          </w:tcPr>
          <w:p w14:paraId="6363410E">
            <w:pPr>
              <w:pStyle w:val="39"/>
              <w:widowControl w:val="0"/>
              <w:spacing w:after="0" w:line="240" w:lineRule="auto"/>
              <w:ind w:firstLine="0" w:firstLineChars="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在线虚拟诊疗系统服务</w:t>
            </w:r>
          </w:p>
        </w:tc>
        <w:tc>
          <w:tcPr>
            <w:tcW w:w="951" w:type="dxa"/>
            <w:vAlign w:val="center"/>
          </w:tcPr>
          <w:p w14:paraId="579F84EA">
            <w:pPr>
              <w:pStyle w:val="39"/>
              <w:widowControl w:val="0"/>
              <w:spacing w:after="0" w:line="240" w:lineRule="auto"/>
              <w:ind w:left="0" w:leftChars="0" w:firstLine="0" w:firstLineChars="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1339" w:type="dxa"/>
            <w:vAlign w:val="center"/>
          </w:tcPr>
          <w:p w14:paraId="7CC29347">
            <w:pPr>
              <w:pStyle w:val="39"/>
              <w:widowControl w:val="0"/>
              <w:spacing w:after="0" w:line="240" w:lineRule="auto"/>
              <w:ind w:left="0" w:leftChars="0" w:firstLine="0" w:firstLineChars="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年</w:t>
            </w:r>
          </w:p>
        </w:tc>
        <w:tc>
          <w:tcPr>
            <w:tcW w:w="2071" w:type="dxa"/>
            <w:vAlign w:val="center"/>
          </w:tcPr>
          <w:p w14:paraId="7B8DEB54">
            <w:pPr>
              <w:pStyle w:val="39"/>
              <w:widowControl w:val="0"/>
              <w:spacing w:after="0" w:line="240" w:lineRule="auto"/>
              <w:ind w:firstLine="0" w:firstLineChars="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96000.00</w:t>
            </w:r>
          </w:p>
        </w:tc>
      </w:tr>
    </w:tbl>
    <w:p w14:paraId="16ABF65B">
      <w:pPr>
        <w:pStyle w:val="39"/>
        <w:spacing w:line="360" w:lineRule="auto"/>
        <w:ind w:firstLine="482"/>
        <w:rPr>
          <w:rFonts w:ascii="宋体" w:hAnsi="宋体" w:eastAsia="宋体" w:cs="宋体"/>
          <w:b/>
          <w:bCs/>
          <w:color w:val="000000" w:themeColor="text1"/>
          <w:sz w:val="24"/>
          <w:szCs w:val="24"/>
          <w14:textFill>
            <w14:solidFill>
              <w14:schemeClr w14:val="tx1"/>
            </w14:solidFill>
          </w14:textFill>
        </w:rPr>
      </w:pPr>
    </w:p>
    <w:p w14:paraId="06129F8A">
      <w:pPr>
        <w:pStyle w:val="39"/>
        <w:spacing w:line="360" w:lineRule="auto"/>
        <w:ind w:firstLine="482"/>
        <w:rPr>
          <w:rFonts w:ascii="宋体" w:hAnsi="宋体" w:eastAsia="宋体" w:cs="宋体"/>
          <w:b/>
          <w:bCs/>
          <w:color w:val="000000" w:themeColor="text1"/>
          <w:sz w:val="24"/>
          <w:szCs w:val="24"/>
          <w14:textFill>
            <w14:solidFill>
              <w14:schemeClr w14:val="tx1"/>
            </w14:solidFill>
          </w14:textFill>
        </w:rPr>
      </w:pPr>
    </w:p>
    <w:p w14:paraId="7FD72B64">
      <w:pPr>
        <w:pStyle w:val="39"/>
        <w:numPr>
          <w:ilvl w:val="0"/>
          <w:numId w:val="3"/>
        </w:numPr>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技术要求</w:t>
      </w:r>
    </w:p>
    <w:tbl>
      <w:tblPr>
        <w:tblStyle w:val="23"/>
        <w:tblW w:w="5000" w:type="pct"/>
        <w:tblInd w:w="0" w:type="dxa"/>
        <w:tblLayout w:type="fixed"/>
        <w:tblCellMar>
          <w:top w:w="0" w:type="dxa"/>
          <w:left w:w="108" w:type="dxa"/>
          <w:bottom w:w="0" w:type="dxa"/>
          <w:right w:w="108" w:type="dxa"/>
        </w:tblCellMar>
      </w:tblPr>
      <w:tblGrid>
        <w:gridCol w:w="354"/>
        <w:gridCol w:w="684"/>
        <w:gridCol w:w="6002"/>
        <w:gridCol w:w="630"/>
        <w:gridCol w:w="496"/>
        <w:gridCol w:w="356"/>
      </w:tblGrid>
      <w:tr w14:paraId="48F95F05">
        <w:tblPrEx>
          <w:tblCellMar>
            <w:top w:w="0" w:type="dxa"/>
            <w:left w:w="108" w:type="dxa"/>
            <w:bottom w:w="0" w:type="dxa"/>
            <w:right w:w="108" w:type="dxa"/>
          </w:tblCellMar>
        </w:tblPrEx>
        <w:trPr>
          <w:trHeight w:val="702" w:hRule="atLeast"/>
          <w:tblHeader/>
        </w:trPr>
        <w:tc>
          <w:tcPr>
            <w:tcW w:w="207" w:type="pct"/>
            <w:tcBorders>
              <w:top w:val="single" w:color="auto" w:sz="4" w:space="0"/>
              <w:left w:val="single" w:color="auto" w:sz="4" w:space="0"/>
              <w:bottom w:val="single" w:color="auto" w:sz="4" w:space="0"/>
              <w:right w:val="single" w:color="auto" w:sz="4" w:space="0"/>
            </w:tcBorders>
            <w:noWrap/>
            <w:vAlign w:val="center"/>
          </w:tcPr>
          <w:p w14:paraId="48F96EE8">
            <w:pPr>
              <w:widowControl/>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序号</w:t>
            </w:r>
          </w:p>
        </w:tc>
        <w:tc>
          <w:tcPr>
            <w:tcW w:w="401" w:type="pct"/>
            <w:tcBorders>
              <w:top w:val="single" w:color="auto" w:sz="4" w:space="0"/>
              <w:left w:val="nil"/>
              <w:bottom w:val="single" w:color="auto" w:sz="4" w:space="0"/>
              <w:right w:val="single" w:color="auto" w:sz="4" w:space="0"/>
            </w:tcBorders>
            <w:noWrap/>
            <w:vAlign w:val="center"/>
          </w:tcPr>
          <w:p w14:paraId="44662268">
            <w:pPr>
              <w:widowControl/>
              <w:jc w:val="center"/>
              <w:rPr>
                <w:rFonts w:hint="eastAsia" w:ascii="仿宋" w:hAnsi="仿宋" w:eastAsia="仿宋" w:cs="仿宋"/>
                <w:color w:val="000000" w:themeColor="text1"/>
                <w:kern w:val="0"/>
                <w:sz w:val="22"/>
                <w:szCs w:val="28"/>
                <w:lang w:val="en-US" w:eastAsia="zh-CN"/>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拟采购</w:t>
            </w:r>
            <w:r>
              <w:rPr>
                <w:rFonts w:hint="eastAsia" w:ascii="仿宋" w:hAnsi="仿宋" w:eastAsia="仿宋" w:cs="仿宋"/>
                <w:color w:val="000000" w:themeColor="text1"/>
                <w:kern w:val="0"/>
                <w:sz w:val="22"/>
                <w:szCs w:val="28"/>
                <w:lang w:val="en-US" w:eastAsia="zh-CN"/>
                <w14:textFill>
                  <w14:solidFill>
                    <w14:schemeClr w14:val="tx1"/>
                  </w14:solidFill>
                </w14:textFill>
              </w:rPr>
              <w:t>服务</w:t>
            </w:r>
          </w:p>
        </w:tc>
        <w:tc>
          <w:tcPr>
            <w:tcW w:w="3521" w:type="pct"/>
            <w:tcBorders>
              <w:top w:val="single" w:color="auto" w:sz="4" w:space="0"/>
              <w:left w:val="nil"/>
              <w:bottom w:val="single" w:color="auto" w:sz="4" w:space="0"/>
              <w:right w:val="single" w:color="auto" w:sz="4" w:space="0"/>
            </w:tcBorders>
            <w:noWrap/>
            <w:vAlign w:val="center"/>
          </w:tcPr>
          <w:p w14:paraId="17C5A012">
            <w:pPr>
              <w:widowControl/>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技术参数及有关说明</w:t>
            </w:r>
          </w:p>
        </w:tc>
        <w:tc>
          <w:tcPr>
            <w:tcW w:w="369" w:type="pct"/>
            <w:tcBorders>
              <w:top w:val="single" w:color="auto" w:sz="4" w:space="0"/>
              <w:left w:val="nil"/>
              <w:bottom w:val="single" w:color="auto" w:sz="4" w:space="0"/>
              <w:right w:val="single" w:color="auto" w:sz="4" w:space="0"/>
            </w:tcBorders>
            <w:noWrap/>
            <w:vAlign w:val="center"/>
          </w:tcPr>
          <w:p w14:paraId="53DBF605">
            <w:pPr>
              <w:widowControl/>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计量单位</w:t>
            </w:r>
          </w:p>
        </w:tc>
        <w:tc>
          <w:tcPr>
            <w:tcW w:w="291" w:type="pct"/>
            <w:tcBorders>
              <w:top w:val="single" w:color="auto" w:sz="4" w:space="0"/>
              <w:left w:val="nil"/>
              <w:bottom w:val="single" w:color="auto" w:sz="4" w:space="0"/>
              <w:right w:val="single" w:color="auto" w:sz="4" w:space="0"/>
            </w:tcBorders>
            <w:noWrap/>
            <w:vAlign w:val="center"/>
          </w:tcPr>
          <w:p w14:paraId="332BB3FA">
            <w:pPr>
              <w:widowControl/>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数量</w:t>
            </w:r>
          </w:p>
        </w:tc>
        <w:tc>
          <w:tcPr>
            <w:tcW w:w="208" w:type="pct"/>
            <w:tcBorders>
              <w:top w:val="single" w:color="auto" w:sz="4" w:space="0"/>
              <w:left w:val="nil"/>
              <w:bottom w:val="single" w:color="auto" w:sz="4" w:space="0"/>
              <w:right w:val="single" w:color="auto" w:sz="4" w:space="0"/>
            </w:tcBorders>
            <w:noWrap/>
            <w:vAlign w:val="center"/>
          </w:tcPr>
          <w:p w14:paraId="581D678B">
            <w:pPr>
              <w:widowControl/>
              <w:jc w:val="center"/>
              <w:rPr>
                <w:rFonts w:hint="eastAsia" w:ascii="仿宋" w:hAnsi="仿宋" w:eastAsia="仿宋" w:cs="仿宋"/>
                <w:color w:val="000000" w:themeColor="text1"/>
                <w:kern w:val="0"/>
                <w:sz w:val="22"/>
                <w:szCs w:val="28"/>
                <w14:textFill>
                  <w14:solidFill>
                    <w14:schemeClr w14:val="tx1"/>
                  </w14:solidFill>
                </w14:textFill>
              </w:rPr>
            </w:pPr>
            <w:r>
              <w:rPr>
                <w:rFonts w:hint="eastAsia" w:ascii="仿宋" w:hAnsi="仿宋" w:eastAsia="仿宋" w:cs="仿宋"/>
                <w:color w:val="000000" w:themeColor="text1"/>
                <w:kern w:val="0"/>
                <w:sz w:val="22"/>
                <w:szCs w:val="28"/>
                <w14:textFill>
                  <w14:solidFill>
                    <w14:schemeClr w14:val="tx1"/>
                  </w14:solidFill>
                </w14:textFill>
              </w:rPr>
              <w:t>备注</w:t>
            </w:r>
          </w:p>
        </w:tc>
      </w:tr>
      <w:tr w14:paraId="49CD6AD5">
        <w:tblPrEx>
          <w:tblCellMar>
            <w:top w:w="0" w:type="dxa"/>
            <w:left w:w="108" w:type="dxa"/>
            <w:bottom w:w="0" w:type="dxa"/>
            <w:right w:w="108" w:type="dxa"/>
          </w:tblCellMar>
        </w:tblPrEx>
        <w:trPr>
          <w:trHeight w:val="4536" w:hRule="atLeast"/>
        </w:trPr>
        <w:tc>
          <w:tcPr>
            <w:tcW w:w="207" w:type="pct"/>
            <w:tcBorders>
              <w:top w:val="nil"/>
              <w:left w:val="single" w:color="auto" w:sz="4" w:space="0"/>
              <w:bottom w:val="single" w:color="auto" w:sz="4" w:space="0"/>
              <w:right w:val="single" w:color="auto" w:sz="4" w:space="0"/>
            </w:tcBorders>
            <w:noWrap/>
            <w:vAlign w:val="center"/>
          </w:tcPr>
          <w:p w14:paraId="791762D5">
            <w:pPr>
              <w:widowControl/>
              <w:jc w:val="center"/>
              <w:rPr>
                <w:rFonts w:hint="eastAsia"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w:t>
            </w:r>
          </w:p>
        </w:tc>
        <w:tc>
          <w:tcPr>
            <w:tcW w:w="401" w:type="pct"/>
            <w:tcBorders>
              <w:top w:val="nil"/>
              <w:left w:val="nil"/>
              <w:bottom w:val="single" w:color="auto" w:sz="4" w:space="0"/>
              <w:right w:val="single" w:color="auto" w:sz="4" w:space="0"/>
            </w:tcBorders>
            <w:noWrap/>
            <w:vAlign w:val="center"/>
          </w:tcPr>
          <w:p w14:paraId="179449BF">
            <w:pPr>
              <w:widowControl/>
              <w:jc w:val="center"/>
              <w:rPr>
                <w:rFonts w:hint="default"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在线虚拟诊疗系统服务</w:t>
            </w:r>
          </w:p>
        </w:tc>
        <w:tc>
          <w:tcPr>
            <w:tcW w:w="3521" w:type="pct"/>
            <w:tcBorders>
              <w:top w:val="nil"/>
              <w:left w:val="nil"/>
              <w:bottom w:val="single" w:color="auto" w:sz="4" w:space="0"/>
              <w:right w:val="single" w:color="auto" w:sz="4" w:space="0"/>
            </w:tcBorders>
            <w:noWrap w:val="0"/>
            <w:vAlign w:val="center"/>
          </w:tcPr>
          <w:p w14:paraId="2FB5D38C">
            <w:pPr>
              <w:bidi w:val="0"/>
              <w:spacing w:line="240" w:lineRule="auto"/>
              <w:jc w:val="left"/>
              <w:rPr>
                <w:rFonts w:hint="eastAsia" w:ascii="宋体" w:hAnsi="宋体" w:eastAsia="宋体" w:cs="宋体"/>
                <w:b/>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1、系统要求</w:t>
            </w:r>
          </w:p>
          <w:p w14:paraId="14A337FB">
            <w:pPr>
              <w:bidi w:val="0"/>
              <w:spacing w:line="240" w:lineRule="auto"/>
              <w:jc w:val="left"/>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1.1、</w:t>
            </w:r>
            <w:r>
              <w:rPr>
                <w:rFonts w:hint="eastAsia" w:ascii="宋体" w:hAnsi="宋体" w:eastAsia="宋体" w:cs="宋体"/>
                <w:color w:val="000000" w:themeColor="text1"/>
                <w:kern w:val="2"/>
                <w:sz w:val="22"/>
                <w:szCs w:val="22"/>
                <w:lang w:val="en-US" w:eastAsia="zh-CN" w:bidi="ar-SA"/>
                <w14:textFill>
                  <w14:solidFill>
                    <w14:schemeClr w14:val="tx1"/>
                  </w14:solidFill>
                </w14:textFill>
              </w:rPr>
              <w:t>拥有PC网页管理端、移动APP端（包括IOS及安卓）及微信小程序端。</w:t>
            </w:r>
          </w:p>
          <w:p w14:paraId="7F0CE79A">
            <w:pPr>
              <w:numPr>
                <w:ilvl w:val="0"/>
                <w:numId w:val="0"/>
              </w:numPr>
              <w:bidi w:val="0"/>
              <w:spacing w:line="240" w:lineRule="auto"/>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1.2、平台厂家提供云端服务器。</w:t>
            </w:r>
          </w:p>
          <w:p w14:paraId="7A4E7FF4">
            <w:pPr>
              <w:numPr>
                <w:ilvl w:val="0"/>
                <w:numId w:val="0"/>
              </w:numPr>
              <w:bidi w:val="0"/>
              <w:spacing w:line="240" w:lineRule="auto"/>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1.3、</w:t>
            </w:r>
            <w:r>
              <w:rPr>
                <w:rFonts w:hint="eastAsia" w:ascii="宋体" w:hAnsi="宋体" w:eastAsia="宋体" w:cs="宋体"/>
                <w:color w:val="000000" w:themeColor="text1"/>
                <w:sz w:val="22"/>
                <w:szCs w:val="22"/>
                <w14:textFill>
                  <w14:solidFill>
                    <w14:schemeClr w14:val="tx1"/>
                  </w14:solidFill>
                </w14:textFill>
              </w:rPr>
              <w:t>开放充足学生和教师使用账号，任何时间和地点均可通过网络访问。</w:t>
            </w:r>
          </w:p>
          <w:p w14:paraId="5FB23CE2">
            <w:pPr>
              <w:bidi w:val="0"/>
              <w:spacing w:line="240" w:lineRule="auto"/>
              <w:jc w:val="left"/>
              <w:rPr>
                <w:rFonts w:hint="eastAsia" w:ascii="宋体" w:hAnsi="宋体" w:eastAsia="宋体" w:cs="宋体"/>
                <w:b/>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2、资源库管理</w:t>
            </w:r>
          </w:p>
          <w:p w14:paraId="7FBBAFA5">
            <w:pPr>
              <w:bidi w:val="0"/>
              <w:spacing w:line="240" w:lineRule="auto"/>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2.1、</w:t>
            </w:r>
            <w:r>
              <w:rPr>
                <w:rFonts w:hint="eastAsia" w:ascii="宋体" w:hAnsi="宋体" w:eastAsia="宋体" w:cs="宋体"/>
                <w:b w:val="0"/>
                <w:bCs w:val="0"/>
                <w:color w:val="000000" w:themeColor="text1"/>
                <w:sz w:val="22"/>
                <w:szCs w:val="22"/>
                <w14:textFill>
                  <w14:solidFill>
                    <w14:schemeClr w14:val="tx1"/>
                  </w14:solidFill>
                </w14:textFill>
              </w:rPr>
              <w:t>案例资源管理</w:t>
            </w:r>
          </w:p>
          <w:p w14:paraId="4BC61F35">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Lantinghei SC" w:hAnsi="Lantinghei SC" w:eastAsia="Lantinghei SC" w:cs="Lantinghei SC"/>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2.1.1本次采购350份病例，包含单路径多病程基础版病例200份，多路径多病程进阶版病例20份 ，执业医师临床思维测评案例（</w:t>
            </w:r>
            <w:r>
              <w:rPr>
                <w:rFonts w:hint="default" w:ascii="宋体" w:hAnsi="宋体" w:eastAsia="宋体" w:cs="宋体"/>
                <w:color w:val="000000" w:themeColor="text1"/>
                <w:kern w:val="2"/>
                <w:sz w:val="22"/>
                <w:szCs w:val="28"/>
                <w:lang w:val="en-US" w:eastAsia="zh-CN" w:bidi="ar-SA"/>
                <w14:textFill>
                  <w14:solidFill>
                    <w14:schemeClr w14:val="tx1"/>
                  </w14:solidFill>
                </w14:textFill>
              </w:rPr>
              <w:t>CTA</w:t>
            </w:r>
            <w:r>
              <w:rPr>
                <w:rFonts w:hint="eastAsia" w:ascii="宋体" w:hAnsi="宋体" w:eastAsia="宋体" w:cs="宋体"/>
                <w:color w:val="000000" w:themeColor="text1"/>
                <w:kern w:val="2"/>
                <w:sz w:val="22"/>
                <w:szCs w:val="28"/>
                <w:lang w:val="en-US" w:eastAsia="zh-CN" w:bidi="ar-SA"/>
                <w14:textFill>
                  <w14:solidFill>
                    <w14:schemeClr w14:val="tx1"/>
                  </w14:solidFill>
                </w14:textFill>
              </w:rPr>
              <w:t>）130份，可用于临床思维训练和考核，病例具备病例解析。</w:t>
            </w:r>
          </w:p>
          <w:p w14:paraId="41FAF7EC">
            <w:pPr>
              <w:bidi w:val="0"/>
              <w:spacing w:line="240" w:lineRule="auto"/>
              <w:jc w:val="left"/>
              <w:rPr>
                <w:rFonts w:hint="eastAsia" w:ascii="宋体" w:hAnsi="宋体" w:eastAsia="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2"/>
                <w:sz w:val="22"/>
                <w:szCs w:val="28"/>
                <w:lang w:val="en-US" w:eastAsia="zh-CN" w:bidi="ar-SA"/>
                <w14:textFill>
                  <w14:solidFill>
                    <w14:schemeClr w14:val="tx1"/>
                  </w14:solidFill>
                </w14:textFill>
              </w:rPr>
              <w:t>2.2.</w:t>
            </w:r>
            <w:r>
              <w:rPr>
                <w:rFonts w:hint="eastAsia" w:ascii="宋体" w:hAnsi="宋体" w:eastAsia="宋体"/>
                <w:b w:val="0"/>
                <w:bCs w:val="0"/>
                <w:color w:val="000000" w:themeColor="text1"/>
                <w:sz w:val="22"/>
                <w:szCs w:val="22"/>
                <w14:textFill>
                  <w14:solidFill>
                    <w14:schemeClr w14:val="tx1"/>
                  </w14:solidFill>
                </w14:textFill>
              </w:rPr>
              <w:t>单路径多病程</w:t>
            </w:r>
            <w:r>
              <w:rPr>
                <w:rFonts w:hint="eastAsia" w:ascii="宋体" w:hAnsi="宋体" w:eastAsia="宋体"/>
                <w:b w:val="0"/>
                <w:bCs w:val="0"/>
                <w:color w:val="000000" w:themeColor="text1"/>
                <w:sz w:val="22"/>
                <w:szCs w:val="22"/>
                <w:lang w:val="en-US" w:eastAsia="zh-CN"/>
                <w14:textFill>
                  <w14:solidFill>
                    <w14:schemeClr w14:val="tx1"/>
                  </w14:solidFill>
                </w14:textFill>
              </w:rPr>
              <w:t>基础版</w:t>
            </w:r>
            <w:r>
              <w:rPr>
                <w:rFonts w:hint="eastAsia" w:ascii="宋体" w:hAnsi="宋体" w:eastAsia="宋体"/>
                <w:b w:val="0"/>
                <w:bCs w:val="0"/>
                <w:color w:val="000000" w:themeColor="text1"/>
                <w:sz w:val="22"/>
                <w:szCs w:val="22"/>
                <w14:textFill>
                  <w14:solidFill>
                    <w14:schemeClr w14:val="tx1"/>
                  </w14:solidFill>
                </w14:textFill>
              </w:rPr>
              <w:t>案例资源管理</w:t>
            </w:r>
          </w:p>
          <w:p w14:paraId="35EF97A6">
            <w:pPr>
              <w:bidi w:val="0"/>
              <w:spacing w:line="240" w:lineRule="auto"/>
              <w:jc w:val="both"/>
              <w:rPr>
                <w:rFonts w:hint="default"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2.2.1</w:t>
            </w:r>
            <w:r>
              <w:rPr>
                <w:rFonts w:hint="eastAsia" w:ascii="Lantinghei SC" w:hAnsi="Lantinghei SC" w:eastAsia="Lantinghei SC" w:cs="Lantinghei SC"/>
                <w:color w:val="000000" w:themeColor="text1"/>
                <w:kern w:val="2"/>
                <w:sz w:val="22"/>
                <w:szCs w:val="22"/>
                <w:lang w:val="en-US" w:eastAsia="zh-CN" w:bidi="ar-SA"/>
                <w14:textFill>
                  <w14:solidFill>
                    <w14:schemeClr w14:val="tx1"/>
                  </w14:solidFill>
                </w14:textFill>
              </w:rPr>
              <w:t>▲</w:t>
            </w:r>
            <w:r>
              <w:rPr>
                <w:rFonts w:hint="default" w:ascii="宋体" w:hAnsi="宋体" w:eastAsia="宋体" w:cs="宋体"/>
                <w:color w:val="000000" w:themeColor="text1"/>
                <w:kern w:val="2"/>
                <w:sz w:val="22"/>
                <w:szCs w:val="22"/>
                <w:lang w:val="en-US" w:eastAsia="zh-CN" w:bidi="ar-SA"/>
                <w14:textFill>
                  <w14:solidFill>
                    <w14:schemeClr w14:val="tx1"/>
                  </w14:solidFill>
                </w14:textFill>
              </w:rPr>
              <w:t>提供不少于800份案例清单</w:t>
            </w:r>
            <w:r>
              <w:rPr>
                <w:rFonts w:hint="eastAsia" w:ascii="宋体" w:hAnsi="宋体" w:eastAsia="宋体" w:cs="宋体"/>
                <w:color w:val="000000" w:themeColor="text1"/>
                <w:kern w:val="2"/>
                <w:sz w:val="22"/>
                <w:szCs w:val="22"/>
                <w:lang w:val="en-US" w:eastAsia="zh-CN" w:bidi="ar-SA"/>
                <w14:textFill>
                  <w14:solidFill>
                    <w14:schemeClr w14:val="tx1"/>
                  </w14:solidFill>
                </w14:textFill>
              </w:rPr>
              <w:t>库</w:t>
            </w:r>
            <w:r>
              <w:rPr>
                <w:rFonts w:hint="default" w:ascii="宋体" w:hAnsi="宋体" w:eastAsia="宋体" w:cs="宋体"/>
                <w:color w:val="000000" w:themeColor="text1"/>
                <w:kern w:val="2"/>
                <w:sz w:val="22"/>
                <w:szCs w:val="22"/>
                <w:lang w:val="en-US" w:eastAsia="zh-CN" w:bidi="ar-SA"/>
                <w14:textFill>
                  <w14:solidFill>
                    <w14:schemeClr w14:val="tx1"/>
                  </w14:solidFill>
                </w14:textFill>
              </w:rPr>
              <w:t>供购买选择，案例</w:t>
            </w:r>
            <w:r>
              <w:rPr>
                <w:rFonts w:hint="eastAsia" w:ascii="宋体" w:hAnsi="宋体" w:eastAsia="宋体" w:cs="宋体"/>
                <w:color w:val="000000" w:themeColor="text1"/>
                <w:kern w:val="2"/>
                <w:sz w:val="22"/>
                <w:szCs w:val="22"/>
                <w:lang w:val="en-US" w:eastAsia="zh-CN" w:bidi="ar-SA"/>
                <w14:textFill>
                  <w14:solidFill>
                    <w14:schemeClr w14:val="tx1"/>
                  </w14:solidFill>
                </w14:textFill>
              </w:rPr>
              <w:t>库</w:t>
            </w:r>
            <w:r>
              <w:rPr>
                <w:rFonts w:hint="default" w:ascii="宋体" w:hAnsi="宋体" w:eastAsia="宋体" w:cs="宋体"/>
                <w:color w:val="000000" w:themeColor="text1"/>
                <w:kern w:val="2"/>
                <w:sz w:val="22"/>
                <w:szCs w:val="22"/>
                <w:lang w:val="en-US" w:eastAsia="zh-CN" w:bidi="ar-SA"/>
                <w14:textFill>
                  <w14:solidFill>
                    <w14:schemeClr w14:val="tx1"/>
                  </w14:solidFill>
                </w14:textFill>
              </w:rPr>
              <w:t>涵盖26个专科300多个病种，专科覆盖儿科、儿外科、耳鼻喉科、风湿免疫科、妇产科、感染科、骨科、呼吸内科、急诊科、精神科、康复科、口腔科、泌尿外科、内分泌科、皮肤科、普外科、全科医学科、神经内科、神经外科、肾内科、消化内科、心血管内科、胸心外科、血液内科、眼科、重症医学科等，同一病种可提供多个不同并发症/病情的案例。涵盖11个案例训练模式，可用于教学、考核、竞赛等。案例支持实战演练模式、套路训练模式；分段模式：病情采集专项、诊疗计划专项、临床决策专项、问诊专项、查体专项、辅检专项、诊断专项、治疗专项）；分步递呈模式等多种类型。案例逻辑设置合理，案例素材不涉及病人隐私，不存在法律纠纷。</w:t>
            </w:r>
          </w:p>
          <w:p w14:paraId="495D8242">
            <w:pPr>
              <w:bidi w:val="0"/>
              <w:spacing w:line="240" w:lineRule="auto"/>
              <w:jc w:val="left"/>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2.2.2支持案例库管理，设置案例是否开放，不开放的案例在用户端不展示。支持根据用户类型（老师和学生）配置案例用途，区分不同用户类型在自学或研讨场景的可用案例展示。</w:t>
            </w:r>
          </w:p>
          <w:p w14:paraId="57D69188">
            <w:pPr>
              <w:bidi w:val="0"/>
              <w:spacing w:line="240" w:lineRule="auto"/>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2.3多路径多病程进阶版案例资源管理</w:t>
            </w:r>
          </w:p>
          <w:p w14:paraId="2D272E9F">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2.3.1</w:t>
            </w:r>
            <w:r>
              <w:rPr>
                <w:rFonts w:hint="eastAsia" w:ascii="Lantinghei SC" w:hAnsi="Lantinghei SC" w:eastAsia="Lantinghei SC" w:cs="Lantinghei SC"/>
                <w:color w:val="000000" w:themeColor="text1"/>
                <w:kern w:val="2"/>
                <w:sz w:val="22"/>
                <w:szCs w:val="28"/>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持提供不少于200份实训案例清单库供购买选择，每份案例包含案例内容、案例素材、案例解析三部分，案例逻辑设置合理，符合临床诊疗规范。案例素材不涉及病人隐私，不存在法律纠纷，可供机构挑选用于学员自主学习、教师安排作业、考核和课堂教学等多种使用场景。</w:t>
            </w:r>
          </w:p>
          <w:p w14:paraId="185CF283">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2.3.2</w:t>
            </w:r>
            <w:r>
              <w:rPr>
                <w:rFonts w:hint="eastAsia" w:ascii="Lantinghei SC" w:hAnsi="Lantinghei SC" w:eastAsia="Lantinghei SC" w:cs="Lantinghei SC"/>
                <w:color w:val="000000" w:themeColor="text1"/>
                <w:kern w:val="2"/>
                <w:sz w:val="22"/>
                <w:szCs w:val="28"/>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案例含具体的场景：门诊、急诊、病房、基层，支持多病程多路径案例，至少包含两个病情变化阶段（两个病程以上），每个案例至少包含两条路径（最优路径和自然路径），模拟复杂的病情演变，训练/考核学生做出正确诊断的能力，及对具体疾病的治疗处置能力。</w:t>
            </w:r>
          </w:p>
          <w:p w14:paraId="67B149CC">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2.4案例编辑管理</w:t>
            </w:r>
          </w:p>
          <w:p w14:paraId="70558F59">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2.4.1系统提供案例编写功能，教师通过账号直接登录进行案例编辑，支持添加单路径多病程、多路径多病程不同版本的案例。满足不同训练阶段、不同层次学员的教学目标使用需要。</w:t>
            </w:r>
          </w:p>
          <w:p w14:paraId="0D34CD93">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3执业医师临床思维测评案例（</w:t>
            </w:r>
            <w:r>
              <w:rPr>
                <w:rFonts w:hint="default" w:ascii="宋体" w:hAnsi="宋体" w:eastAsia="宋体" w:cs="宋体"/>
                <w:color w:val="000000" w:themeColor="text1"/>
                <w:kern w:val="2"/>
                <w:sz w:val="22"/>
                <w:szCs w:val="28"/>
                <w:lang w:val="en-US" w:eastAsia="zh-CN" w:bidi="ar-SA"/>
                <w14:textFill>
                  <w14:solidFill>
                    <w14:schemeClr w14:val="tx1"/>
                  </w14:solidFill>
                </w14:textFill>
              </w:rPr>
              <w:t>CTA</w:t>
            </w:r>
            <w:r>
              <w:rPr>
                <w:rFonts w:hint="eastAsia" w:ascii="宋体" w:hAnsi="宋体" w:eastAsia="宋体" w:cs="宋体"/>
                <w:color w:val="000000" w:themeColor="text1"/>
                <w:kern w:val="2"/>
                <w:sz w:val="22"/>
                <w:szCs w:val="28"/>
                <w:lang w:val="en-US" w:eastAsia="zh-CN" w:bidi="ar-SA"/>
                <w14:textFill>
                  <w14:solidFill>
                    <w14:schemeClr w14:val="tx1"/>
                  </w14:solidFill>
                </w14:textFill>
              </w:rPr>
              <w:t>）资源管理</w:t>
            </w:r>
          </w:p>
          <w:p w14:paraId="72A39E36">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3.1</w:t>
            </w:r>
            <w:r>
              <w:rPr>
                <w:rFonts w:hint="eastAsia" w:ascii="宋体" w:hAnsi="宋体" w:eastAsia="宋体"/>
                <w:color w:val="000000" w:themeColor="text1"/>
                <w:sz w:val="24"/>
                <w14:textFill>
                  <w14:solidFill>
                    <w14:schemeClr w14:val="tx1"/>
                  </w14:solidFill>
                </w14:textFill>
              </w:rPr>
              <w:t>包含4个考站：资料收集站、资料分析站、诊疗决策站、病程决策站。支持用选择任一考站进行练习，练习后反馈练习结果，系统记录练习次数。</w:t>
            </w:r>
          </w:p>
          <w:p w14:paraId="5C8D9EE9">
            <w:pPr>
              <w:bidi w:val="0"/>
              <w:spacing w:line="240" w:lineRule="auto"/>
              <w:jc w:val="left"/>
              <w:rPr>
                <w:rFonts w:hint="eastAsia" w:ascii="宋体" w:hAnsi="宋体" w:eastAsia="宋体"/>
                <w:b/>
                <w:bCs/>
                <w:color w:val="000000" w:themeColor="text1"/>
                <w:sz w:val="22"/>
                <w:szCs w:val="22"/>
                <w14:textFill>
                  <w14:solidFill>
                    <w14:schemeClr w14:val="tx1"/>
                  </w14:solidFill>
                </w14:textFill>
              </w:rPr>
            </w:pPr>
            <w:bookmarkStart w:id="48" w:name="_Toc149918887"/>
            <w:r>
              <w:rPr>
                <w:rFonts w:hint="eastAsia" w:ascii="宋体" w:hAnsi="宋体" w:eastAsia="宋体"/>
                <w:b/>
                <w:bCs/>
                <w:color w:val="000000" w:themeColor="text1"/>
                <w:sz w:val="22"/>
                <w:szCs w:val="22"/>
                <w:lang w:val="en-US" w:eastAsia="zh-CN"/>
                <w14:textFill>
                  <w14:solidFill>
                    <w14:schemeClr w14:val="tx1"/>
                  </w14:solidFill>
                </w14:textFill>
              </w:rPr>
              <w:t>3、</w:t>
            </w:r>
            <w:r>
              <w:rPr>
                <w:rFonts w:hint="eastAsia" w:ascii="宋体" w:hAnsi="宋体" w:eastAsia="宋体"/>
                <w:b/>
                <w:bCs/>
                <w:color w:val="000000" w:themeColor="text1"/>
                <w:sz w:val="22"/>
                <w:szCs w:val="22"/>
                <w14:textFill>
                  <w14:solidFill>
                    <w14:schemeClr w14:val="tx1"/>
                  </w14:solidFill>
                </w14:textFill>
              </w:rPr>
              <w:t>在线学习系统</w:t>
            </w:r>
            <w:bookmarkEnd w:id="48"/>
          </w:p>
          <w:p w14:paraId="1D5CDDB5">
            <w:pPr>
              <w:bidi w:val="0"/>
              <w:spacing w:line="240" w:lineRule="auto"/>
              <w:jc w:val="left"/>
              <w:rPr>
                <w:rFonts w:hint="eastAsia" w:asciiTheme="minorHAnsi" w:hAnsiTheme="minorHAnsi" w:eastAsiaTheme="minorEastAsia" w:cstheme="minorBidi"/>
                <w:b w:val="0"/>
                <w:bCs w:val="0"/>
                <w:color w:val="000000" w:themeColor="text1"/>
                <w:kern w:val="2"/>
                <w:sz w:val="22"/>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8"/>
                <w:lang w:val="en-US" w:eastAsia="zh-CN" w:bidi="ar-SA"/>
                <w14:textFill>
                  <w14:solidFill>
                    <w14:schemeClr w14:val="tx1"/>
                  </w14:solidFill>
                </w14:textFill>
              </w:rPr>
              <w:t>3.1</w:t>
            </w:r>
            <w:r>
              <w:rPr>
                <w:rFonts w:hint="eastAsia" w:asciiTheme="minorHAnsi" w:hAnsiTheme="minorHAnsi" w:eastAsiaTheme="minorEastAsia" w:cstheme="minorBidi"/>
                <w:b w:val="0"/>
                <w:bCs w:val="0"/>
                <w:color w:val="000000" w:themeColor="text1"/>
                <w:kern w:val="2"/>
                <w:sz w:val="22"/>
                <w:szCs w:val="28"/>
                <w:lang w:val="en-US" w:eastAsia="zh-CN" w:bidi="ar-SA"/>
                <w14:textFill>
                  <w14:solidFill>
                    <w14:schemeClr w14:val="tx1"/>
                  </w14:solidFill>
                </w14:textFill>
              </w:rPr>
              <w:t>人员登录和绑定</w:t>
            </w:r>
          </w:p>
          <w:p w14:paraId="6DD1B9F3">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3.1.1 支持绑定学员所在机构，当机构录入对应的老师和学员后，通过APP跳转进入小程序进行绑定人员机构。</w:t>
            </w:r>
          </w:p>
          <w:p w14:paraId="0AB3556C">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3.1.2 支持根据机构下不同的人员类型（老师和学员），显示不同权限范围的案例内容。</w:t>
            </w:r>
          </w:p>
          <w:p w14:paraId="1CB5BAB9">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3.2单路径多病程基础版案例在线学习</w:t>
            </w:r>
          </w:p>
          <w:p w14:paraId="0C5233DD">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3.2.1支持自学模式，学员选择对应案例模式下的案例进行学习。</w:t>
            </w:r>
          </w:p>
          <w:p w14:paraId="1D2C5DFD">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3.2.2</w:t>
            </w:r>
            <w:r>
              <w:rPr>
                <w:rFonts w:hint="eastAsia" w:ascii="Lantinghei SC" w:hAnsi="Lantinghei SC" w:eastAsia="Lantinghei SC" w:cs="Lantinghei SC"/>
                <w:color w:val="000000" w:themeColor="text1"/>
                <w:kern w:val="2"/>
                <w:sz w:val="22"/>
                <w:szCs w:val="28"/>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案例支持11种类型模式：实战演练模式、套路训练模式、分布递呈模式、病情采集专项、诊疗计划专项、临床决策专项、问诊专项、查体专项、辅检专项、诊断专项、治疗专项。满足不同阶段的训练要求。多角度全方位的评判学员的临床思维能力。</w:t>
            </w:r>
          </w:p>
          <w:p w14:paraId="5AC294CE">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3.3多路径多病程进阶版案例在线学习</w:t>
            </w:r>
          </w:p>
          <w:p w14:paraId="26886918">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 在线学习</w:t>
            </w:r>
          </w:p>
          <w:p w14:paraId="207F2EB5">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3.3.1.1工作站展示模拟患者病情发展时间、天气，及操作倒计时。支持心电图动态展示。</w:t>
            </w:r>
          </w:p>
          <w:p w14:paraId="2BD6912C">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3.3.1.2 支持快速问诊。问诊为信息整合式操作，学员可以通过重点问诊了解患者病情、收集病史信息。</w:t>
            </w:r>
          </w:p>
          <w:p w14:paraId="0DC935ED">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3.3.1.3支持重点查体。查体部分包含病人所有可查体部分的信息分类，可根据病人情况，选择重点查体部分信息，在相对有限地时间里进行有针对性的思考，培训临床思维能力。查体结果支持图片、文字、音频、视频等反馈性质。</w:t>
            </w:r>
          </w:p>
          <w:p w14:paraId="54DD5113">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3.3.1.4</w:t>
            </w:r>
            <w:r>
              <w:rPr>
                <w:rFonts w:hint="eastAsia" w:ascii="Lantinghei SC" w:hAnsi="Lantinghei SC" w:eastAsia="Lantinghei SC" w:cs="Lantinghei SC"/>
                <w:color w:val="000000" w:themeColor="text1"/>
                <w:kern w:val="2"/>
                <w:sz w:val="22"/>
                <w:szCs w:val="28"/>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支持全开放医嘱，医嘱包含实验室检查、影像学检查等检查类医嘱，以及临床诊疗、药物治疗、手术、转诊、健康宣教等临床处置医嘱。学员需要根据病人情况选择合适的辅助检查或处置。医嘱价格展示、检查结果延时回报、取消医嘱执行等，保持与临床真实场景一致，强化训练实的战价值。</w:t>
            </w:r>
          </w:p>
          <w:p w14:paraId="1F23BD18">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3.3.1.5辅检结果支持图片、文字、音视频展示，检查单结果支持表格形式展示。</w:t>
            </w:r>
          </w:p>
          <w:p w14:paraId="10E74092">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3.3.1.6支持全开放诊断添加，添加诊断时，只能通过搜索添加，降低诊断提示性，同时与实际临床场景保持一致。添加诊断支持添加首要诊断和其他诊断，不限制添加时间，支持随时添加和修改。</w:t>
            </w:r>
          </w:p>
          <w:p w14:paraId="55D0B926">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3.3.1.7支持疾病全流程演变，学员对虚拟患者给予治疗后可以看到患者的病情演变。推进时间，病情的演变根据学员对病人的治疗方案不同而走向不同的情况，同时学员需要根据病情演变情况继续对病人进行治疗，直到最后治疗结束。</w:t>
            </w:r>
          </w:p>
          <w:p w14:paraId="64C38DB0">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3.3.1.8通过诊疗操作触发事件，进行客观题考核，支持单项题、多选题、判断题。</w:t>
            </w:r>
          </w:p>
          <w:p w14:paraId="042F3692">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3.3.2 成绩分析</w:t>
            </w:r>
          </w:p>
          <w:p w14:paraId="7EC496E7">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 xml:space="preserve">3.3.2.1 </w:t>
            </w:r>
            <w:r>
              <w:rPr>
                <w:rFonts w:hint="eastAsia" w:ascii="Lantinghei SC" w:hAnsi="Lantinghei SC" w:eastAsia="Lantinghei SC" w:cs="Lantinghei SC"/>
                <w:color w:val="000000" w:themeColor="text1"/>
                <w:kern w:val="2"/>
                <w:sz w:val="22"/>
                <w:szCs w:val="28"/>
                <w:lang w:val="en-US" w:eastAsia="zh-CN" w:bidi="ar-SA"/>
                <w14:textFill>
                  <w14:solidFill>
                    <w14:schemeClr w14:val="tx1"/>
                  </w14:solidFill>
                </w14:textFill>
              </w:rPr>
              <w:t>▲</w:t>
            </w:r>
            <w:r>
              <w:rPr>
                <w:rFonts w:hint="eastAsia" w:ascii="宋体" w:hAnsi="宋体" w:eastAsia="宋体" w:cs="宋体"/>
                <w:color w:val="000000" w:themeColor="text1"/>
                <w:kern w:val="2"/>
                <w:sz w:val="22"/>
                <w:szCs w:val="28"/>
                <w:lang w:val="en-US" w:eastAsia="zh-CN" w:bidi="ar-SA"/>
                <w14:textFill>
                  <w14:solidFill>
                    <w14:schemeClr w14:val="tx1"/>
                  </w14:solidFill>
                </w14:textFill>
              </w:rPr>
              <w:t>支持临床诊疗能力分析，学员学习结束后，可以查看自己在此次诊疗过程中的表现。包含诊疗得分，展示各维度（安全：控制不良事件；有效：规范诊疗能力、准确诊断能力、病史采集能力、治疗决策能力；经济：诊疗控费意识）得分明细。诊疗二级维度能力分析以雷达图形式展示（控制不良事件、规范诊疗能力、准确诊断能力、病史采集能力、治疗决策能力、诊疗控费意识）。同时展示以患者为中心触发事件的答题情况统计和分析。</w:t>
            </w:r>
          </w:p>
          <w:p w14:paraId="45044DF8">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3.4执业医师临床思维测评案例在线学习</w:t>
            </w:r>
          </w:p>
          <w:p w14:paraId="75A4EC66">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3.4.1</w:t>
            </w:r>
            <w:r>
              <w:rPr>
                <w:rFonts w:hint="default" w:ascii="宋体" w:hAnsi="宋体" w:eastAsia="宋体" w:cs="宋体"/>
                <w:color w:val="000000" w:themeColor="text1"/>
                <w:kern w:val="2"/>
                <w:sz w:val="22"/>
                <w:szCs w:val="28"/>
                <w:lang w:val="en-US" w:eastAsia="zh-CN" w:bidi="ar-SA"/>
                <w14:textFill>
                  <w14:solidFill>
                    <w14:schemeClr w14:val="tx1"/>
                  </w14:solidFill>
                </w14:textFill>
              </w:rPr>
              <w:t xml:space="preserve"> 考站模式</w:t>
            </w:r>
          </w:p>
          <w:p w14:paraId="3471A40C">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3.4.1.1</w:t>
            </w:r>
            <w:r>
              <w:rPr>
                <w:rFonts w:hint="default" w:ascii="宋体" w:hAnsi="宋体" w:eastAsia="宋体" w:cs="宋体"/>
                <w:color w:val="000000" w:themeColor="text1"/>
                <w:kern w:val="2"/>
                <w:sz w:val="22"/>
                <w:szCs w:val="28"/>
                <w:lang w:val="en-US" w:eastAsia="zh-CN" w:bidi="ar-SA"/>
                <w14:textFill>
                  <w14:solidFill>
                    <w14:schemeClr w14:val="tx1"/>
                  </w14:solidFill>
                </w14:textFill>
              </w:rPr>
              <w:t>资料收集站练习流程：根据临床场景和患者就诊症状，完成病史采集并做出初步印象诊断 (含可能的诊断和鉴别诊断)，针对性完成相关体格检查，并做出进一步诊断与鉴别诊断。</w:t>
            </w:r>
          </w:p>
          <w:p w14:paraId="2CFAF731">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3.4.1.2</w:t>
            </w:r>
            <w:r>
              <w:rPr>
                <w:rFonts w:hint="default" w:ascii="宋体" w:hAnsi="宋体" w:eastAsia="宋体" w:cs="宋体"/>
                <w:color w:val="000000" w:themeColor="text1"/>
                <w:kern w:val="2"/>
                <w:sz w:val="22"/>
                <w:szCs w:val="28"/>
                <w:lang w:val="en-US" w:eastAsia="zh-CN" w:bidi="ar-SA"/>
                <w14:textFill>
                  <w14:solidFill>
                    <w14:schemeClr w14:val="tx1"/>
                  </w14:solidFill>
                </w14:textFill>
              </w:rPr>
              <w:t>资料分析站练习流程：根据患者信息和病历资料做出初步印象诊断(含可能的诊断和鉴别诊断)，之后完成明确诊断所必需的辅助检查，根据检查结果做出诊断与鉴别诊断，并选择诊断和鉴别诊断的相应依据。</w:t>
            </w:r>
          </w:p>
          <w:p w14:paraId="49053F32">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3.4.1.3</w:t>
            </w:r>
            <w:r>
              <w:rPr>
                <w:rFonts w:hint="default" w:ascii="宋体" w:hAnsi="宋体" w:eastAsia="宋体" w:cs="宋体"/>
                <w:color w:val="000000" w:themeColor="text1"/>
                <w:kern w:val="2"/>
                <w:sz w:val="22"/>
                <w:szCs w:val="28"/>
                <w:lang w:val="en-US" w:eastAsia="zh-CN" w:bidi="ar-SA"/>
                <w14:textFill>
                  <w14:solidFill>
                    <w14:schemeClr w14:val="tx1"/>
                  </w14:solidFill>
                </w14:textFill>
              </w:rPr>
              <w:t>诊疗决策站练习流程：根据患者信息和病历资料做出诊断与鉴别诊断，完成明确诊断和指导治疗所必须的辅助检查，并做出最后诊断、提出治疗方案。</w:t>
            </w:r>
          </w:p>
          <w:p w14:paraId="62954F79">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3.4.1.4</w:t>
            </w:r>
            <w:r>
              <w:rPr>
                <w:rFonts w:hint="default" w:ascii="宋体" w:hAnsi="宋体" w:eastAsia="宋体" w:cs="宋体"/>
                <w:color w:val="000000" w:themeColor="text1"/>
                <w:kern w:val="2"/>
                <w:sz w:val="22"/>
                <w:szCs w:val="28"/>
                <w:lang w:val="en-US" w:eastAsia="zh-CN" w:bidi="ar-SA"/>
                <w14:textFill>
                  <w14:solidFill>
                    <w14:schemeClr w14:val="tx1"/>
                  </w14:solidFill>
                </w14:textFill>
              </w:rPr>
              <w:t>病程决策站练习流程：根据患者信息和病历资料补充必要体格检查项目。治疗后病情会发生变化，请根据新的病情进行必要的体格检查和辅助检查，根据检查结果做出进一步治疗，直至本站结束。</w:t>
            </w:r>
          </w:p>
          <w:p w14:paraId="7AF4F13F">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w:t>
            </w:r>
            <w:r>
              <w:rPr>
                <w:rFonts w:hint="default" w:ascii="宋体" w:hAnsi="宋体" w:eastAsia="宋体" w:cs="宋体"/>
                <w:color w:val="000000" w:themeColor="text1"/>
                <w:kern w:val="2"/>
                <w:sz w:val="22"/>
                <w:szCs w:val="28"/>
                <w:lang w:val="en-US" w:eastAsia="zh-CN" w:bidi="ar-SA"/>
                <w14:textFill>
                  <w14:solidFill>
                    <w14:schemeClr w14:val="tx1"/>
                  </w14:solidFill>
                </w14:textFill>
              </w:rPr>
              <w:t xml:space="preserve"> 诊疗步骤</w:t>
            </w:r>
          </w:p>
          <w:p w14:paraId="3ED77AE9">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3.4.2.1</w:t>
            </w:r>
            <w:r>
              <w:rPr>
                <w:rFonts w:hint="default" w:ascii="宋体" w:hAnsi="宋体" w:eastAsia="宋体" w:cs="宋体"/>
                <w:color w:val="000000" w:themeColor="text1"/>
                <w:kern w:val="2"/>
                <w:sz w:val="22"/>
                <w:szCs w:val="28"/>
                <w:lang w:val="en-US" w:eastAsia="zh-CN" w:bidi="ar-SA"/>
                <w14:textFill>
                  <w14:solidFill>
                    <w14:schemeClr w14:val="tx1"/>
                  </w14:solidFill>
                </w14:textFill>
              </w:rPr>
              <w:t>问诊支持根据关键词筛选问诊问题，支持添加系统外的其他问诊。</w:t>
            </w:r>
          </w:p>
          <w:p w14:paraId="6CE4D393">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3.4.2.2</w:t>
            </w:r>
            <w:r>
              <w:rPr>
                <w:rFonts w:hint="default" w:ascii="宋体" w:hAnsi="宋体" w:eastAsia="宋体" w:cs="宋体"/>
                <w:color w:val="000000" w:themeColor="text1"/>
                <w:kern w:val="2"/>
                <w:sz w:val="22"/>
                <w:szCs w:val="28"/>
                <w:lang w:val="en-US" w:eastAsia="zh-CN" w:bidi="ar-SA"/>
                <w14:textFill>
                  <w14:solidFill>
                    <w14:schemeClr w14:val="tx1"/>
                  </w14:solidFill>
                </w14:textFill>
              </w:rPr>
              <w:t>查体部分包含病人所有可查体部分的信息分类，可根据病人情况选择重点查体部分信息，支持添加系统外的其他查体项。</w:t>
            </w:r>
          </w:p>
          <w:p w14:paraId="4E6EECED">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3.4.2.3</w:t>
            </w:r>
            <w:r>
              <w:rPr>
                <w:rFonts w:hint="default" w:ascii="宋体" w:hAnsi="宋体" w:eastAsia="宋体" w:cs="宋体"/>
                <w:color w:val="000000" w:themeColor="text1"/>
                <w:kern w:val="2"/>
                <w:sz w:val="22"/>
                <w:szCs w:val="28"/>
                <w:lang w:val="en-US" w:eastAsia="zh-CN" w:bidi="ar-SA"/>
                <w14:textFill>
                  <w14:solidFill>
                    <w14:schemeClr w14:val="tx1"/>
                  </w14:solidFill>
                </w14:textFill>
              </w:rPr>
              <w:t>诊断支持按照层级筛选或搜索添加，支持添加系统外的其他诊断。</w:t>
            </w:r>
          </w:p>
          <w:p w14:paraId="42F716A5">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3.4.2.4</w:t>
            </w:r>
            <w:r>
              <w:rPr>
                <w:rFonts w:hint="default" w:ascii="宋体" w:hAnsi="宋体" w:eastAsia="宋体" w:cs="宋体"/>
                <w:color w:val="000000" w:themeColor="text1"/>
                <w:kern w:val="2"/>
                <w:sz w:val="22"/>
                <w:szCs w:val="28"/>
                <w:lang w:val="en-US" w:eastAsia="zh-CN" w:bidi="ar-SA"/>
                <w14:textFill>
                  <w14:solidFill>
                    <w14:schemeClr w14:val="tx1"/>
                  </w14:solidFill>
                </w14:textFill>
              </w:rPr>
              <w:t>辅检、治疗支持按照层级筛选或搜索添加，支持添加系统外的其他辅检和治疗项。</w:t>
            </w:r>
          </w:p>
          <w:p w14:paraId="06782665">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3.4.2.5</w:t>
            </w:r>
            <w:r>
              <w:rPr>
                <w:rFonts w:hint="default" w:ascii="宋体" w:hAnsi="宋体" w:eastAsia="宋体" w:cs="宋体"/>
                <w:color w:val="000000" w:themeColor="text1"/>
                <w:kern w:val="2"/>
                <w:sz w:val="22"/>
                <w:szCs w:val="28"/>
                <w:lang w:val="en-US" w:eastAsia="zh-CN" w:bidi="ar-SA"/>
                <w14:textFill>
                  <w14:solidFill>
                    <w14:schemeClr w14:val="tx1"/>
                  </w14:solidFill>
                </w14:textFill>
              </w:rPr>
              <w:t>各考站诊疗结果分析支持得分查看、各项得分明细、各类型操作结果、操作对比分析。</w:t>
            </w:r>
          </w:p>
          <w:p w14:paraId="7FD6D2DD">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3.5在线研讨</w:t>
            </w:r>
          </w:p>
          <w:p w14:paraId="4A45364C">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3.451支持多种角色发起研讨，老师和学生都能发起研讨，在权限设置上支持根据用户类型定义可发起研讨的案例。研讨可因用于考试、教学、竞赛、日常讨论等多种场景中。</w:t>
            </w:r>
          </w:p>
          <w:p w14:paraId="4EFDDEA9">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3.5.2支持参与研讨人员不限制人员类型和身份，当发起研讨后，支持分享给任何人参加，增加了开展研讨的便利性。</w:t>
            </w:r>
          </w:p>
          <w:p w14:paraId="75DFB1FB">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3.5.3研讨设置</w:t>
            </w:r>
          </w:p>
          <w:p w14:paraId="5A0D0AD0">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3.5.3.1案例设置可支持多模式及问诊、查体、辅检、诊断、治疗专项，满足不同的考察情况</w:t>
            </w:r>
          </w:p>
          <w:p w14:paraId="1070303C">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3.5.3.2支持设置是否考察诊断依据，考察诊断依据，学员在选择诊断或鉴别诊断后，需要添加支持或排除依据</w:t>
            </w:r>
          </w:p>
          <w:p w14:paraId="7B4A8586">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3.5.3.3支持是否考察鉴别诊断，考察鉴别诊断，学员在添加诊断后需标记鉴别诊断</w:t>
            </w:r>
          </w:p>
          <w:p w14:paraId="022AABA2">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3.5.3.4支持显示阅片文字，设置不显示，则实验室/影像检查结果只显示影像图片，不显示文字报告结果</w:t>
            </w:r>
          </w:p>
          <w:p w14:paraId="04FC1F37">
            <w:pPr>
              <w:bidi w:val="0"/>
              <w:spacing w:line="240" w:lineRule="auto"/>
              <w:jc w:val="left"/>
              <w:rPr>
                <w:rFonts w:hint="eastAsia" w:ascii="宋体" w:hAnsi="宋体" w:eastAsia="宋体" w:cs="宋体"/>
                <w:color w:val="000000" w:themeColor="text1"/>
                <w:kern w:val="2"/>
                <w:sz w:val="22"/>
                <w:szCs w:val="28"/>
                <w:lang w:val="en-US" w:eastAsia="zh-CN" w:bidi="ar-SA"/>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3.5.4 支持设置是否允许学员在研讨结束后查看案例诊疗结果中，有效维度下进行学员病情发展、诊断及各操作项的答案对比分析</w:t>
            </w:r>
          </w:p>
          <w:p w14:paraId="2F52EE5C">
            <w:pPr>
              <w:bidi w:val="0"/>
              <w:spacing w:line="240" w:lineRule="auto"/>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2"/>
                <w:szCs w:val="28"/>
                <w:lang w:val="en-US" w:eastAsia="zh-CN" w:bidi="ar-SA"/>
                <w14:textFill>
                  <w14:solidFill>
                    <w14:schemeClr w14:val="tx1"/>
                  </w14:solidFill>
                </w14:textFill>
              </w:rPr>
              <w:t>3.5.5▲支持实时观察研讨过程中每一个学员（参与者）的操作，了解学员的实时诊断、问诊、查体、辅检、治疗等操作的明细，以及查看学员的诊疗结果。</w:t>
            </w:r>
          </w:p>
          <w:p w14:paraId="04B63993">
            <w:pPr>
              <w:spacing w:line="240" w:lineRule="auto"/>
              <w:rPr>
                <w:rFonts w:hint="eastAsia" w:ascii="仿宋" w:hAnsi="仿宋" w:eastAsia="仿宋" w:cs="仿宋"/>
                <w:color w:val="000000" w:themeColor="text1"/>
                <w:kern w:val="0"/>
                <w:sz w:val="22"/>
                <w14:textFill>
                  <w14:solidFill>
                    <w14:schemeClr w14:val="tx1"/>
                  </w14:solidFill>
                </w14:textFill>
              </w:rPr>
            </w:pPr>
          </w:p>
        </w:tc>
        <w:tc>
          <w:tcPr>
            <w:tcW w:w="369" w:type="pct"/>
            <w:tcBorders>
              <w:top w:val="nil"/>
              <w:left w:val="nil"/>
              <w:bottom w:val="single" w:color="auto" w:sz="4" w:space="0"/>
              <w:right w:val="single" w:color="auto" w:sz="4" w:space="0"/>
            </w:tcBorders>
            <w:noWrap/>
            <w:vAlign w:val="center"/>
          </w:tcPr>
          <w:p w14:paraId="0A89C069">
            <w:pPr>
              <w:widowControl/>
              <w:jc w:val="center"/>
              <w:rPr>
                <w:rFonts w:hint="eastAsia"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年</w:t>
            </w:r>
          </w:p>
        </w:tc>
        <w:tc>
          <w:tcPr>
            <w:tcW w:w="291" w:type="pct"/>
            <w:tcBorders>
              <w:top w:val="nil"/>
              <w:left w:val="nil"/>
              <w:bottom w:val="single" w:color="auto" w:sz="4" w:space="0"/>
              <w:right w:val="single" w:color="auto" w:sz="4" w:space="0"/>
            </w:tcBorders>
            <w:noWrap/>
            <w:vAlign w:val="center"/>
          </w:tcPr>
          <w:p w14:paraId="0873FDEC">
            <w:pPr>
              <w:widowControl/>
              <w:jc w:val="center"/>
              <w:rPr>
                <w:rFonts w:hint="eastAsia" w:ascii="仿宋" w:hAnsi="仿宋" w:eastAsia="仿宋"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kern w:val="0"/>
                <w:sz w:val="22"/>
                <w:lang w:val="en-US" w:eastAsia="zh-CN"/>
                <w14:textFill>
                  <w14:solidFill>
                    <w14:schemeClr w14:val="tx1"/>
                  </w14:solidFill>
                </w14:textFill>
              </w:rPr>
              <w:t>1</w:t>
            </w:r>
          </w:p>
        </w:tc>
        <w:tc>
          <w:tcPr>
            <w:tcW w:w="208" w:type="pct"/>
            <w:tcBorders>
              <w:top w:val="nil"/>
              <w:left w:val="nil"/>
              <w:bottom w:val="single" w:color="auto" w:sz="4" w:space="0"/>
              <w:right w:val="single" w:color="auto" w:sz="4" w:space="0"/>
            </w:tcBorders>
            <w:noWrap/>
            <w:vAlign w:val="center"/>
          </w:tcPr>
          <w:p w14:paraId="697FEBB8">
            <w:pPr>
              <w:widowControl/>
              <w:jc w:val="center"/>
              <w:rPr>
                <w:rFonts w:hint="eastAsia"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　</w:t>
            </w:r>
          </w:p>
        </w:tc>
      </w:tr>
      <w:tr w14:paraId="39047770">
        <w:tblPrEx>
          <w:tblCellMar>
            <w:top w:w="0" w:type="dxa"/>
            <w:left w:w="108" w:type="dxa"/>
            <w:bottom w:w="0" w:type="dxa"/>
            <w:right w:w="108" w:type="dxa"/>
          </w:tblCellMar>
        </w:tblPrEx>
        <w:trPr>
          <w:trHeight w:val="718"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1F795E3">
            <w:pPr>
              <w:pStyle w:val="56"/>
              <w:spacing w:line="240" w:lineRule="exact"/>
              <w:ind w:firstLine="440" w:firstLineChars="200"/>
              <w:jc w:val="both"/>
              <w:rPr>
                <w:rFonts w:hint="eastAsia" w:ascii="仿宋" w:hAnsi="仿宋" w:eastAsia="仿宋" w:cs="仿宋"/>
                <w:color w:val="000000" w:themeColor="text1"/>
                <w:sz w:val="22"/>
                <w:szCs w:val="22"/>
                <w14:textFill>
                  <w14:solidFill>
                    <w14:schemeClr w14:val="tx1"/>
                  </w14:solidFill>
                </w14:textFill>
              </w:rPr>
            </w:pPr>
          </w:p>
          <w:p w14:paraId="4FA6C090">
            <w:pPr>
              <w:pStyle w:val="56"/>
              <w:spacing w:line="240" w:lineRule="exact"/>
              <w:ind w:firstLine="440" w:firstLineChars="200"/>
              <w:jc w:val="both"/>
              <w:rPr>
                <w:rFonts w:hint="default" w:ascii="仿宋" w:hAnsi="仿宋" w:eastAsia="宋体" w:cs="仿宋"/>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以上参数中标记“★”项为</w:t>
            </w:r>
            <w:r>
              <w:rPr>
                <w:rFonts w:hint="eastAsia" w:ascii="仿宋" w:hAnsi="仿宋" w:eastAsia="仿宋" w:cs="仿宋"/>
                <w:b w:val="0"/>
                <w:bCs w:val="0"/>
                <w:i w:val="0"/>
                <w:iCs w:val="0"/>
                <w:color w:val="000000" w:themeColor="text1"/>
                <w:sz w:val="22"/>
                <w:szCs w:val="22"/>
                <w14:textFill>
                  <w14:solidFill>
                    <w14:schemeClr w14:val="tx1"/>
                  </w14:solidFill>
                </w14:textFill>
              </w:rPr>
              <w:t>实质性需求项</w:t>
            </w:r>
            <w:r>
              <w:rPr>
                <w:rFonts w:hint="eastAsia" w:ascii="仿宋" w:hAnsi="仿宋" w:eastAsia="仿宋" w:cs="仿宋"/>
                <w:color w:val="000000" w:themeColor="text1"/>
                <w:sz w:val="22"/>
                <w:szCs w:val="22"/>
                <w14:textFill>
                  <w14:solidFill>
                    <w14:schemeClr w14:val="tx1"/>
                  </w14:solidFill>
                </w14:textFill>
              </w:rPr>
              <w:t>不可负偏离，有一项不满足即按无效投标处理</w:t>
            </w:r>
            <w:r>
              <w:rPr>
                <w:rFonts w:hint="eastAsia" w:hAnsi="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所有标“★”项技术参数和实现功能需提供第三方检测报告或相关截图证明材料。标记“</w:t>
            </w:r>
            <w:r>
              <w:rPr>
                <w:rFonts w:hint="eastAsia" w:ascii="仿宋" w:hAnsi="仿宋" w:eastAsia="仿宋" w:cs="仿宋"/>
                <w:b w:val="0"/>
                <w:bCs w:val="0"/>
                <w:i w:val="0"/>
                <w:iCs w:val="0"/>
                <w:color w:val="000000" w:themeColor="text1"/>
                <w:sz w:val="22"/>
                <w:szCs w:val="22"/>
                <w:lang w:val="en-US"/>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”项</w:t>
            </w:r>
            <w:r>
              <w:rPr>
                <w:rFonts w:hint="eastAsia" w:hAnsi="仿宋" w:cs="仿宋"/>
                <w:color w:val="000000" w:themeColor="text1"/>
                <w:sz w:val="22"/>
                <w:szCs w:val="22"/>
                <w:lang w:val="en-US" w:eastAsia="zh-CN"/>
                <w14:textFill>
                  <w14:solidFill>
                    <w14:schemeClr w14:val="tx1"/>
                  </w14:solidFill>
                </w14:textFill>
              </w:rPr>
              <w:t>为</w:t>
            </w:r>
            <w:r>
              <w:rPr>
                <w:rFonts w:hint="eastAsia" w:ascii="仿宋" w:hAnsi="仿宋" w:eastAsia="仿宋" w:cs="仿宋"/>
                <w:b w:val="0"/>
                <w:bCs w:val="0"/>
                <w:i w:val="0"/>
                <w:iCs w:val="0"/>
                <w:color w:val="000000" w:themeColor="text1"/>
                <w:sz w:val="22"/>
                <w:szCs w:val="22"/>
                <w14:textFill>
                  <w14:solidFill>
                    <w14:schemeClr w14:val="tx1"/>
                  </w14:solidFill>
                </w14:textFill>
              </w:rPr>
              <w:t>重要参数指标</w:t>
            </w:r>
            <w:r>
              <w:rPr>
                <w:rFonts w:hint="eastAsia" w:hAnsi="仿宋" w:cs="仿宋"/>
                <w:b w:val="0"/>
                <w:bCs w:val="0"/>
                <w:i w:val="0"/>
                <w:iCs w:val="0"/>
                <w:color w:val="000000" w:themeColor="text1"/>
                <w:sz w:val="22"/>
                <w:szCs w:val="22"/>
                <w:lang w:val="en-US" w:eastAsia="zh-CN"/>
                <w14:textFill>
                  <w14:solidFill>
                    <w14:schemeClr w14:val="tx1"/>
                  </w14:solidFill>
                </w14:textFill>
              </w:rPr>
              <w:t>项</w:t>
            </w:r>
            <w:r>
              <w:rPr>
                <w:rFonts w:hint="eastAsia" w:ascii="仿宋" w:hAnsi="仿宋" w:eastAsia="仿宋" w:cs="仿宋"/>
                <w:b w:val="0"/>
                <w:bCs w:val="0"/>
                <w:i w:val="0"/>
                <w:iCs w:val="0"/>
                <w:color w:val="000000" w:themeColor="text1"/>
                <w:sz w:val="22"/>
                <w:szCs w:val="22"/>
                <w:lang w:eastAsia="zh-CN"/>
                <w14:textFill>
                  <w14:solidFill>
                    <w14:schemeClr w14:val="tx1"/>
                  </w14:solidFill>
                </w14:textFill>
              </w:rPr>
              <w:t>，</w:t>
            </w:r>
            <w:r>
              <w:rPr>
                <w:rFonts w:hint="eastAsia" w:ascii="仿宋" w:hAnsi="仿宋" w:eastAsia="仿宋" w:cs="仿宋"/>
                <w:b w:val="0"/>
                <w:bCs w:val="0"/>
                <w:i w:val="0"/>
                <w:iCs w:val="0"/>
                <w:color w:val="000000" w:themeColor="text1"/>
                <w:sz w:val="22"/>
                <w:szCs w:val="22"/>
                <w:lang w:val="en-US" w:eastAsia="zh-CN"/>
                <w14:textFill>
                  <w14:solidFill>
                    <w14:schemeClr w14:val="tx1"/>
                  </w14:solidFill>
                </w14:textFill>
              </w:rPr>
              <w:t>不满足一项扣2分，扣完为止。</w:t>
            </w:r>
          </w:p>
        </w:tc>
      </w:tr>
    </w:tbl>
    <w:p w14:paraId="007AB2B0">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bCs/>
          <w:color w:val="000000" w:themeColor="text1"/>
          <w:sz w:val="24"/>
          <w:szCs w:val="24"/>
          <w:lang w:val="zh-CN"/>
          <w14:textFill>
            <w14:solidFill>
              <w14:schemeClr w14:val="tx1"/>
            </w14:solidFill>
          </w14:textFill>
        </w:rPr>
      </w:pPr>
      <w:bookmarkStart w:id="49" w:name="_Toc13108"/>
      <w:bookmarkStart w:id="50" w:name="_Toc9546"/>
      <w:bookmarkStart w:id="51" w:name="_Toc8837"/>
      <w:r>
        <w:rPr>
          <w:rFonts w:hint="eastAsia" w:ascii="宋体" w:hAnsi="宋体" w:eastAsia="宋体" w:cs="宋体"/>
          <w:b/>
          <w:bCs/>
          <w:color w:val="000000" w:themeColor="text1"/>
          <w:sz w:val="24"/>
          <w:szCs w:val="24"/>
          <w:lang w:val="zh-CN"/>
          <w14:textFill>
            <w14:solidFill>
              <w14:schemeClr w14:val="tx1"/>
            </w14:solidFill>
          </w14:textFill>
        </w:rPr>
        <w:t>三、服务要求</w:t>
      </w:r>
      <w:bookmarkEnd w:id="49"/>
      <w:bookmarkEnd w:id="50"/>
    </w:p>
    <w:p w14:paraId="39E81EF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（1）技术培训：为采购方进行人员培训，提供每年不少于</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次的设备操作培训，培训人员</w:t>
      </w:r>
      <w:r>
        <w:rPr>
          <w:rFonts w:hint="eastAsia" w:ascii="宋体" w:hAnsi="宋体" w:eastAsia="宋体" w:cs="宋体"/>
          <w:color w:val="000000" w:themeColor="text1"/>
          <w:sz w:val="24"/>
          <w:szCs w:val="24"/>
          <w14:textFill>
            <w14:solidFill>
              <w14:schemeClr w14:val="tx1"/>
            </w14:solidFill>
          </w14:textFill>
        </w:rPr>
        <w:t>数量</w:t>
      </w:r>
      <w:r>
        <w:rPr>
          <w:rFonts w:hint="eastAsia" w:ascii="宋体" w:hAnsi="宋体" w:eastAsia="宋体" w:cs="宋体"/>
          <w:color w:val="000000" w:themeColor="text1"/>
          <w:sz w:val="24"/>
          <w:szCs w:val="24"/>
          <w:lang w:val="zh-CN"/>
          <w14:textFill>
            <w14:solidFill>
              <w14:schemeClr w14:val="tx1"/>
            </w14:solidFill>
          </w14:textFill>
        </w:rPr>
        <w:t>不低于</w:t>
      </w:r>
      <w:r>
        <w:rPr>
          <w:rFonts w:hint="eastAsia" w:ascii="宋体" w:hAnsi="宋体" w:eastAsia="宋体" w:cs="宋体"/>
          <w:color w:val="000000" w:themeColor="text1"/>
          <w:sz w:val="24"/>
          <w:szCs w:val="24"/>
          <w:lang w:val="zh-CN"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人。</w:t>
      </w:r>
    </w:p>
    <w:p w14:paraId="7C5992A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免费质保</w:t>
      </w:r>
      <w:r>
        <w:rPr>
          <w:rFonts w:hint="eastAsia" w:ascii="宋体" w:hAnsi="宋体" w:eastAsia="宋体" w:cs="宋体"/>
          <w:color w:val="000000" w:themeColor="text1"/>
          <w:sz w:val="24"/>
          <w:szCs w:val="24"/>
          <w:lang w:val="zh-CN"/>
          <w14:textFill>
            <w14:solidFill>
              <w14:schemeClr w14:val="tx1"/>
            </w14:solidFill>
          </w14:textFill>
        </w:rPr>
        <w:t xml:space="preserve">期：质保期 </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年，自验收合格</w:t>
      </w:r>
      <w:r>
        <w:rPr>
          <w:rFonts w:hint="eastAsia" w:ascii="宋体" w:hAnsi="宋体" w:eastAsia="宋体" w:cs="宋体"/>
          <w:color w:val="000000" w:themeColor="text1"/>
          <w:sz w:val="24"/>
          <w:szCs w:val="24"/>
          <w14:textFill>
            <w14:solidFill>
              <w14:schemeClr w14:val="tx1"/>
            </w14:solidFill>
          </w14:textFill>
        </w:rPr>
        <w:t>次日</w:t>
      </w:r>
      <w:r>
        <w:rPr>
          <w:rFonts w:hint="eastAsia" w:ascii="宋体" w:hAnsi="宋体" w:eastAsia="宋体" w:cs="宋体"/>
          <w:color w:val="000000" w:themeColor="text1"/>
          <w:sz w:val="24"/>
          <w:szCs w:val="24"/>
          <w:lang w:val="zh-CN"/>
          <w14:textFill>
            <w14:solidFill>
              <w14:schemeClr w14:val="tx1"/>
            </w14:solidFill>
          </w14:textFill>
        </w:rPr>
        <w:t>起</w:t>
      </w:r>
      <w:r>
        <w:rPr>
          <w:rFonts w:hint="eastAsia" w:ascii="宋体" w:hAnsi="宋体" w:eastAsia="宋体" w:cs="宋体"/>
          <w:color w:val="000000" w:themeColor="text1"/>
          <w:sz w:val="24"/>
          <w:szCs w:val="24"/>
          <w14:textFill>
            <w14:solidFill>
              <w14:schemeClr w14:val="tx1"/>
            </w14:solidFill>
          </w14:textFill>
        </w:rPr>
        <w:t>算</w:t>
      </w:r>
      <w:r>
        <w:rPr>
          <w:rFonts w:hint="eastAsia" w:ascii="宋体" w:hAnsi="宋体" w:eastAsia="宋体" w:cs="宋体"/>
          <w:color w:val="000000" w:themeColor="text1"/>
          <w:sz w:val="24"/>
          <w:szCs w:val="24"/>
          <w:lang w:val="zh-CN"/>
          <w14:textFill>
            <w14:solidFill>
              <w14:schemeClr w14:val="tx1"/>
            </w14:solidFill>
          </w14:textFill>
        </w:rPr>
        <w:t>。</w:t>
      </w:r>
    </w:p>
    <w:p w14:paraId="2FB17F5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（3）售后技术服务要求：接到故障通知后</w:t>
      </w:r>
      <w:r>
        <w:rPr>
          <w:rFonts w:hint="eastAsia" w:ascii="宋体" w:hAnsi="宋体" w:eastAsia="宋体" w:cs="宋体"/>
          <w:color w:val="000000" w:themeColor="text1"/>
          <w:sz w:val="24"/>
          <w:szCs w:val="24"/>
          <w:lang w:val="zh-CN"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小时内作出答复，一般问题</w:t>
      </w:r>
      <w:r>
        <w:rPr>
          <w:rFonts w:hint="eastAsia" w:ascii="宋体" w:hAnsi="宋体" w:eastAsia="宋体" w:cs="宋体"/>
          <w:color w:val="000000" w:themeColor="text1"/>
          <w:sz w:val="24"/>
          <w:szCs w:val="24"/>
          <w:lang w:val="zh-CN"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 xml:space="preserve">  小时之内解决；若采购方有需求，</w:t>
      </w:r>
      <w:r>
        <w:rPr>
          <w:rFonts w:hint="eastAsia" w:ascii="宋体" w:hAnsi="宋体" w:eastAsia="宋体" w:cs="宋体"/>
          <w:color w:val="000000" w:themeColor="text1"/>
          <w:sz w:val="24"/>
          <w:szCs w:val="24"/>
          <w:lang w:val="zh-CN" w:eastAsia="zh-CN"/>
          <w14:textFill>
            <w14:solidFill>
              <w14:schemeClr w14:val="tx1"/>
            </w14:solidFill>
          </w14:textFill>
        </w:rPr>
        <w:t>24</w:t>
      </w:r>
      <w:r>
        <w:rPr>
          <w:rFonts w:hint="eastAsia" w:ascii="宋体" w:hAnsi="宋体" w:eastAsia="宋体" w:cs="宋体"/>
          <w:color w:val="000000" w:themeColor="text1"/>
          <w:sz w:val="24"/>
          <w:szCs w:val="24"/>
          <w:lang w:val="zh-CN"/>
          <w14:textFill>
            <w14:solidFill>
              <w14:schemeClr w14:val="tx1"/>
            </w14:solidFill>
          </w14:textFill>
        </w:rPr>
        <w:t xml:space="preserve">小时内到达现场解决；若遇重大问题在   </w:t>
      </w:r>
      <w:r>
        <w:rPr>
          <w:rFonts w:hint="eastAsia" w:ascii="宋体" w:hAnsi="宋体" w:eastAsia="宋体" w:cs="宋体"/>
          <w:color w:val="000000" w:themeColor="text1"/>
          <w:sz w:val="24"/>
          <w:szCs w:val="24"/>
          <w:lang w:val="zh-CN"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天内解决。</w:t>
      </w:r>
    </w:p>
    <w:p w14:paraId="31BA2B0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四、安装要求</w:t>
      </w:r>
      <w:bookmarkEnd w:id="51"/>
    </w:p>
    <w:p w14:paraId="565482E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按照国家现行行业规范标准进行安装，符合国家或行业质量检验评定标准，没有行业标准的产品，投标人应提供相关制造商标准。</w:t>
      </w:r>
    </w:p>
    <w:p w14:paraId="477B97A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设备安装调试：设备到货后，卖方在接到通知的7个工作日内派人前往负责该设备的安装、调试和操作培训，直至达到各项验收指标合格。</w:t>
      </w:r>
    </w:p>
    <w:p w14:paraId="6510951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bookmarkStart w:id="52" w:name="_Toc11610"/>
      <w:r>
        <w:rPr>
          <w:rFonts w:hint="eastAsia" w:ascii="宋体" w:hAnsi="宋体" w:eastAsia="宋体" w:cs="宋体"/>
          <w:b/>
          <w:bCs/>
          <w:color w:val="000000" w:themeColor="text1"/>
          <w:sz w:val="24"/>
          <w:szCs w:val="24"/>
          <w:lang w:val="zh-CN"/>
          <w14:textFill>
            <w14:solidFill>
              <w14:schemeClr w14:val="tx1"/>
            </w14:solidFill>
          </w14:textFill>
        </w:rPr>
        <w:t>五、交货期、交货方式及交货地点</w:t>
      </w:r>
      <w:bookmarkEnd w:id="52"/>
    </w:p>
    <w:p w14:paraId="3A8B667C">
      <w:pPr>
        <w:autoSpaceDE/>
        <w:autoSpaceDN/>
        <w:spacing w:before="120" w:beforeLines="50" w:after="120" w:afterLines="50"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 交货期：</w:t>
      </w:r>
      <w:r>
        <w:rPr>
          <w:rFonts w:hint="eastAsia" w:ascii="宋体" w:hAnsi="宋体" w:eastAsia="宋体" w:cs="宋体"/>
          <w:color w:val="000000" w:themeColor="text1"/>
          <w:sz w:val="24"/>
          <w:szCs w:val="24"/>
          <w14:textFill>
            <w14:solidFill>
              <w14:schemeClr w14:val="tx1"/>
            </w14:solidFill>
          </w14:textFill>
        </w:rPr>
        <w:t>合同签订之日起</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个工作日内完成安装及调试</w:t>
      </w:r>
      <w:r>
        <w:rPr>
          <w:rFonts w:hint="eastAsia" w:ascii="宋体" w:hAnsi="宋体" w:eastAsia="宋体" w:cs="宋体"/>
          <w:color w:val="000000" w:themeColor="text1"/>
          <w:sz w:val="24"/>
          <w:szCs w:val="24"/>
          <w:lang w:eastAsia="zh-CN"/>
          <w14:textFill>
            <w14:solidFill>
              <w14:schemeClr w14:val="tx1"/>
            </w14:solidFill>
          </w14:textFill>
        </w:rPr>
        <w:t>。</w:t>
      </w:r>
    </w:p>
    <w:p w14:paraId="5CE8A98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 交货方式：中标人在买方指定地点交货，并完成安装、调试。</w:t>
      </w:r>
    </w:p>
    <w:p w14:paraId="7ABE565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 交货地点：南京医科大学</w:t>
      </w:r>
      <w:r>
        <w:rPr>
          <w:rFonts w:hint="eastAsia" w:ascii="宋体" w:hAnsi="宋体" w:eastAsia="宋体" w:cs="宋体"/>
          <w:color w:val="000000" w:themeColor="text1"/>
          <w:sz w:val="24"/>
          <w:szCs w:val="24"/>
          <w14:textFill>
            <w14:solidFill>
              <w14:schemeClr w14:val="tx1"/>
            </w14:solidFill>
          </w14:textFill>
        </w:rPr>
        <w:t>指定地点</w:t>
      </w:r>
      <w:r>
        <w:rPr>
          <w:rFonts w:hint="eastAsia" w:ascii="宋体" w:hAnsi="宋体" w:eastAsia="宋体" w:cs="宋体"/>
          <w:color w:val="000000" w:themeColor="text1"/>
          <w:sz w:val="24"/>
          <w:szCs w:val="24"/>
          <w:lang w:val="zh-CN"/>
          <w14:textFill>
            <w14:solidFill>
              <w14:schemeClr w14:val="tx1"/>
            </w14:solidFill>
          </w14:textFill>
        </w:rPr>
        <w:t>。</w:t>
      </w:r>
    </w:p>
    <w:p w14:paraId="7588EEC5">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53" w:name="_Toc18026"/>
      <w:r>
        <w:rPr>
          <w:rFonts w:hint="eastAsia" w:ascii="宋体" w:hAnsi="宋体" w:eastAsia="宋体" w:cs="宋体"/>
          <w:b/>
          <w:bCs/>
          <w:color w:val="000000" w:themeColor="text1"/>
          <w:sz w:val="24"/>
          <w:szCs w:val="24"/>
          <w:lang w:val="zh-CN"/>
          <w14:textFill>
            <w14:solidFill>
              <w14:schemeClr w14:val="tx1"/>
            </w14:solidFill>
          </w14:textFill>
        </w:rPr>
        <w:t>六、其他技术服务需求</w:t>
      </w:r>
      <w:bookmarkEnd w:id="53"/>
    </w:p>
    <w:p w14:paraId="28FF03B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1、投标人须保证本次投标产品系优质材料和先进工艺制成新出厂的产品，且完全与投标文件所述相符。</w:t>
      </w:r>
    </w:p>
    <w:p w14:paraId="50EAEA0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2、交付使用前发生的产品硬件损坏和不合格，一律退换新品。在质保期开始的前三个月内，若发生产品损坏和性能不合格（非使用不当原因造成），除采购人同意修理之外，亦应退换新品。</w:t>
      </w:r>
    </w:p>
    <w:p w14:paraId="7817F131">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54" w:name="_Toc16384"/>
      <w:r>
        <w:rPr>
          <w:rFonts w:hint="eastAsia" w:ascii="宋体" w:hAnsi="宋体" w:eastAsia="宋体" w:cs="宋体"/>
          <w:b/>
          <w:bCs/>
          <w:color w:val="000000" w:themeColor="text1"/>
          <w:sz w:val="24"/>
          <w:szCs w:val="24"/>
          <w:lang w:val="zh-CN"/>
          <w14:textFill>
            <w14:solidFill>
              <w14:schemeClr w14:val="tx1"/>
            </w14:solidFill>
          </w14:textFill>
        </w:rPr>
        <w:t>七、货款支付</w:t>
      </w:r>
      <w:bookmarkEnd w:id="54"/>
    </w:p>
    <w:p w14:paraId="0C520B22">
      <w:pPr>
        <w:pStyle w:val="14"/>
        <w:numPr>
          <w:ilvl w:val="0"/>
          <w:numId w:val="0"/>
        </w:numPr>
        <w:snapToGrid w:val="0"/>
        <w:spacing w:before="120" w:after="120" w:line="400" w:lineRule="exact"/>
        <w:ind w:firstLine="480" w:firstLineChars="200"/>
        <w:jc w:val="left"/>
        <w:rPr>
          <w:rFonts w:hint="eastAsia" w:hAnsi="宋体" w:eastAsia="宋体" w:cs="宋体"/>
          <w:color w:val="000000" w:themeColor="text1"/>
          <w:sz w:val="24"/>
          <w:szCs w:val="24"/>
          <w14:textFill>
            <w14:solidFill>
              <w14:schemeClr w14:val="tx1"/>
            </w14:solidFill>
          </w14:textFill>
        </w:rPr>
      </w:pPr>
      <w:bookmarkStart w:id="55" w:name="_Toc401414769"/>
      <w:r>
        <w:rPr>
          <w:rFonts w:hint="eastAsia" w:hAnsi="宋体" w:eastAsia="宋体" w:cs="宋体"/>
          <w:color w:val="000000" w:themeColor="text1"/>
          <w:sz w:val="24"/>
          <w:szCs w:val="24"/>
          <w14:textFill>
            <w14:solidFill>
              <w14:schemeClr w14:val="tx1"/>
            </w14:solidFill>
          </w14:textFill>
        </w:rPr>
        <w:t>服务交付且安装、调试后，并通过验收后合格一</w:t>
      </w:r>
      <w:r>
        <w:rPr>
          <w:rFonts w:hint="eastAsia" w:hAnsi="宋体" w:eastAsia="宋体" w:cs="宋体"/>
          <w:color w:val="000000" w:themeColor="text1"/>
          <w:sz w:val="24"/>
          <w:szCs w:val="24"/>
          <w:lang w:val="en-US" w:eastAsia="zh-CN"/>
          <w14:textFill>
            <w14:solidFill>
              <w14:schemeClr w14:val="tx1"/>
            </w14:solidFill>
          </w14:textFill>
        </w:rPr>
        <w:t>个月</w:t>
      </w:r>
      <w:r>
        <w:rPr>
          <w:rFonts w:hint="eastAsia" w:hAnsi="宋体" w:eastAsia="宋体" w:cs="宋体"/>
          <w:color w:val="000000" w:themeColor="text1"/>
          <w:sz w:val="24"/>
          <w:szCs w:val="24"/>
          <w14:textFill>
            <w14:solidFill>
              <w14:schemeClr w14:val="tx1"/>
            </w14:solidFill>
          </w14:textFill>
        </w:rPr>
        <w:t>内甲方支付合同总金额的100%，付款之前需收到乙方开具的合法有效的相应全额发票。</w:t>
      </w:r>
    </w:p>
    <w:p w14:paraId="5843663B">
      <w:pPr>
        <w:pStyle w:val="2"/>
        <w:rPr>
          <w:rFonts w:hint="eastAsia" w:asciiTheme="majorEastAsia" w:hAnsiTheme="majorEastAsia" w:eastAsiaTheme="majorEastAsia"/>
          <w:b/>
          <w:color w:val="000000" w:themeColor="text1"/>
          <w:szCs w:val="32"/>
          <w:lang w:eastAsia="zh-CN"/>
          <w14:textFill>
            <w14:solidFill>
              <w14:schemeClr w14:val="tx1"/>
            </w14:solidFill>
          </w14:textFill>
        </w:rPr>
      </w:pPr>
    </w:p>
    <w:p w14:paraId="59CA2F4A">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56" w:name="_Toc23581"/>
      <w:bookmarkStart w:id="57" w:name="_Toc1838"/>
      <w:bookmarkStart w:id="58" w:name="_Toc6447"/>
      <w:r>
        <w:rPr>
          <w:rFonts w:hint="eastAsia" w:asciiTheme="majorEastAsia" w:hAnsiTheme="majorEastAsia" w:eastAsiaTheme="majorEastAsia"/>
          <w:b/>
          <w:color w:val="000000" w:themeColor="text1"/>
          <w:sz w:val="32"/>
          <w:szCs w:val="32"/>
          <w14:textFill>
            <w14:solidFill>
              <w14:schemeClr w14:val="tx1"/>
            </w14:solidFill>
          </w14:textFill>
        </w:rPr>
        <w:t>第四章  评标方法与评标标准</w:t>
      </w:r>
      <w:bookmarkEnd w:id="56"/>
      <w:bookmarkEnd w:id="57"/>
      <w:bookmarkEnd w:id="58"/>
    </w:p>
    <w:p w14:paraId="3E75B706">
      <w:pPr>
        <w:rPr>
          <w:color w:val="000000" w:themeColor="text1"/>
          <w14:textFill>
            <w14:solidFill>
              <w14:schemeClr w14:val="tx1"/>
            </w14:solidFill>
          </w14:textFill>
        </w:rPr>
      </w:pPr>
    </w:p>
    <w:p w14:paraId="00EF461E">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一、评标方法</w:t>
      </w:r>
    </w:p>
    <w:p w14:paraId="50DD45B5">
      <w:pPr>
        <w:pStyle w:val="33"/>
        <w:ind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本项目采用综合评分法，评分统计方法采用百分制（满分</w:t>
      </w:r>
      <w:r>
        <w:rPr>
          <w:rFonts w:cs="Arial"/>
          <w:color w:val="000000" w:themeColor="text1"/>
          <w14:textFill>
            <w14:solidFill>
              <w14:schemeClr w14:val="tx1"/>
            </w14:solidFill>
          </w14:textFill>
        </w:rPr>
        <w:t>100</w:t>
      </w:r>
      <w:r>
        <w:rPr>
          <w:rFonts w:hint="eastAsia" w:cs="Arial"/>
          <w:color w:val="000000" w:themeColor="text1"/>
          <w14:textFill>
            <w14:solidFill>
              <w14:schemeClr w14:val="tx1"/>
            </w14:solidFill>
          </w14:textFill>
        </w:rPr>
        <w:t>分），将全部评委评分直接进行算术平均，小数点后保留</w:t>
      </w:r>
      <w:r>
        <w:rPr>
          <w:rFonts w:cs="Arial"/>
          <w:color w:val="000000" w:themeColor="text1"/>
          <w14:textFill>
            <w14:solidFill>
              <w14:schemeClr w14:val="tx1"/>
            </w14:solidFill>
          </w14:textFill>
        </w:rPr>
        <w:t>2</w:t>
      </w:r>
      <w:r>
        <w:rPr>
          <w:rFonts w:hint="eastAsia" w:cs="Arial"/>
          <w:color w:val="000000" w:themeColor="text1"/>
          <w14:textFill>
            <w14:solidFill>
              <w14:schemeClr w14:val="tx1"/>
            </w14:solidFill>
          </w14:textFill>
        </w:rPr>
        <w:t>位。</w:t>
      </w:r>
    </w:p>
    <w:p w14:paraId="1B25EDCB">
      <w:pPr>
        <w:pStyle w:val="33"/>
        <w:rPr>
          <w:rFonts w:ascii="宋体" w:hAnsi="宋体" w:cs="宋体"/>
          <w:b/>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评委会将对确定为实质性响应招标文件要求的投标文件进行评价和比较，</w:t>
      </w:r>
      <w:r>
        <w:rPr>
          <w:rFonts w:hint="eastAsia" w:ascii="宋体" w:hAnsi="宋体" w:cs="宋体"/>
          <w:color w:val="000000" w:themeColor="text1"/>
          <w14:textFill>
            <w14:solidFill>
              <w14:schemeClr w14:val="tx1"/>
            </w14:solidFill>
          </w14:textFill>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55"/>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2403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3749166">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69FB23A3">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14:paraId="0B196D12">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评分标准及细则</w:t>
            </w:r>
          </w:p>
        </w:tc>
        <w:tc>
          <w:tcPr>
            <w:tcW w:w="400" w:type="pct"/>
            <w:tcBorders>
              <w:top w:val="single" w:color="auto" w:sz="4" w:space="0"/>
              <w:left w:val="single" w:color="auto" w:sz="4" w:space="0"/>
              <w:bottom w:val="single" w:color="auto" w:sz="4" w:space="0"/>
              <w:right w:val="single" w:color="auto" w:sz="4" w:space="0"/>
            </w:tcBorders>
            <w:vAlign w:val="center"/>
          </w:tcPr>
          <w:p w14:paraId="4796DCBF">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583F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740D701">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812" w:type="pct"/>
            <w:tcBorders>
              <w:top w:val="single" w:color="auto" w:sz="4" w:space="0"/>
              <w:left w:val="single" w:color="auto" w:sz="4" w:space="0"/>
              <w:bottom w:val="single" w:color="auto" w:sz="4" w:space="0"/>
              <w:right w:val="single" w:color="auto" w:sz="4" w:space="0"/>
            </w:tcBorders>
            <w:vAlign w:val="center"/>
          </w:tcPr>
          <w:p w14:paraId="27BB9B76">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w:t>
            </w:r>
          </w:p>
        </w:tc>
        <w:tc>
          <w:tcPr>
            <w:tcW w:w="3395" w:type="pct"/>
            <w:tcBorders>
              <w:top w:val="single" w:color="auto" w:sz="4" w:space="0"/>
              <w:left w:val="single" w:color="auto" w:sz="4" w:space="0"/>
              <w:bottom w:val="single" w:color="auto" w:sz="4" w:space="0"/>
              <w:right w:val="single" w:color="auto" w:sz="4" w:space="0"/>
            </w:tcBorders>
            <w:vAlign w:val="center"/>
          </w:tcPr>
          <w:p w14:paraId="3AE095B9">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价格分采用低价优先法计算，即满足采购文件要求且报价最低的投标人的最终报价为评审基准价，其价格分为满分</w:t>
            </w:r>
            <w:r>
              <w:rPr>
                <w:rFonts w:hint="eastAsia" w:ascii="宋体" w:hAnsi="宋体" w:eastAsia="宋体" w:cs="宋体"/>
                <w:b/>
                <w:bCs/>
                <w:color w:val="000000" w:themeColor="text1"/>
                <w:sz w:val="24"/>
                <w:szCs w:val="24"/>
                <w:lang w:val="en-US" w:eastAsia="zh-CN"/>
                <w14:textFill>
                  <w14:solidFill>
                    <w14:schemeClr w14:val="tx1"/>
                  </w14:solidFill>
                </w14:textFill>
              </w:rPr>
              <w:t>40</w:t>
            </w:r>
            <w:r>
              <w:rPr>
                <w:rFonts w:hint="eastAsia" w:ascii="宋体" w:hAnsi="宋体" w:eastAsia="宋体" w:cs="宋体"/>
                <w:b/>
                <w:bCs/>
                <w:color w:val="000000" w:themeColor="text1"/>
                <w:sz w:val="24"/>
                <w:szCs w:val="24"/>
                <w14:textFill>
                  <w14:solidFill>
                    <w14:schemeClr w14:val="tx1"/>
                  </w14:solidFill>
                </w14:textFill>
              </w:rPr>
              <w:t>分，其它投标人的价格分统一按照以下公式计算：报价得分=(评审基准价/该投标人的最终报价)×</w:t>
            </w:r>
            <w:r>
              <w:rPr>
                <w:rFonts w:hint="eastAsia" w:ascii="宋体" w:hAnsi="宋体" w:eastAsia="宋体" w:cs="宋体"/>
                <w:b/>
                <w:bCs/>
                <w:color w:val="000000" w:themeColor="text1"/>
                <w:sz w:val="24"/>
                <w:szCs w:val="24"/>
                <w:lang w:val="en-US" w:eastAsia="zh-CN"/>
                <w14:textFill>
                  <w14:solidFill>
                    <w14:schemeClr w14:val="tx1"/>
                  </w14:solidFill>
                </w14:textFill>
              </w:rPr>
              <w:t>40</w:t>
            </w:r>
            <w:r>
              <w:rPr>
                <w:rFonts w:hint="eastAsia" w:ascii="宋体" w:hAnsi="宋体" w:eastAsia="宋体" w:cs="宋体"/>
                <w:b/>
                <w:bCs/>
                <w:color w:val="000000" w:themeColor="text1"/>
                <w:sz w:val="24"/>
                <w:szCs w:val="24"/>
                <w14:textFill>
                  <w14:solidFill>
                    <w14:schemeClr w14:val="tx1"/>
                  </w14:solidFill>
                </w14:textFill>
              </w:rPr>
              <w:t>分。</w:t>
            </w:r>
          </w:p>
        </w:tc>
        <w:tc>
          <w:tcPr>
            <w:tcW w:w="400" w:type="pct"/>
            <w:tcBorders>
              <w:top w:val="single" w:color="auto" w:sz="4" w:space="0"/>
              <w:left w:val="single" w:color="auto" w:sz="4" w:space="0"/>
              <w:bottom w:val="single" w:color="auto" w:sz="4" w:space="0"/>
              <w:right w:val="single" w:color="auto" w:sz="4" w:space="0"/>
            </w:tcBorders>
            <w:vAlign w:val="center"/>
          </w:tcPr>
          <w:p w14:paraId="449E4BB0">
            <w:pPr>
              <w:spacing w:line="400" w:lineRule="exact"/>
              <w:jc w:val="center"/>
              <w:textAlignment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40</w:t>
            </w:r>
          </w:p>
        </w:tc>
      </w:tr>
      <w:tr w14:paraId="6C67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6ADF3DAB">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812" w:type="pct"/>
            <w:tcBorders>
              <w:left w:val="single" w:color="auto" w:sz="4" w:space="0"/>
              <w:right w:val="single" w:color="auto" w:sz="4" w:space="0"/>
            </w:tcBorders>
            <w:vAlign w:val="center"/>
          </w:tcPr>
          <w:p w14:paraId="5D374FCE">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14:paraId="7928299C">
            <w:pPr>
              <w:spacing w:line="400" w:lineRule="exact"/>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投标人对招标文件具体项目需求的响应程度：全部响应即满足招标文件的技术指标、参数及服务要求的得</w:t>
            </w:r>
            <w:r>
              <w:rPr>
                <w:rFonts w:hint="eastAsia" w:ascii="宋体" w:hAnsi="宋体" w:eastAsia="宋体" w:cs="宋体"/>
                <w:b/>
                <w:bCs/>
                <w:color w:val="000000" w:themeColor="text1"/>
                <w:sz w:val="24"/>
                <w:szCs w:val="24"/>
                <w:lang w:val="en-US" w:eastAsia="zh-CN"/>
                <w14:textFill>
                  <w14:solidFill>
                    <w14:schemeClr w14:val="tx1"/>
                  </w14:solidFill>
                </w14:textFill>
              </w:rPr>
              <w:t>30</w:t>
            </w:r>
            <w:r>
              <w:rPr>
                <w:rFonts w:hint="eastAsia" w:ascii="宋体" w:hAnsi="宋体" w:eastAsia="宋体" w:cs="宋体"/>
                <w:b/>
                <w:bCs/>
                <w:color w:val="000000" w:themeColor="text1"/>
                <w:sz w:val="24"/>
                <w:szCs w:val="24"/>
                <w14:textFill>
                  <w14:solidFill>
                    <w14:schemeClr w14:val="tx1"/>
                  </w14:solidFill>
                </w14:textFill>
              </w:rPr>
              <w:t>分，加“</w:t>
            </w:r>
            <w:r>
              <w:rPr>
                <w:rFonts w:hint="eastAsia" w:ascii="仿宋" w:hAnsi="仿宋" w:eastAsia="仿宋" w:cs="仿宋"/>
                <w:color w:val="000000" w:themeColor="text1"/>
                <w:sz w:val="22"/>
                <w:szCs w:val="22"/>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”为实质性需求参数，</w:t>
            </w:r>
            <w:r>
              <w:rPr>
                <w:rFonts w:hint="eastAsia" w:ascii="宋体" w:hAnsi="宋体" w:eastAsia="宋体" w:cs="宋体"/>
                <w:b/>
                <w:bCs/>
                <w:color w:val="000000" w:themeColor="text1"/>
                <w:sz w:val="24"/>
                <w:szCs w:val="24"/>
                <w:lang w:eastAsia="zh-CN"/>
                <w14:textFill>
                  <w14:solidFill>
                    <w14:schemeClr w14:val="tx1"/>
                  </w14:solidFill>
                </w14:textFill>
              </w:rPr>
              <w:t>需提供第三方检测报告或相关截图证明材料，</w:t>
            </w:r>
            <w:r>
              <w:rPr>
                <w:rFonts w:hint="eastAsia" w:ascii="宋体" w:hAnsi="宋体" w:eastAsia="宋体" w:cs="宋体"/>
                <w:b/>
                <w:bCs/>
                <w:color w:val="000000" w:themeColor="text1"/>
                <w:sz w:val="24"/>
                <w:szCs w:val="24"/>
                <w14:textFill>
                  <w14:solidFill>
                    <w14:schemeClr w14:val="tx1"/>
                  </w14:solidFill>
                </w14:textFill>
              </w:rPr>
              <w:t>有一项不满足视为无效投标</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标记“</w:t>
            </w:r>
            <w:r>
              <w:rPr>
                <w:rFonts w:hint="eastAsia" w:ascii="宋体" w:hAnsi="宋体" w:eastAsia="宋体" w:cs="宋体"/>
                <w:b/>
                <w:bCs/>
                <w:i w:val="0"/>
                <w:iCs w:val="0"/>
                <w:color w:val="000000" w:themeColor="text1"/>
                <w:sz w:val="24"/>
                <w:szCs w:val="24"/>
                <w:lang w:val="en-US"/>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”项</w:t>
            </w:r>
            <w:r>
              <w:rPr>
                <w:rFonts w:hint="eastAsia" w:ascii="宋体" w:hAnsi="宋体" w:eastAsia="宋体" w:cs="宋体"/>
                <w:b/>
                <w:bCs/>
                <w:color w:val="000000" w:themeColor="text1"/>
                <w:sz w:val="24"/>
                <w:szCs w:val="24"/>
                <w:lang w:val="en-US" w:eastAsia="zh-CN"/>
                <w14:textFill>
                  <w14:solidFill>
                    <w14:schemeClr w14:val="tx1"/>
                  </w14:solidFill>
                </w14:textFill>
              </w:rPr>
              <w:t>为</w:t>
            </w:r>
            <w:r>
              <w:rPr>
                <w:rFonts w:hint="eastAsia" w:ascii="宋体" w:hAnsi="宋体" w:eastAsia="宋体" w:cs="宋体"/>
                <w:b/>
                <w:bCs/>
                <w:i w:val="0"/>
                <w:iCs w:val="0"/>
                <w:color w:val="000000" w:themeColor="text1"/>
                <w:sz w:val="24"/>
                <w:szCs w:val="24"/>
                <w14:textFill>
                  <w14:solidFill>
                    <w14:schemeClr w14:val="tx1"/>
                  </w14:solidFill>
                </w14:textFill>
              </w:rPr>
              <w:t>重要参数指标</w:t>
            </w:r>
            <w:r>
              <w:rPr>
                <w:rFonts w:hint="eastAsia" w:ascii="宋体" w:hAnsi="宋体" w:eastAsia="宋体" w:cs="宋体"/>
                <w:b/>
                <w:bCs/>
                <w:i w:val="0"/>
                <w:iCs w:val="0"/>
                <w:color w:val="000000" w:themeColor="text1"/>
                <w:sz w:val="24"/>
                <w:szCs w:val="24"/>
                <w:lang w:eastAsia="zh-CN"/>
                <w14:textFill>
                  <w14:solidFill>
                    <w14:schemeClr w14:val="tx1"/>
                  </w14:solidFill>
                </w14:textFill>
              </w:rPr>
              <w:t>，</w:t>
            </w:r>
            <w:r>
              <w:rPr>
                <w:rFonts w:hint="eastAsia" w:ascii="宋体" w:hAnsi="宋体" w:eastAsia="宋体" w:cs="宋体"/>
                <w:b/>
                <w:bCs/>
                <w:i w:val="0"/>
                <w:iCs w:val="0"/>
                <w:color w:val="000000" w:themeColor="text1"/>
                <w:sz w:val="24"/>
                <w:szCs w:val="24"/>
                <w:lang w:val="en-US" w:eastAsia="zh-CN"/>
                <w14:textFill>
                  <w14:solidFill>
                    <w14:schemeClr w14:val="tx1"/>
                  </w14:solidFill>
                </w14:textFill>
              </w:rPr>
              <w:t>不满足一项扣2分;其他参数，不满足一项扣1分；扣完为止。</w:t>
            </w:r>
          </w:p>
        </w:tc>
        <w:tc>
          <w:tcPr>
            <w:tcW w:w="400" w:type="pct"/>
            <w:tcBorders>
              <w:top w:val="single" w:color="auto" w:sz="4" w:space="0"/>
              <w:left w:val="single" w:color="auto" w:sz="4" w:space="0"/>
              <w:bottom w:val="single" w:color="auto" w:sz="4" w:space="0"/>
              <w:right w:val="single" w:color="auto" w:sz="4" w:space="0"/>
            </w:tcBorders>
            <w:vAlign w:val="center"/>
          </w:tcPr>
          <w:p w14:paraId="556746EB">
            <w:pPr>
              <w:spacing w:line="400" w:lineRule="exact"/>
              <w:jc w:val="center"/>
              <w:textAlignment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35</w:t>
            </w:r>
          </w:p>
        </w:tc>
      </w:tr>
      <w:tr w14:paraId="488E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476C59DD">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812" w:type="pct"/>
            <w:tcBorders>
              <w:left w:val="single" w:color="auto" w:sz="4" w:space="0"/>
              <w:right w:val="single" w:color="auto" w:sz="4" w:space="0"/>
            </w:tcBorders>
            <w:vAlign w:val="center"/>
          </w:tcPr>
          <w:p w14:paraId="23161898">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业绩</w:t>
            </w:r>
          </w:p>
        </w:tc>
        <w:tc>
          <w:tcPr>
            <w:tcW w:w="3395" w:type="pct"/>
            <w:tcBorders>
              <w:top w:val="single" w:color="auto" w:sz="4" w:space="0"/>
              <w:left w:val="single" w:color="auto" w:sz="4" w:space="0"/>
              <w:bottom w:val="single" w:color="auto" w:sz="4" w:space="0"/>
              <w:right w:val="single" w:color="auto" w:sz="4" w:space="0"/>
            </w:tcBorders>
            <w:vAlign w:val="center"/>
          </w:tcPr>
          <w:p w14:paraId="3E64B663">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投标人提供自  </w:t>
            </w:r>
            <w:r>
              <w:rPr>
                <w:rFonts w:hint="eastAsia" w:ascii="宋体" w:hAnsi="宋体" w:eastAsia="宋体" w:cs="宋体"/>
                <w:b/>
                <w:bCs/>
                <w:color w:val="000000" w:themeColor="text1"/>
                <w:sz w:val="24"/>
                <w:szCs w:val="24"/>
                <w:lang w:val="en-US" w:eastAsia="zh-CN"/>
                <w14:textFill>
                  <w14:solidFill>
                    <w14:schemeClr w14:val="tx1"/>
                  </w14:solidFill>
                </w14:textFill>
              </w:rPr>
              <w:t>2021</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月</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日至今承揽过类似项目业绩的，每提供一个得</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 xml:space="preserve">分，最高得 </w:t>
            </w:r>
            <w:r>
              <w:rPr>
                <w:rFonts w:hint="eastAsia" w:ascii="宋体" w:hAnsi="宋体" w:eastAsia="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分。</w:t>
            </w:r>
          </w:p>
          <w:p w14:paraId="0ECDAE54">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（提供业绩合同复印件加盖公章，合同需体现相关内容，未体现不得分，合同原件备查）</w:t>
            </w:r>
          </w:p>
        </w:tc>
        <w:tc>
          <w:tcPr>
            <w:tcW w:w="400" w:type="pct"/>
            <w:tcBorders>
              <w:top w:val="single" w:color="auto" w:sz="4" w:space="0"/>
              <w:left w:val="single" w:color="auto" w:sz="4" w:space="0"/>
              <w:bottom w:val="single" w:color="auto" w:sz="4" w:space="0"/>
              <w:right w:val="single" w:color="auto" w:sz="4" w:space="0"/>
            </w:tcBorders>
            <w:vAlign w:val="center"/>
          </w:tcPr>
          <w:p w14:paraId="792856F3">
            <w:pPr>
              <w:spacing w:line="400" w:lineRule="exact"/>
              <w:jc w:val="center"/>
              <w:textAlignment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w:t>
            </w:r>
          </w:p>
        </w:tc>
      </w:tr>
      <w:tr w14:paraId="0EBF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3B6135DA">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812" w:type="pct"/>
            <w:tcBorders>
              <w:left w:val="single" w:color="auto" w:sz="4" w:space="0"/>
              <w:right w:val="single" w:color="auto" w:sz="4" w:space="0"/>
            </w:tcBorders>
            <w:vAlign w:val="center"/>
          </w:tcPr>
          <w:p w14:paraId="0ED0699F">
            <w:pPr>
              <w:spacing w:line="400" w:lineRule="exact"/>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演示</w:t>
            </w:r>
          </w:p>
        </w:tc>
        <w:tc>
          <w:tcPr>
            <w:tcW w:w="3395" w:type="pct"/>
            <w:tcBorders>
              <w:top w:val="single" w:color="auto" w:sz="4" w:space="0"/>
              <w:left w:val="single" w:color="auto" w:sz="4" w:space="0"/>
              <w:right w:val="single" w:color="auto" w:sz="4" w:space="0"/>
            </w:tcBorders>
            <w:vAlign w:val="center"/>
          </w:tcPr>
          <w:p w14:paraId="56A7038B">
            <w:pPr>
              <w:bidi w:val="0"/>
              <w:spacing w:line="240" w:lineRule="auto"/>
              <w:jc w:val="left"/>
              <w:rPr>
                <w:rFonts w:hint="default"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①演示参数3.2.2案例支持11种类型模式：实战演练模式、套路训练模式、分布递呈模式、病情采集专项、诊疗计划专项、临床决策专项、问诊专项、查体专项、辅检专项、诊断专项、治疗专项。满足不同阶段的训练要求。多角度全方位的评判学员的临床思维能力。演示满足要求得2分，演示不满足要求或不演示的不得分。</w:t>
            </w:r>
          </w:p>
          <w:p w14:paraId="32AA7391">
            <w:pPr>
              <w:bidi w:val="0"/>
              <w:spacing w:line="240" w:lineRule="auto"/>
              <w:jc w:val="left"/>
              <w:rPr>
                <w:rFonts w:hint="default"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②演示参数</w:t>
            </w:r>
            <w:r>
              <w:rPr>
                <w:rFonts w:hint="eastAsia" w:ascii="宋体" w:hAnsi="宋体" w:eastAsia="宋体" w:cs="宋体"/>
                <w:b/>
                <w:bCs/>
                <w:color w:val="000000" w:themeColor="text1"/>
                <w:sz w:val="24"/>
                <w:szCs w:val="24"/>
                <w:lang w:val="en-US" w:eastAsia="zh-CN"/>
                <w14:textFill>
                  <w14:solidFill>
                    <w14:schemeClr w14:val="tx1"/>
                  </w14:solidFill>
                </w14:textFill>
              </w:rPr>
              <w:t>3.1</w:t>
            </w:r>
            <w:r>
              <w:rPr>
                <w:rFonts w:hint="eastAsia" w:ascii="宋体" w:hAnsi="宋体" w:eastAsia="宋体" w:cs="宋体"/>
                <w:b/>
                <w:bCs/>
                <w:color w:val="000000" w:themeColor="text1"/>
                <w:sz w:val="24"/>
                <w:szCs w:val="24"/>
                <w14:textFill>
                  <w14:solidFill>
                    <w14:schemeClr w14:val="tx1"/>
                  </w14:solidFill>
                </w14:textFill>
              </w:rPr>
              <w:t>包含4个考站：资料收集站、资料分析站、诊疗决策站、病程决策站。支持用选择任一考站进行练习，练习后反馈练习结果，系统记录练习次数。</w:t>
            </w:r>
            <w:r>
              <w:rPr>
                <w:rFonts w:hint="eastAsia" w:ascii="宋体" w:hAnsi="宋体" w:eastAsia="宋体" w:cs="宋体"/>
                <w:b/>
                <w:bCs/>
                <w:color w:val="000000" w:themeColor="text1"/>
                <w:sz w:val="24"/>
                <w:szCs w:val="24"/>
                <w:lang w:val="en-US" w:eastAsia="zh-CN" w:bidi="ar-SA"/>
                <w14:textFill>
                  <w14:solidFill>
                    <w14:schemeClr w14:val="tx1"/>
                  </w14:solidFill>
                </w14:textFill>
              </w:rPr>
              <w:t>演示满足要求得2分，演示不满足要求或不演示的不得分。</w:t>
            </w:r>
          </w:p>
          <w:p w14:paraId="5C0FB880">
            <w:pPr>
              <w:bidi w:val="0"/>
              <w:spacing w:line="240" w:lineRule="auto"/>
              <w:jc w:val="left"/>
              <w:rPr>
                <w:rFonts w:hint="default"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③演示参数3.3.1.4支持全开放医嘱，医嘱包含实验室检查、影像学检查等检查类医嘱，以及临床诊疗、药物治疗、手术、转诊、健康宣教等临床处置医嘱。学员需要根据病人情况选择合适的辅助检查或处置。医嘱价格展示、检查结果延时回报、取消医嘱执行等，保持与临床真实场景一致，强化训练实的战价值。演示满足要求得2分，演示不满足要求或不演示的不得分。</w:t>
            </w:r>
          </w:p>
          <w:p w14:paraId="26FBE0AB">
            <w:pPr>
              <w:bidi w:val="0"/>
              <w:spacing w:line="240" w:lineRule="auto"/>
              <w:jc w:val="left"/>
              <w:rPr>
                <w:rFonts w:hint="default"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begin"/>
            </w:r>
            <w:r>
              <w:rPr>
                <w:rFonts w:hint="eastAsia" w:ascii="宋体" w:hAnsi="宋体" w:eastAsia="宋体" w:cs="宋体"/>
                <w:b/>
                <w:bCs/>
                <w:color w:val="000000" w:themeColor="text1"/>
                <w:sz w:val="24"/>
                <w:szCs w:val="24"/>
                <w:lang w:val="en-US" w:eastAsia="zh-CN" w:bidi="ar-SA"/>
                <w14:textFill>
                  <w14:solidFill>
                    <w14:schemeClr w14:val="tx1"/>
                  </w14:solidFill>
                </w14:textFill>
              </w:rPr>
              <w:instrText xml:space="preserve"> = 4 \* GB3 \* MERGEFORMAT </w:instrText>
            </w: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separate"/>
            </w:r>
            <w:r>
              <w:rPr>
                <w:rFonts w:hint="eastAsia" w:ascii="宋体" w:hAnsi="宋体" w:eastAsia="宋体" w:cs="宋体"/>
                <w:b/>
                <w:bCs/>
                <w:color w:val="000000" w:themeColor="text1"/>
                <w:sz w:val="24"/>
                <w:szCs w:val="24"/>
                <w:lang w:val="en-US" w:eastAsia="zh-CN" w:bidi="ar-SA"/>
                <w14:textFill>
                  <w14:solidFill>
                    <w14:schemeClr w14:val="tx1"/>
                  </w14:solidFill>
                </w14:textFill>
              </w:rPr>
              <w:t>④</w:t>
            </w: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end"/>
            </w:r>
            <w:r>
              <w:rPr>
                <w:rFonts w:hint="eastAsia" w:ascii="宋体" w:hAnsi="宋体" w:eastAsia="宋体" w:cs="宋体"/>
                <w:b/>
                <w:bCs/>
                <w:color w:val="000000" w:themeColor="text1"/>
                <w:sz w:val="24"/>
                <w:szCs w:val="24"/>
                <w:lang w:val="en-US" w:eastAsia="zh-CN" w:bidi="ar-SA"/>
                <w14:textFill>
                  <w14:solidFill>
                    <w14:schemeClr w14:val="tx1"/>
                  </w14:solidFill>
                </w14:textFill>
              </w:rPr>
              <w:t>演示参数3.3.2.1 支持临床诊疗能力分析，学员学习结束后，可以查看自己在此次诊疗过程中的表现。包含诊疗得分，展示各维度（安全：控制不良事件；有效：规范诊疗能力、准确诊断能力、病史采集能力、治疗决策能力；经济：诊疗控费意识）得分明细。诊疗二级维度能力分析以雷达图形式展示（控制不良事件、规范诊疗能力、准确诊断能力、病史采集能力、治疗决策能力、诊疗控费意识）。同时展示以患者为中心触发事件的答题情况统计和分析。演示满足要求得2分，演示不满足要求或不演示的不得分。</w:t>
            </w:r>
          </w:p>
          <w:p w14:paraId="690931E0">
            <w:pPr>
              <w:bidi w:val="0"/>
              <w:spacing w:line="240" w:lineRule="auto"/>
              <w:jc w:val="left"/>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begin"/>
            </w:r>
            <w:r>
              <w:rPr>
                <w:rFonts w:hint="eastAsia" w:ascii="宋体" w:hAnsi="宋体" w:eastAsia="宋体" w:cs="宋体"/>
                <w:b/>
                <w:bCs/>
                <w:color w:val="000000" w:themeColor="text1"/>
                <w:sz w:val="24"/>
                <w:szCs w:val="24"/>
                <w:lang w:val="en-US" w:eastAsia="zh-CN" w:bidi="ar-SA"/>
                <w14:textFill>
                  <w14:solidFill>
                    <w14:schemeClr w14:val="tx1"/>
                  </w14:solidFill>
                </w14:textFill>
              </w:rPr>
              <w:instrText xml:space="preserve"> = 5 \* GB3 \* MERGEFORMAT </w:instrText>
            </w: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separate"/>
            </w:r>
            <w:r>
              <w:rPr>
                <w:rFonts w:hint="eastAsia" w:ascii="宋体" w:hAnsi="宋体" w:eastAsia="宋体" w:cs="宋体"/>
                <w:b/>
                <w:bCs/>
                <w:color w:val="000000" w:themeColor="text1"/>
                <w:sz w:val="24"/>
                <w:szCs w:val="24"/>
                <w:lang w:val="en-US" w:eastAsia="zh-CN" w:bidi="ar-SA"/>
                <w14:textFill>
                  <w14:solidFill>
                    <w14:schemeClr w14:val="tx1"/>
                  </w14:solidFill>
                </w14:textFill>
              </w:rPr>
              <w:t>⑤</w:t>
            </w:r>
            <w:r>
              <w:rPr>
                <w:rFonts w:hint="eastAsia" w:ascii="宋体" w:hAnsi="宋体" w:eastAsia="宋体" w:cs="宋体"/>
                <w:b/>
                <w:bCs/>
                <w:color w:val="000000" w:themeColor="text1"/>
                <w:sz w:val="24"/>
                <w:szCs w:val="24"/>
                <w:lang w:val="en-US" w:eastAsia="zh-CN" w:bidi="ar-SA"/>
                <w14:textFill>
                  <w14:solidFill>
                    <w14:schemeClr w14:val="tx1"/>
                  </w14:solidFill>
                </w14:textFill>
              </w:rPr>
              <w:fldChar w:fldCharType="end"/>
            </w:r>
            <w:r>
              <w:rPr>
                <w:rFonts w:hint="eastAsia" w:ascii="宋体" w:hAnsi="宋体" w:eastAsia="宋体" w:cs="宋体"/>
                <w:b/>
                <w:bCs/>
                <w:color w:val="000000" w:themeColor="text1"/>
                <w:sz w:val="24"/>
                <w:szCs w:val="24"/>
                <w:lang w:val="en-US" w:eastAsia="zh-CN" w:bidi="ar-SA"/>
                <w14:textFill>
                  <w14:solidFill>
                    <w14:schemeClr w14:val="tx1"/>
                  </w14:solidFill>
                </w14:textFill>
              </w:rPr>
              <w:t>3.5.5▲支持实时观察研讨过程中每一个学员（参与者）的操作，了解学员的实时诊断、问诊、查体、辅检、治疗等操作的明细，以及查看学员的诊疗结果。演示满足要求得2分，演示不满足要求或不演示的不得分。</w:t>
            </w:r>
          </w:p>
          <w:p w14:paraId="108FD2B1">
            <w:pPr>
              <w:bidi w:val="0"/>
              <w:spacing w:line="240" w:lineRule="auto"/>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p>
          <w:p w14:paraId="4132765B">
            <w:pPr>
              <w:bidi w:val="0"/>
              <w:spacing w:line="240" w:lineRule="auto"/>
              <w:jc w:val="left"/>
              <w:rPr>
                <w:rFonts w:hint="default" w:ascii="宋体" w:hAnsi="宋体" w:eastAsia="宋体" w:cs="宋体"/>
                <w:color w:val="000000" w:themeColor="text1"/>
                <w:kern w:val="2"/>
                <w:sz w:val="22"/>
                <w:szCs w:val="28"/>
                <w:lang w:val="en-US" w:eastAsia="zh-CN" w:bidi="ar-SA"/>
                <w14:textFill>
                  <w14:solidFill>
                    <w14:schemeClr w14:val="tx1"/>
                  </w14:solidFill>
                </w14:textFill>
              </w:rPr>
            </w:pPr>
          </w:p>
          <w:p w14:paraId="6CE3EC73">
            <w:pPr>
              <w:spacing w:line="400" w:lineRule="exact"/>
              <w:rPr>
                <w:rFonts w:hint="eastAsia" w:ascii="宋体" w:hAnsi="宋体" w:eastAsia="宋体" w:cs="宋体"/>
                <w:b/>
                <w:bCs/>
                <w:color w:val="000000" w:themeColor="text1"/>
                <w:sz w:val="24"/>
                <w:szCs w:val="24"/>
                <w:lang w:val="en-US" w:eastAsia="zh-CN"/>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5AD3FC77">
            <w:pPr>
              <w:tabs>
                <w:tab w:val="center" w:pos="251"/>
                <w:tab w:val="left" w:pos="365"/>
              </w:tabs>
              <w:spacing w:line="400" w:lineRule="exact"/>
              <w:ind w:firstLine="241" w:firstLineChars="1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w:t>
            </w:r>
          </w:p>
        </w:tc>
      </w:tr>
      <w:tr w14:paraId="7211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65977831">
            <w:pPr>
              <w:spacing w:line="400" w:lineRule="exact"/>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12" w:type="pct"/>
            <w:tcBorders>
              <w:left w:val="single" w:color="auto" w:sz="4" w:space="0"/>
              <w:right w:val="single" w:color="auto" w:sz="4" w:space="0"/>
            </w:tcBorders>
            <w:vAlign w:val="center"/>
          </w:tcPr>
          <w:p w14:paraId="274A0C56">
            <w:pPr>
              <w:spacing w:line="400" w:lineRule="exact"/>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项目实施方案</w:t>
            </w:r>
          </w:p>
        </w:tc>
        <w:tc>
          <w:tcPr>
            <w:tcW w:w="3395" w:type="pct"/>
            <w:tcBorders>
              <w:left w:val="single" w:color="auto" w:sz="4" w:space="0"/>
              <w:right w:val="single" w:color="auto" w:sz="4" w:space="0"/>
            </w:tcBorders>
            <w:vAlign w:val="center"/>
          </w:tcPr>
          <w:p w14:paraId="7325EE86">
            <w:pPr>
              <w:pStyle w:val="7"/>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根据投标人对项目的整体进度安排，投入的团队人员资质、售后服务方案和维保期间响应时间综合打分</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方案能够完全满足采购人要求得5分，基本满足得3分，部分满足得1分，不提供不得分。</w:t>
            </w:r>
          </w:p>
        </w:tc>
        <w:tc>
          <w:tcPr>
            <w:tcW w:w="400" w:type="pct"/>
            <w:tcBorders>
              <w:left w:val="single" w:color="auto" w:sz="4" w:space="0"/>
              <w:right w:val="single" w:color="auto" w:sz="4" w:space="0"/>
            </w:tcBorders>
            <w:vAlign w:val="center"/>
          </w:tcPr>
          <w:p w14:paraId="26481A10">
            <w:pPr>
              <w:spacing w:line="400" w:lineRule="exact"/>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r>
      <w:tr w14:paraId="46EA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29B10F22">
            <w:pPr>
              <w:spacing w:line="400" w:lineRule="exact"/>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12" w:type="pct"/>
            <w:tcBorders>
              <w:left w:val="single" w:color="auto" w:sz="4" w:space="0"/>
              <w:right w:val="single" w:color="auto" w:sz="4" w:space="0"/>
            </w:tcBorders>
            <w:vAlign w:val="center"/>
          </w:tcPr>
          <w:p w14:paraId="009317F4">
            <w:pPr>
              <w:spacing w:line="40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合计</w:t>
            </w:r>
          </w:p>
        </w:tc>
        <w:tc>
          <w:tcPr>
            <w:tcW w:w="3395" w:type="pct"/>
            <w:tcBorders>
              <w:left w:val="single" w:color="auto" w:sz="4" w:space="0"/>
              <w:right w:val="single" w:color="auto" w:sz="4" w:space="0"/>
            </w:tcBorders>
            <w:vAlign w:val="center"/>
          </w:tcPr>
          <w:p w14:paraId="3CEB9CBB">
            <w:pPr>
              <w:spacing w:line="400" w:lineRule="exact"/>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400" w:type="pct"/>
            <w:tcBorders>
              <w:left w:val="single" w:color="auto" w:sz="4" w:space="0"/>
              <w:right w:val="single" w:color="auto" w:sz="4" w:space="0"/>
            </w:tcBorders>
            <w:vAlign w:val="center"/>
          </w:tcPr>
          <w:p w14:paraId="48D38258">
            <w:pPr>
              <w:spacing w:line="400" w:lineRule="exact"/>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100</w:t>
            </w:r>
          </w:p>
        </w:tc>
      </w:tr>
    </w:tbl>
    <w:p w14:paraId="3B0658E2">
      <w:pPr>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0C5E7369">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w:t>
      </w:r>
    </w:p>
    <w:p w14:paraId="24F0FFAC">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所有认证、证明和业绩均以有效清晰的证明文件的复印件为依据。</w:t>
      </w:r>
    </w:p>
    <w:p w14:paraId="560DED19">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2.小微企业价格扣除</w:t>
      </w:r>
    </w:p>
    <w:p w14:paraId="25B5C22F">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对于专门面向中小企业或小型、微型企业的项目，只面向中小企业或小型、微型企业采购。对于非专门面向中小企业的项目，对小型和微型企业的价格给予10%的扣除，用扣除后的价格参与评审。</w:t>
      </w:r>
    </w:p>
    <w:p w14:paraId="4D8B254F">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3.监狱和戒毒企业的价格扣除</w:t>
      </w:r>
    </w:p>
    <w:p w14:paraId="18F743AC">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本项目对监狱和戒毒企业，给予10%的价格扣除，用扣除后的价格参与评审。</w:t>
      </w:r>
    </w:p>
    <w:p w14:paraId="1B97311C">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 监狱企业需提供由省级以上监狱管理局、戒毒管理局（含新疆生产建设兵团）出具的属于监狱企业的证明文件。</w:t>
      </w:r>
    </w:p>
    <w:p w14:paraId="36020372">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 监狱企业标准请参照《关于政府采购支持监狱企业发展有关问题的通知》（财库〔2014〕68号）。</w:t>
      </w:r>
    </w:p>
    <w:p w14:paraId="4465FA0A">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4.残疾人福利性单位的价格扣除</w:t>
      </w:r>
    </w:p>
    <w:p w14:paraId="7E2139B5">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4.1 本项目对残疾人福利性单位，给予10%的价格扣除，用扣除后的价格参与评审。</w:t>
      </w:r>
    </w:p>
    <w:p w14:paraId="4D16F544">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 残疾人福利性单位需提供《残疾人福利性单位声明函》</w:t>
      </w:r>
    </w:p>
    <w:p w14:paraId="7884740C">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 残疾人福利性单位标准请参照《关于促进残疾人就业政府采购政策的通知》（财库〔2017〕141号）。</w:t>
      </w:r>
    </w:p>
    <w:p w14:paraId="640808E9">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监狱企业、残疾人福利性单位属于小型、微型企业的，不重复享受政策。</w:t>
      </w:r>
    </w:p>
    <w:p w14:paraId="38494E4D">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14:paraId="59E48491">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14:paraId="6DBCAB7B">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14:paraId="0E887190">
      <w:pPr>
        <w:pStyle w:val="33"/>
        <w:ind w:firstLine="482" w:firstLineChars="200"/>
        <w:rPr>
          <w:rFonts w:ascii="宋体" w:hAnsi="宋体" w:eastAsia="宋体" w:cs="宋体"/>
          <w:b/>
          <w:bCs/>
          <w:color w:val="000000" w:themeColor="text1"/>
          <w:sz w:val="36"/>
          <w:szCs w:val="36"/>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4FC2F831">
      <w:pPr>
        <w:pStyle w:val="2"/>
        <w:numPr>
          <w:ilvl w:val="0"/>
          <w:numId w:val="4"/>
        </w:numPr>
        <w:rPr>
          <w:rFonts w:ascii="宋体" w:hAnsi="宋体" w:eastAsia="宋体" w:cs="宋体"/>
          <w:b/>
          <w:bCs/>
          <w:color w:val="000000" w:themeColor="text1"/>
          <w:sz w:val="32"/>
          <w:szCs w:val="32"/>
          <w14:textFill>
            <w14:solidFill>
              <w14:schemeClr w14:val="tx1"/>
            </w14:solidFill>
          </w14:textFill>
        </w:rPr>
      </w:pPr>
      <w:bookmarkStart w:id="59" w:name="_Toc13969"/>
      <w:r>
        <w:rPr>
          <w:rFonts w:hint="eastAsia" w:ascii="宋体" w:hAnsi="宋体" w:eastAsia="宋体" w:cs="宋体"/>
          <w:b/>
          <w:bCs/>
          <w:color w:val="000000" w:themeColor="text1"/>
          <w:sz w:val="32"/>
          <w:szCs w:val="32"/>
          <w14:textFill>
            <w14:solidFill>
              <w14:schemeClr w14:val="tx1"/>
            </w14:solidFill>
          </w14:textFill>
        </w:rPr>
        <w:t xml:space="preserve"> </w:t>
      </w:r>
      <w:bookmarkStart w:id="60" w:name="_Toc26691"/>
      <w:bookmarkStart w:id="61" w:name="_Toc32204"/>
      <w:r>
        <w:rPr>
          <w:rFonts w:hint="eastAsia" w:ascii="宋体" w:hAnsi="宋体" w:eastAsia="宋体" w:cs="宋体"/>
          <w:b/>
          <w:bCs/>
          <w:color w:val="000000" w:themeColor="text1"/>
          <w:sz w:val="32"/>
          <w:szCs w:val="32"/>
          <w14:textFill>
            <w14:solidFill>
              <w14:schemeClr w14:val="tx1"/>
            </w14:solidFill>
          </w14:textFill>
        </w:rPr>
        <w:t>拟签订的合同文本</w:t>
      </w:r>
      <w:bookmarkEnd w:id="59"/>
      <w:bookmarkEnd w:id="60"/>
      <w:bookmarkEnd w:id="61"/>
    </w:p>
    <w:p w14:paraId="43B94F13">
      <w:pPr>
        <w:widowControl w:val="0"/>
        <w:adjustRightInd/>
        <w:spacing w:line="400" w:lineRule="exact"/>
        <w:jc w:val="center"/>
        <w:rPr>
          <w:rFonts w:ascii="宋体" w:hAnsi="宋体" w:eastAsia="宋体" w:cs="宋体"/>
          <w:b/>
          <w:color w:val="000000" w:themeColor="text1"/>
          <w:sz w:val="24"/>
          <w:szCs w:val="24"/>
          <w14:textFill>
            <w14:solidFill>
              <w14:schemeClr w14:val="tx1"/>
            </w14:solidFill>
          </w14:textFill>
        </w:rPr>
      </w:pPr>
      <w:bookmarkStart w:id="62" w:name="_Toc14881"/>
      <w:bookmarkStart w:id="63" w:name="_Toc8661"/>
      <w:r>
        <w:rPr>
          <w:rFonts w:hint="eastAsia" w:ascii="宋体" w:hAnsi="宋体" w:eastAsia="宋体" w:cs="宋体"/>
          <w:b/>
          <w:color w:val="000000" w:themeColor="text1"/>
          <w:sz w:val="24"/>
          <w:szCs w:val="24"/>
          <w14:textFill>
            <w14:solidFill>
              <w14:schemeClr w14:val="tx1"/>
            </w14:solidFill>
          </w14:textFill>
        </w:rPr>
        <w:t>南京医科大学技术服务合同</w:t>
      </w:r>
    </w:p>
    <w:p w14:paraId="62027A5E">
      <w:pPr>
        <w:pStyle w:val="14"/>
        <w:spacing w:before="120" w:after="120" w:line="400" w:lineRule="exact"/>
        <w:ind w:left="550" w:leftChars="25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委托方（甲方）：南京医科大学</w:t>
      </w:r>
    </w:p>
    <w:p w14:paraId="255D4B4F">
      <w:pPr>
        <w:pStyle w:val="14"/>
        <w:spacing w:before="120" w:after="120" w:line="400" w:lineRule="exact"/>
        <w:ind w:left="550" w:leftChars="25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地址：</w:t>
      </w:r>
    </w:p>
    <w:p w14:paraId="39589AED">
      <w:pPr>
        <w:pStyle w:val="14"/>
        <w:spacing w:before="120" w:after="120" w:line="400" w:lineRule="exact"/>
        <w:ind w:left="550" w:leftChars="25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联系方式：</w:t>
      </w:r>
      <w:r>
        <w:rPr>
          <w:rFonts w:hAnsi="宋体" w:eastAsia="宋体" w:cs="宋体"/>
          <w:color w:val="000000" w:themeColor="text1"/>
          <w:sz w:val="24"/>
          <w:szCs w:val="24"/>
          <w14:textFill>
            <w14:solidFill>
              <w14:schemeClr w14:val="tx1"/>
            </w14:solidFill>
          </w14:textFill>
        </w:rPr>
        <w:t xml:space="preserve">                                     </w:t>
      </w:r>
    </w:p>
    <w:p w14:paraId="3B4388A0">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受托方（乙方）：</w:t>
      </w:r>
      <w:r>
        <w:rPr>
          <w:rFonts w:hAnsi="宋体" w:eastAsia="宋体" w:cs="宋体"/>
          <w:color w:val="000000" w:themeColor="text1"/>
          <w:sz w:val="24"/>
          <w:szCs w:val="24"/>
          <w14:textFill>
            <w14:solidFill>
              <w14:schemeClr w14:val="tx1"/>
            </w14:solidFill>
          </w14:textFill>
        </w:rPr>
        <w:t xml:space="preserve">   </w:t>
      </w:r>
    </w:p>
    <w:p w14:paraId="19D73CA6">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地址：</w:t>
      </w:r>
    </w:p>
    <w:p w14:paraId="0FB31F71">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联系方式：</w:t>
      </w:r>
      <w:r>
        <w:rPr>
          <w:rFonts w:hAnsi="宋体" w:eastAsia="宋体" w:cs="宋体"/>
          <w:color w:val="000000" w:themeColor="text1"/>
          <w:sz w:val="24"/>
          <w:szCs w:val="24"/>
          <w14:textFill>
            <w14:solidFill>
              <w14:schemeClr w14:val="tx1"/>
            </w14:solidFill>
          </w14:textFill>
        </w:rPr>
        <w:t xml:space="preserve">                                     </w:t>
      </w:r>
    </w:p>
    <w:p w14:paraId="0D702021">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甲方委托乙方就甲方</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项目提供</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专项技术服务，甲方支付相应的技术服务报酬。双方经过平等协商，在真实、充分地表达各自意愿的基础上，根据《中华人民共和国民法典》的规定，达成如下协议，并由双方共同恪守。</w:t>
      </w:r>
    </w:p>
    <w:p w14:paraId="3B7AC68B">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第一条</w:t>
      </w:r>
      <w:r>
        <w:rPr>
          <w:rFonts w:hAnsi="宋体" w:eastAsia="宋体" w:cs="宋体"/>
          <w:color w:val="000000" w:themeColor="text1"/>
          <w:sz w:val="24"/>
          <w:szCs w:val="24"/>
          <w14:textFill>
            <w14:solidFill>
              <w14:schemeClr w14:val="tx1"/>
            </w14:solidFill>
          </w14:textFill>
        </w:rPr>
        <w:t xml:space="preserve"> 甲方委托乙方进行技术服务的内容如下：</w:t>
      </w:r>
    </w:p>
    <w:p w14:paraId="0F5810C5">
      <w:pPr>
        <w:pStyle w:val="14"/>
        <w:spacing w:before="120" w:after="120" w:line="400" w:lineRule="exact"/>
        <w:ind w:left="550" w:leftChars="25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．技术服务的目标：</w:t>
      </w:r>
      <w:r>
        <w:rPr>
          <w:rFonts w:hAnsi="宋体" w:eastAsia="宋体" w:cs="宋体"/>
          <w:color w:val="000000" w:themeColor="text1"/>
          <w:sz w:val="24"/>
          <w:szCs w:val="24"/>
          <w14:textFill>
            <w14:solidFill>
              <w14:schemeClr w14:val="tx1"/>
            </w14:solidFill>
          </w14:textFill>
        </w:rPr>
        <w:t xml:space="preserve">                                                                                                           2</w:t>
      </w:r>
      <w:r>
        <w:rPr>
          <w:rFonts w:hint="eastAsia" w:hAnsi="宋体" w:eastAsia="宋体" w:cs="宋体"/>
          <w:color w:val="000000" w:themeColor="text1"/>
          <w:sz w:val="24"/>
          <w:szCs w:val="24"/>
          <w14:textFill>
            <w14:solidFill>
              <w14:schemeClr w14:val="tx1"/>
            </w14:solidFill>
          </w14:textFill>
        </w:rPr>
        <w:t>．技术服务的内容：</w:t>
      </w:r>
      <w:r>
        <w:rPr>
          <w:rFonts w:hAnsi="宋体" w:eastAsia="宋体" w:cs="宋体"/>
          <w:color w:val="000000" w:themeColor="text1"/>
          <w:sz w:val="24"/>
          <w:szCs w:val="24"/>
          <w14:textFill>
            <w14:solidFill>
              <w14:schemeClr w14:val="tx1"/>
            </w14:solidFill>
          </w14:textFill>
        </w:rPr>
        <w:t xml:space="preserve">                                                        3</w:t>
      </w:r>
      <w:r>
        <w:rPr>
          <w:rFonts w:hint="eastAsia" w:hAnsi="宋体" w:eastAsia="宋体" w:cs="宋体"/>
          <w:color w:val="000000" w:themeColor="text1"/>
          <w:sz w:val="24"/>
          <w:szCs w:val="24"/>
          <w14:textFill>
            <w14:solidFill>
              <w14:schemeClr w14:val="tx1"/>
            </w14:solidFill>
          </w14:textFill>
        </w:rPr>
        <w:t>．技术服务的方式：</w:t>
      </w:r>
      <w:r>
        <w:rPr>
          <w:rFonts w:hAnsi="宋体" w:eastAsia="宋体" w:cs="宋体"/>
          <w:color w:val="000000" w:themeColor="text1"/>
          <w:sz w:val="24"/>
          <w:szCs w:val="24"/>
          <w14:textFill>
            <w14:solidFill>
              <w14:schemeClr w14:val="tx1"/>
            </w14:solidFill>
          </w14:textFill>
        </w:rPr>
        <w:t xml:space="preserve">                                  </w:t>
      </w:r>
    </w:p>
    <w:p w14:paraId="35CC4711">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第二条</w:t>
      </w:r>
      <w:r>
        <w:rPr>
          <w:rFonts w:hAnsi="宋体" w:eastAsia="宋体" w:cs="宋体"/>
          <w:color w:val="000000" w:themeColor="text1"/>
          <w:sz w:val="24"/>
          <w:szCs w:val="24"/>
          <w14:textFill>
            <w14:solidFill>
              <w14:schemeClr w14:val="tx1"/>
            </w14:solidFill>
          </w14:textFill>
        </w:rPr>
        <w:t xml:space="preserve"> 乙方应按下列要求完成技术服务工作：</w:t>
      </w:r>
    </w:p>
    <w:p w14:paraId="3552F51E">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．技术服务地点：</w:t>
      </w:r>
    </w:p>
    <w:p w14:paraId="4E695496">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．技术服务期限：</w:t>
      </w:r>
    </w:p>
    <w:p w14:paraId="3CB6307C">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3</w:t>
      </w:r>
      <w:r>
        <w:rPr>
          <w:rFonts w:hint="eastAsia" w:hAnsi="宋体" w:eastAsia="宋体" w:cs="宋体"/>
          <w:color w:val="000000" w:themeColor="text1"/>
          <w:sz w:val="24"/>
          <w:szCs w:val="24"/>
          <w14:textFill>
            <w14:solidFill>
              <w14:schemeClr w14:val="tx1"/>
            </w14:solidFill>
          </w14:textFill>
        </w:rPr>
        <w:t>．技术服务进度：</w:t>
      </w:r>
      <w:r>
        <w:rPr>
          <w:rFonts w:hAnsi="宋体" w:eastAsia="宋体" w:cs="宋体"/>
          <w:color w:val="000000" w:themeColor="text1"/>
          <w:sz w:val="24"/>
          <w:szCs w:val="24"/>
          <w14:textFill>
            <w14:solidFill>
              <w14:schemeClr w14:val="tx1"/>
            </w14:solidFill>
          </w14:textFill>
        </w:rPr>
        <w:t xml:space="preserve">                                     </w:t>
      </w:r>
    </w:p>
    <w:p w14:paraId="5C1476B4">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4</w:t>
      </w:r>
      <w:r>
        <w:rPr>
          <w:rFonts w:hint="eastAsia" w:hAnsi="宋体" w:eastAsia="宋体" w:cs="宋体"/>
          <w:color w:val="000000" w:themeColor="text1"/>
          <w:sz w:val="24"/>
          <w:szCs w:val="24"/>
          <w14:textFill>
            <w14:solidFill>
              <w14:schemeClr w14:val="tx1"/>
            </w14:solidFill>
          </w14:textFill>
        </w:rPr>
        <w:t>．技术服务质量要求：</w:t>
      </w:r>
    </w:p>
    <w:p w14:paraId="5AE22BBE">
      <w:pPr>
        <w:pStyle w:val="14"/>
        <w:spacing w:before="120" w:after="120" w:line="400" w:lineRule="exact"/>
        <w:ind w:firstLine="480" w:firstLineChars="200"/>
        <w:rPr>
          <w:rFonts w:hint="eastAsia"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w:t>
      </w:r>
      <w:r>
        <w:rPr>
          <w:rFonts w:hint="eastAsia" w:hAnsi="宋体" w:eastAsia="宋体" w:cs="宋体"/>
          <w:color w:val="000000" w:themeColor="text1"/>
          <w:sz w:val="24"/>
          <w:szCs w:val="24"/>
          <w14:textFill>
            <w14:solidFill>
              <w14:schemeClr w14:val="tx1"/>
            </w14:solidFill>
          </w14:textFill>
        </w:rPr>
        <w:t>．技术服务质量期限要求：</w:t>
      </w:r>
    </w:p>
    <w:p w14:paraId="0203239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 后续服务要求：如后续开发过程中甲方及第三方需要乙方协助，乙方应当无条件配合，包括但不仅限于提供系统接口、技术服务、数据对接。</w:t>
      </w:r>
    </w:p>
    <w:p w14:paraId="6B9EEB45">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第三条</w:t>
      </w:r>
      <w:r>
        <w:rPr>
          <w:rFonts w:hAnsi="宋体" w:eastAsia="宋体" w:cs="宋体"/>
          <w:color w:val="000000" w:themeColor="text1"/>
          <w:sz w:val="24"/>
          <w:szCs w:val="24"/>
          <w14:textFill>
            <w14:solidFill>
              <w14:schemeClr w14:val="tx1"/>
            </w14:solidFill>
          </w14:textFill>
        </w:rPr>
        <w:t xml:space="preserve"> 为保证乙方有效进行技术服务工作，甲方应当向乙方提供下列工作条件和协作事项：</w:t>
      </w:r>
    </w:p>
    <w:p w14:paraId="266C1AC4">
      <w:pPr>
        <w:pStyle w:val="14"/>
        <w:spacing w:before="120" w:after="120" w:line="400" w:lineRule="exact"/>
        <w:ind w:left="440" w:leftChars="200" w:firstLine="120" w:firstLineChars="5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．提供技术资料：（</w:t>
      </w: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u w:val="single"/>
          <w14:textFill>
            <w14:solidFill>
              <w14:schemeClr w14:val="tx1"/>
            </w14:solidFill>
          </w14:textFill>
        </w:rPr>
        <w:t xml:space="preserve">                                                 ；  </w:t>
      </w: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14:textFill>
            <w14:solidFill>
              <w14:schemeClr w14:val="tx1"/>
            </w14:solidFill>
          </w14:textFill>
        </w:rPr>
        <w:t>3</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u w:val="single"/>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 xml:space="preserve">   </w:t>
      </w:r>
    </w:p>
    <w:p w14:paraId="129E22D8">
      <w:pPr>
        <w:pStyle w:val="14"/>
        <w:spacing w:before="120" w:after="120" w:line="400" w:lineRule="exact"/>
        <w:ind w:left="440" w:left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．提供工作条件：</w:t>
      </w: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u w:val="single"/>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u w:val="single"/>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 xml:space="preserve">      </w:t>
      </w:r>
    </w:p>
    <w:p w14:paraId="23BB3C55">
      <w:pPr>
        <w:pStyle w:val="14"/>
        <w:spacing w:before="120" w:after="120" w:line="400" w:lineRule="exact"/>
        <w:ind w:left="550" w:leftChars="25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3</w:t>
      </w:r>
      <w:r>
        <w:rPr>
          <w:rFonts w:hint="eastAsia" w:hAnsi="宋体" w:eastAsia="宋体" w:cs="宋体"/>
          <w:color w:val="000000" w:themeColor="text1"/>
          <w:sz w:val="24"/>
          <w:szCs w:val="24"/>
          <w14:textFill>
            <w14:solidFill>
              <w14:schemeClr w14:val="tx1"/>
            </w14:solidFill>
          </w14:textFill>
        </w:rPr>
        <w:t>．其他：</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14:textFill>
            <w14:solidFill>
              <w14:schemeClr w14:val="tx1"/>
            </w14:solidFill>
          </w14:textFill>
        </w:rPr>
        <w:t xml:space="preserve">             </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b/>
          <w:color w:val="000000" w:themeColor="text1"/>
          <w:sz w:val="24"/>
          <w:szCs w:val="24"/>
          <w14:textFill>
            <w14:solidFill>
              <w14:schemeClr w14:val="tx1"/>
            </w14:solidFill>
          </w14:textFill>
        </w:rPr>
        <w:t>第四条</w:t>
      </w:r>
      <w:r>
        <w:rPr>
          <w:rFonts w:hint="eastAsia" w:hAnsi="宋体" w:eastAsia="宋体" w:cs="宋体"/>
          <w:color w:val="000000" w:themeColor="text1"/>
          <w:sz w:val="24"/>
          <w:szCs w:val="24"/>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技术服务</w:t>
      </w:r>
      <w:r>
        <w:rPr>
          <w:rFonts w:hint="eastAsia" w:hAnsi="宋体" w:eastAsia="宋体" w:cs="宋体"/>
          <w:color w:val="000000" w:themeColor="text1"/>
          <w:sz w:val="24"/>
          <w:szCs w:val="24"/>
          <w14:textFill>
            <w14:solidFill>
              <w14:schemeClr w14:val="tx1"/>
            </w14:solidFill>
          </w14:textFill>
        </w:rPr>
        <w:t>费</w:t>
      </w:r>
      <w:r>
        <w:rPr>
          <w:rFonts w:hAnsi="宋体" w:eastAsia="宋体" w:cs="宋体"/>
          <w:color w:val="000000" w:themeColor="text1"/>
          <w:sz w:val="24"/>
          <w:szCs w:val="24"/>
          <w14:textFill>
            <w14:solidFill>
              <w14:schemeClr w14:val="tx1"/>
            </w14:solidFill>
          </w14:textFill>
        </w:rPr>
        <w:t>及支付方式</w:t>
      </w:r>
    </w:p>
    <w:p w14:paraId="6C52A00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．技术服务费总额为：</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w:t>
      </w:r>
    </w:p>
    <w:p w14:paraId="070FEB32">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．技术服务费由甲方</w:t>
      </w:r>
      <w:r>
        <w:rPr>
          <w:rFonts w:hAnsi="宋体" w:eastAsia="宋体" w:cs="宋体"/>
          <w:color w:val="000000" w:themeColor="text1"/>
          <w:sz w:val="24"/>
          <w:szCs w:val="24"/>
          <w:u w:val="single"/>
          <w14:textFill>
            <w14:solidFill>
              <w14:schemeClr w14:val="tx1"/>
            </w14:solidFill>
          </w14:textFill>
        </w:rPr>
        <w:t xml:space="preserve">             （一次或分期）</w:t>
      </w:r>
      <w:r>
        <w:rPr>
          <w:rFonts w:hint="eastAsia" w:hAnsi="宋体" w:eastAsia="宋体" w:cs="宋体"/>
          <w:color w:val="000000" w:themeColor="text1"/>
          <w:sz w:val="24"/>
          <w:szCs w:val="24"/>
          <w14:textFill>
            <w14:solidFill>
              <w14:schemeClr w14:val="tx1"/>
            </w14:solidFill>
          </w14:textFill>
        </w:rPr>
        <w:t>支付给乙方。</w:t>
      </w:r>
      <w:r>
        <w:rPr>
          <w:rFonts w:hAnsi="宋体" w:eastAsia="宋体" w:cs="宋体"/>
          <w:color w:val="000000" w:themeColor="text1"/>
          <w:sz w:val="24"/>
          <w:szCs w:val="24"/>
          <w14:textFill>
            <w14:solidFill>
              <w14:schemeClr w14:val="tx1"/>
            </w14:solidFill>
          </w14:textFill>
        </w:rPr>
        <w:t xml:space="preserve"> </w:t>
      </w:r>
    </w:p>
    <w:p w14:paraId="03CB8675">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具体支付方式和时间如下：</w:t>
      </w:r>
    </w:p>
    <w:p w14:paraId="25B884F9">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3、结算方式：</w:t>
      </w:r>
    </w:p>
    <w:p w14:paraId="3D1ED3D5">
      <w:pPr>
        <w:pStyle w:val="14"/>
        <w:numPr>
          <w:ilvl w:val="0"/>
          <w:numId w:val="0"/>
        </w:numPr>
        <w:snapToGrid w:val="0"/>
        <w:spacing w:before="120" w:after="120" w:line="400" w:lineRule="exact"/>
        <w:ind w:firstLine="480" w:firstLineChars="200"/>
        <w:jc w:val="left"/>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服务交付且安装、调试后，并通过验收后合格</w:t>
      </w:r>
      <w:r>
        <w:rPr>
          <w:rFonts w:hint="eastAsia" w:hAnsi="宋体" w:eastAsia="宋体" w:cs="宋体"/>
          <w:color w:val="000000" w:themeColor="text1"/>
          <w:sz w:val="24"/>
          <w:szCs w:val="24"/>
          <w:lang w:val="en-US" w:eastAsia="zh-CN"/>
          <w14:textFill>
            <w14:solidFill>
              <w14:schemeClr w14:val="tx1"/>
            </w14:solidFill>
          </w14:textFill>
        </w:rPr>
        <w:t>一个月</w:t>
      </w:r>
      <w:r>
        <w:rPr>
          <w:rFonts w:hint="eastAsia" w:hAnsi="宋体" w:eastAsia="宋体" w:cs="宋体"/>
          <w:color w:val="000000" w:themeColor="text1"/>
          <w:sz w:val="24"/>
          <w:szCs w:val="24"/>
          <w14:textFill>
            <w14:solidFill>
              <w14:schemeClr w14:val="tx1"/>
            </w14:solidFill>
          </w14:textFill>
        </w:rPr>
        <w:t>内甲方支付合同总金额的100%，付款之前需收到乙方开具的合法有效的相应全额发票。</w:t>
      </w:r>
    </w:p>
    <w:p w14:paraId="2D381208">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乙方开户银行名称、账户名称和帐号为：</w:t>
      </w:r>
    </w:p>
    <w:p w14:paraId="7E8F7BDD">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开户银行：</w:t>
      </w:r>
      <w:r>
        <w:rPr>
          <w:rFonts w:hAnsi="宋体" w:eastAsia="宋体" w:cs="宋体"/>
          <w:color w:val="000000" w:themeColor="text1"/>
          <w:sz w:val="24"/>
          <w:szCs w:val="24"/>
          <w14:textFill>
            <w14:solidFill>
              <w14:schemeClr w14:val="tx1"/>
            </w14:solidFill>
          </w14:textFill>
        </w:rPr>
        <w:t xml:space="preserve">                                        </w:t>
      </w:r>
    </w:p>
    <w:p w14:paraId="42BAA2FF">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账户名称：</w:t>
      </w:r>
      <w:r>
        <w:rPr>
          <w:rFonts w:hAnsi="宋体" w:eastAsia="宋体" w:cs="宋体"/>
          <w:color w:val="000000" w:themeColor="text1"/>
          <w:sz w:val="24"/>
          <w:szCs w:val="24"/>
          <w14:textFill>
            <w14:solidFill>
              <w14:schemeClr w14:val="tx1"/>
            </w14:solidFill>
          </w14:textFill>
        </w:rPr>
        <w:t xml:space="preserve">                                      </w:t>
      </w:r>
    </w:p>
    <w:p w14:paraId="227EACE0">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帐号：</w:t>
      </w:r>
      <w:r>
        <w:rPr>
          <w:rFonts w:hAnsi="宋体" w:eastAsia="宋体" w:cs="宋体"/>
          <w:color w:val="000000" w:themeColor="text1"/>
          <w:sz w:val="24"/>
          <w:szCs w:val="24"/>
          <w14:textFill>
            <w14:solidFill>
              <w14:schemeClr w14:val="tx1"/>
            </w14:solidFill>
          </w14:textFill>
        </w:rPr>
        <w:t xml:space="preserve">                                            </w:t>
      </w:r>
    </w:p>
    <w:p w14:paraId="428B8516">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第五条</w:t>
      </w:r>
      <w:r>
        <w:rPr>
          <w:rFonts w:hAnsi="宋体" w:eastAsia="宋体" w:cs="宋体"/>
          <w:color w:val="000000" w:themeColor="text1"/>
          <w:sz w:val="24"/>
          <w:szCs w:val="24"/>
          <w14:textFill>
            <w14:solidFill>
              <w14:schemeClr w14:val="tx1"/>
            </w14:solidFill>
          </w14:textFill>
        </w:rPr>
        <w:t xml:space="preserve"> 双方确定因履行本合同应遵守的保密义务如下：</w:t>
      </w:r>
    </w:p>
    <w:p w14:paraId="2BD94127">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5.1.</w:t>
      </w:r>
      <w:r>
        <w:rPr>
          <w:rFonts w:hint="eastAsia" w:hAnsi="宋体" w:eastAsia="宋体" w:cs="宋体"/>
          <w:color w:val="000000" w:themeColor="text1"/>
          <w:sz w:val="24"/>
          <w:szCs w:val="24"/>
          <w14:textFill>
            <w14:solidFill>
              <w14:schemeClr w14:val="tx1"/>
            </w14:solidFill>
          </w14:textFill>
        </w:rPr>
        <w:t>甲方：</w:t>
      </w:r>
    </w:p>
    <w:p w14:paraId="4FFAA52C">
      <w:pPr>
        <w:pStyle w:val="14"/>
        <w:spacing w:before="120" w:after="120" w:line="400" w:lineRule="exact"/>
        <w:ind w:left="550" w:leftChars="25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5.1.1.</w:t>
      </w:r>
      <w:r>
        <w:rPr>
          <w:rFonts w:hint="eastAsia" w:hAnsi="宋体" w:eastAsia="宋体" w:cs="宋体"/>
          <w:color w:val="000000" w:themeColor="text1"/>
          <w:sz w:val="24"/>
          <w:szCs w:val="24"/>
          <w14:textFill>
            <w14:solidFill>
              <w14:schemeClr w14:val="tx1"/>
            </w14:solidFill>
          </w14:textFill>
        </w:rPr>
        <w:t>保密内容（包括技术信息和经营信息）</w:t>
      </w:r>
      <w:r>
        <w:rPr>
          <w:rFonts w:hAnsi="宋体" w:eastAsia="宋体" w:cs="宋体"/>
          <w:color w:val="000000" w:themeColor="text1"/>
          <w:sz w:val="24"/>
          <w:szCs w:val="24"/>
          <w14:textFill>
            <w14:solidFill>
              <w14:schemeClr w14:val="tx1"/>
            </w14:solidFill>
          </w14:textFill>
        </w:rPr>
        <w:t>:                              5.1.2.</w:t>
      </w:r>
      <w:r>
        <w:rPr>
          <w:rFonts w:hint="eastAsia" w:hAnsi="宋体" w:eastAsia="宋体" w:cs="宋体"/>
          <w:color w:val="000000" w:themeColor="text1"/>
          <w:sz w:val="24"/>
          <w:szCs w:val="24"/>
          <w14:textFill>
            <w14:solidFill>
              <w14:schemeClr w14:val="tx1"/>
            </w14:solidFill>
          </w14:textFill>
        </w:rPr>
        <w:t>涉密人员范围</w:t>
      </w:r>
      <w:r>
        <w:rPr>
          <w:rFonts w:hAnsi="宋体" w:eastAsia="宋体" w:cs="宋体"/>
          <w:color w:val="000000" w:themeColor="text1"/>
          <w:sz w:val="24"/>
          <w:szCs w:val="24"/>
          <w14:textFill>
            <w14:solidFill>
              <w14:schemeClr w14:val="tx1"/>
            </w14:solidFill>
          </w14:textFill>
        </w:rPr>
        <w:t xml:space="preserve">: </w:t>
      </w:r>
    </w:p>
    <w:p w14:paraId="523AAEBB">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5.1.3.</w:t>
      </w:r>
      <w:r>
        <w:rPr>
          <w:rFonts w:hint="eastAsia" w:hAnsi="宋体" w:eastAsia="宋体" w:cs="宋体"/>
          <w:color w:val="000000" w:themeColor="text1"/>
          <w:sz w:val="24"/>
          <w:szCs w:val="24"/>
          <w14:textFill>
            <w14:solidFill>
              <w14:schemeClr w14:val="tx1"/>
            </w14:solidFill>
          </w14:textFill>
        </w:rPr>
        <w:t>保密期限：</w:t>
      </w:r>
      <w:r>
        <w:rPr>
          <w:rFonts w:hAnsi="宋体" w:eastAsia="宋体" w:cs="宋体"/>
          <w:color w:val="000000" w:themeColor="text1"/>
          <w:sz w:val="24"/>
          <w:szCs w:val="24"/>
          <w14:textFill>
            <w14:solidFill>
              <w14:schemeClr w14:val="tx1"/>
            </w14:solidFill>
          </w14:textFill>
        </w:rPr>
        <w:t xml:space="preserve">                               </w:t>
      </w:r>
    </w:p>
    <w:p w14:paraId="17F3B8C7">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5.1.4.</w:t>
      </w:r>
      <w:r>
        <w:rPr>
          <w:rFonts w:hint="eastAsia" w:hAnsi="宋体" w:eastAsia="宋体" w:cs="宋体"/>
          <w:color w:val="000000" w:themeColor="text1"/>
          <w:sz w:val="24"/>
          <w:szCs w:val="24"/>
          <w14:textFill>
            <w14:solidFill>
              <w14:schemeClr w14:val="tx1"/>
            </w14:solidFill>
          </w14:textFill>
        </w:rPr>
        <w:t>泄密责任：</w:t>
      </w:r>
      <w:r>
        <w:rPr>
          <w:rFonts w:hAnsi="宋体" w:eastAsia="宋体" w:cs="宋体"/>
          <w:color w:val="000000" w:themeColor="text1"/>
          <w:sz w:val="24"/>
          <w:szCs w:val="24"/>
          <w14:textFill>
            <w14:solidFill>
              <w14:schemeClr w14:val="tx1"/>
            </w14:solidFill>
          </w14:textFill>
        </w:rPr>
        <w:t xml:space="preserve">  </w:t>
      </w:r>
    </w:p>
    <w:p w14:paraId="53CE28C5">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5.2.</w:t>
      </w:r>
      <w:r>
        <w:rPr>
          <w:rFonts w:hint="eastAsia" w:hAnsi="宋体" w:eastAsia="宋体" w:cs="宋体"/>
          <w:color w:val="000000" w:themeColor="text1"/>
          <w:sz w:val="24"/>
          <w:szCs w:val="24"/>
          <w14:textFill>
            <w14:solidFill>
              <w14:schemeClr w14:val="tx1"/>
            </w14:solidFill>
          </w14:textFill>
        </w:rPr>
        <w:t>乙方：</w:t>
      </w:r>
    </w:p>
    <w:p w14:paraId="59A831C0">
      <w:pPr>
        <w:pStyle w:val="14"/>
        <w:spacing w:before="120" w:after="120" w:line="400" w:lineRule="exact"/>
        <w:ind w:left="550" w:leftChars="25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5.2.1.</w:t>
      </w:r>
      <w:r>
        <w:rPr>
          <w:rFonts w:hint="eastAsia" w:hAnsi="宋体" w:eastAsia="宋体" w:cs="宋体"/>
          <w:color w:val="000000" w:themeColor="text1"/>
          <w:sz w:val="24"/>
          <w:szCs w:val="24"/>
          <w14:textFill>
            <w14:solidFill>
              <w14:schemeClr w14:val="tx1"/>
            </w14:solidFill>
          </w14:textFill>
        </w:rPr>
        <w:t>保密内容（包括技术信息和经营信息）</w:t>
      </w:r>
      <w:r>
        <w:rPr>
          <w:rFonts w:hAnsi="宋体" w:eastAsia="宋体" w:cs="宋体"/>
          <w:color w:val="000000" w:themeColor="text1"/>
          <w:sz w:val="24"/>
          <w:szCs w:val="24"/>
          <w14:textFill>
            <w14:solidFill>
              <w14:schemeClr w14:val="tx1"/>
            </w14:solidFill>
          </w14:textFill>
        </w:rPr>
        <w:t>:                              5.2.2.</w:t>
      </w:r>
      <w:r>
        <w:rPr>
          <w:rFonts w:hint="eastAsia" w:hAnsi="宋体" w:eastAsia="宋体" w:cs="宋体"/>
          <w:color w:val="000000" w:themeColor="text1"/>
          <w:sz w:val="24"/>
          <w:szCs w:val="24"/>
          <w14:textFill>
            <w14:solidFill>
              <w14:schemeClr w14:val="tx1"/>
            </w14:solidFill>
          </w14:textFill>
        </w:rPr>
        <w:t>涉密人员范围</w:t>
      </w:r>
      <w:r>
        <w:rPr>
          <w:rFonts w:hAnsi="宋体" w:eastAsia="宋体" w:cs="宋体"/>
          <w:color w:val="000000" w:themeColor="text1"/>
          <w:sz w:val="24"/>
          <w:szCs w:val="24"/>
          <w14:textFill>
            <w14:solidFill>
              <w14:schemeClr w14:val="tx1"/>
            </w14:solidFill>
          </w14:textFill>
        </w:rPr>
        <w:t xml:space="preserve">: </w:t>
      </w:r>
    </w:p>
    <w:p w14:paraId="020DBB7B">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5.2.3.</w:t>
      </w:r>
      <w:r>
        <w:rPr>
          <w:rFonts w:hint="eastAsia" w:hAnsi="宋体" w:eastAsia="宋体" w:cs="宋体"/>
          <w:color w:val="000000" w:themeColor="text1"/>
          <w:sz w:val="24"/>
          <w:szCs w:val="24"/>
          <w14:textFill>
            <w14:solidFill>
              <w14:schemeClr w14:val="tx1"/>
            </w14:solidFill>
          </w14:textFill>
        </w:rPr>
        <w:t>保密期限：</w:t>
      </w:r>
      <w:r>
        <w:rPr>
          <w:rFonts w:hAnsi="宋体" w:eastAsia="宋体" w:cs="宋体"/>
          <w:color w:val="000000" w:themeColor="text1"/>
          <w:sz w:val="24"/>
          <w:szCs w:val="24"/>
          <w14:textFill>
            <w14:solidFill>
              <w14:schemeClr w14:val="tx1"/>
            </w14:solidFill>
          </w14:textFill>
        </w:rPr>
        <w:t xml:space="preserve">                               </w:t>
      </w:r>
    </w:p>
    <w:p w14:paraId="203A08E3">
      <w:pPr>
        <w:pStyle w:val="14"/>
        <w:spacing w:before="120" w:after="120" w:line="400" w:lineRule="exact"/>
        <w:ind w:firstLine="480" w:firstLineChars="200"/>
        <w:jc w:val="left"/>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5.2.4.</w:t>
      </w:r>
      <w:r>
        <w:rPr>
          <w:rFonts w:hint="eastAsia" w:hAnsi="宋体" w:eastAsia="宋体" w:cs="宋体"/>
          <w:color w:val="000000" w:themeColor="text1"/>
          <w:sz w:val="24"/>
          <w:szCs w:val="24"/>
          <w14:textFill>
            <w14:solidFill>
              <w14:schemeClr w14:val="tx1"/>
            </w14:solidFill>
          </w14:textFill>
        </w:rPr>
        <w:t>泄密责任：</w:t>
      </w:r>
      <w:r>
        <w:rPr>
          <w:rFonts w:hAnsi="宋体" w:eastAsia="宋体" w:cs="宋体"/>
          <w:color w:val="000000" w:themeColor="text1"/>
          <w:sz w:val="24"/>
          <w:szCs w:val="24"/>
          <w14:textFill>
            <w14:solidFill>
              <w14:schemeClr w14:val="tx1"/>
            </w14:solidFill>
          </w14:textFill>
        </w:rPr>
        <w:t xml:space="preserve"> </w:t>
      </w:r>
    </w:p>
    <w:p w14:paraId="5D1C6FB2">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第六条</w:t>
      </w:r>
      <w:r>
        <w:rPr>
          <w:rFonts w:hAnsi="宋体" w:eastAsia="宋体" w:cs="宋体"/>
          <w:color w:val="000000" w:themeColor="text1"/>
          <w:sz w:val="24"/>
          <w:szCs w:val="24"/>
          <w14:textFill>
            <w14:solidFill>
              <w14:schemeClr w14:val="tx1"/>
            </w14:solidFill>
          </w14:textFill>
        </w:rPr>
        <w:t xml:space="preserve"> 本合同的变更必须由双方协商一致，并以书面形式确定。</w:t>
      </w:r>
    </w:p>
    <w:p w14:paraId="64F8262A">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第七条</w:t>
      </w:r>
      <w:r>
        <w:rPr>
          <w:rFonts w:hAnsi="宋体" w:eastAsia="宋体" w:cs="宋体"/>
          <w:color w:val="000000" w:themeColor="text1"/>
          <w:sz w:val="24"/>
          <w:szCs w:val="24"/>
          <w14:textFill>
            <w14:solidFill>
              <w14:schemeClr w14:val="tx1"/>
            </w14:solidFill>
          </w14:textFill>
        </w:rPr>
        <w:t xml:space="preserve"> 双方确定以下列标准和方式对乙方的技术服务工作成果进行验收：</w:t>
      </w:r>
    </w:p>
    <w:p w14:paraId="41CCEF22">
      <w:pPr>
        <w:pStyle w:val="14"/>
        <w:spacing w:before="120" w:after="120" w:line="400" w:lineRule="exact"/>
        <w:ind w:firstLine="600" w:firstLineChars="25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．乙方完成技术服务工作的形式：</w:t>
      </w:r>
    </w:p>
    <w:p w14:paraId="685CC276">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 2</w:t>
      </w:r>
      <w:r>
        <w:rPr>
          <w:rFonts w:hint="eastAsia" w:hAnsi="宋体" w:eastAsia="宋体" w:cs="宋体"/>
          <w:color w:val="000000" w:themeColor="text1"/>
          <w:sz w:val="24"/>
          <w:szCs w:val="24"/>
          <w14:textFill>
            <w14:solidFill>
              <w14:schemeClr w14:val="tx1"/>
            </w14:solidFill>
          </w14:textFill>
        </w:rPr>
        <w:t>．技术服务工作成果的验收标准：</w:t>
      </w:r>
    </w:p>
    <w:p w14:paraId="0706374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 3</w:t>
      </w:r>
      <w:r>
        <w:rPr>
          <w:rFonts w:hint="eastAsia" w:hAnsi="宋体" w:eastAsia="宋体" w:cs="宋体"/>
          <w:color w:val="000000" w:themeColor="text1"/>
          <w:sz w:val="24"/>
          <w:szCs w:val="24"/>
          <w14:textFill>
            <w14:solidFill>
              <w14:schemeClr w14:val="tx1"/>
            </w14:solidFill>
          </w14:textFill>
        </w:rPr>
        <w:t>．技术服务工作成果的验收方法：</w:t>
      </w:r>
    </w:p>
    <w:p w14:paraId="37C4B01C">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 4</w:t>
      </w:r>
      <w:r>
        <w:rPr>
          <w:rFonts w:hint="eastAsia" w:hAnsi="宋体" w:eastAsia="宋体" w:cs="宋体"/>
          <w:color w:val="000000" w:themeColor="text1"/>
          <w:sz w:val="24"/>
          <w:szCs w:val="24"/>
          <w14:textFill>
            <w14:solidFill>
              <w14:schemeClr w14:val="tx1"/>
            </w14:solidFill>
          </w14:textFill>
        </w:rPr>
        <w:t>．验收的时间和地点：</w:t>
      </w:r>
    </w:p>
    <w:p w14:paraId="3B8249B7">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第八条</w:t>
      </w:r>
      <w:r>
        <w:rPr>
          <w:rFonts w:hAnsi="宋体" w:eastAsia="宋体" w:cs="宋体"/>
          <w:color w:val="000000" w:themeColor="text1"/>
          <w:sz w:val="24"/>
          <w:szCs w:val="24"/>
          <w14:textFill>
            <w14:solidFill>
              <w14:schemeClr w14:val="tx1"/>
            </w14:solidFill>
          </w14:textFill>
        </w:rPr>
        <w:t xml:space="preserve"> 知识产权</w:t>
      </w:r>
      <w:r>
        <w:rPr>
          <w:rFonts w:hint="eastAsia" w:hAnsi="宋体" w:eastAsia="宋体" w:cs="宋体"/>
          <w:color w:val="000000" w:themeColor="text1"/>
          <w:sz w:val="24"/>
          <w:szCs w:val="24"/>
          <w14:textFill>
            <w14:solidFill>
              <w14:schemeClr w14:val="tx1"/>
            </w14:solidFill>
          </w14:textFill>
        </w:rPr>
        <w:t>归属</w:t>
      </w:r>
      <w:r>
        <w:rPr>
          <w:rFonts w:hAnsi="宋体" w:eastAsia="宋体" w:cs="宋体"/>
          <w:color w:val="000000" w:themeColor="text1"/>
          <w:sz w:val="24"/>
          <w:szCs w:val="24"/>
          <w14:textFill>
            <w14:solidFill>
              <w14:schemeClr w14:val="tx1"/>
            </w14:solidFill>
          </w14:textFill>
        </w:rPr>
        <w:t>：</w:t>
      </w:r>
    </w:p>
    <w:p w14:paraId="59FAAE9D">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14:paraId="4C171233">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w:t>
      </w:r>
      <w:r>
        <w:rPr>
          <w:rFonts w:hint="eastAsia" w:hAnsi="宋体" w:eastAsia="宋体" w:cs="宋体"/>
          <w:color w:val="000000" w:themeColor="text1"/>
          <w:sz w:val="24"/>
          <w:szCs w:val="24"/>
          <w14:textFill>
            <w14:solidFill>
              <w14:schemeClr w14:val="tx1"/>
            </w14:solidFill>
          </w14:textFill>
        </w:rPr>
        <w:t>．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14:paraId="6EAE0E79">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第九条</w:t>
      </w:r>
      <w:r>
        <w:rPr>
          <w:rFonts w:hAnsi="宋体" w:eastAsia="宋体" w:cs="宋体"/>
          <w:color w:val="000000" w:themeColor="text1"/>
          <w:sz w:val="24"/>
          <w:szCs w:val="24"/>
          <w14:textFill>
            <w14:solidFill>
              <w14:schemeClr w14:val="tx1"/>
            </w14:solidFill>
          </w14:textFill>
        </w:rPr>
        <w:t xml:space="preserve"> 双方确定，按以下约定承担各自的违约责任：</w:t>
      </w:r>
    </w:p>
    <w:p w14:paraId="2259A537">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 甲方无故逾期</w:t>
      </w:r>
      <w:r>
        <w:rPr>
          <w:rFonts w:hint="eastAsia" w:hAnsi="宋体" w:eastAsia="宋体" w:cs="宋体"/>
          <w:color w:val="000000" w:themeColor="text1"/>
          <w:sz w:val="24"/>
          <w:szCs w:val="24"/>
          <w14:textFill>
            <w14:solidFill>
              <w14:schemeClr w14:val="tx1"/>
            </w14:solidFill>
          </w14:textFill>
        </w:rPr>
        <w:t>支付服务费的</w:t>
      </w:r>
      <w:r>
        <w:rPr>
          <w:rFonts w:hAnsi="宋体" w:eastAsia="宋体" w:cs="宋体"/>
          <w:color w:val="000000" w:themeColor="text1"/>
          <w:sz w:val="24"/>
          <w:szCs w:val="24"/>
          <w14:textFill>
            <w14:solidFill>
              <w14:schemeClr w14:val="tx1"/>
            </w14:solidFill>
          </w14:textFill>
        </w:rPr>
        <w:t>,甲方应按逾期付款总额每日</w:t>
      </w:r>
      <w:r>
        <w:rPr>
          <w:rFonts w:hint="eastAsia" w:hAnsi="宋体" w:eastAsia="宋体" w:cs="宋体"/>
          <w:color w:val="000000" w:themeColor="text1"/>
          <w:sz w:val="24"/>
          <w:szCs w:val="24"/>
          <w14:textFill>
            <w14:solidFill>
              <w14:schemeClr w14:val="tx1"/>
            </w14:solidFill>
          </w14:textFill>
        </w:rPr>
        <w:t>万</w:t>
      </w:r>
      <w:r>
        <w:rPr>
          <w:rFonts w:hAnsi="宋体" w:eastAsia="宋体" w:cs="宋体"/>
          <w:color w:val="000000" w:themeColor="text1"/>
          <w:sz w:val="24"/>
          <w:szCs w:val="24"/>
          <w14:textFill>
            <w14:solidFill>
              <w14:schemeClr w14:val="tx1"/>
            </w14:solidFill>
          </w14:textFill>
        </w:rPr>
        <w:t>分之五向乙方支付违约金。</w:t>
      </w:r>
      <w:r>
        <w:rPr>
          <w:rFonts w:hint="eastAsia" w:hAnsi="宋体" w:eastAsia="宋体" w:cs="宋体"/>
          <w:color w:val="000000" w:themeColor="text1"/>
          <w:sz w:val="24"/>
          <w:szCs w:val="24"/>
          <w14:textFill>
            <w14:solidFill>
              <w14:schemeClr w14:val="tx1"/>
            </w14:solidFill>
          </w14:textFill>
        </w:rPr>
        <w:t>非因甲方原因未及时付款，包括但不仅限于乙方未验收合格、未开具合格的发票，甲方不承担违约责任。</w:t>
      </w:r>
    </w:p>
    <w:p w14:paraId="2CBD139F">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 乙方逾期交付</w:t>
      </w:r>
      <w:r>
        <w:rPr>
          <w:rFonts w:hint="eastAsia" w:hAnsi="宋体" w:eastAsia="宋体" w:cs="宋体"/>
          <w:color w:val="000000" w:themeColor="text1"/>
          <w:sz w:val="24"/>
          <w:szCs w:val="24"/>
          <w14:textFill>
            <w14:solidFill>
              <w14:schemeClr w14:val="tx1"/>
            </w14:solidFill>
          </w14:textFill>
        </w:rPr>
        <w:t>服务成果</w:t>
      </w:r>
      <w:r>
        <w:rPr>
          <w:rFonts w:hAnsi="宋体" w:eastAsia="宋体" w:cs="宋体"/>
          <w:color w:val="000000" w:themeColor="text1"/>
          <w:sz w:val="24"/>
          <w:szCs w:val="24"/>
          <w14:textFill>
            <w14:solidFill>
              <w14:schemeClr w14:val="tx1"/>
            </w14:solidFill>
          </w14:textFill>
        </w:rPr>
        <w:t>的，乙方应按</w:t>
      </w:r>
      <w:r>
        <w:rPr>
          <w:rFonts w:hint="eastAsia" w:hAnsi="宋体" w:eastAsia="宋体" w:cs="宋体"/>
          <w:color w:val="000000" w:themeColor="text1"/>
          <w:sz w:val="24"/>
          <w:szCs w:val="24"/>
          <w14:textFill>
            <w14:solidFill>
              <w14:schemeClr w14:val="tx1"/>
            </w14:solidFill>
          </w14:textFill>
        </w:rPr>
        <w:t>本合同总金额的</w:t>
      </w:r>
      <w:r>
        <w:rPr>
          <w:rFonts w:hAnsi="宋体" w:eastAsia="宋体" w:cs="宋体"/>
          <w:color w:val="000000" w:themeColor="text1"/>
          <w:sz w:val="24"/>
          <w:szCs w:val="24"/>
          <w14:textFill>
            <w14:solidFill>
              <w14:schemeClr w14:val="tx1"/>
            </w14:solidFill>
          </w14:textFill>
        </w:rPr>
        <w:t>每日</w:t>
      </w:r>
      <w:r>
        <w:rPr>
          <w:rFonts w:hint="eastAsia" w:hAnsi="宋体" w:eastAsia="宋体" w:cs="宋体"/>
          <w:color w:val="000000" w:themeColor="text1"/>
          <w:sz w:val="24"/>
          <w:szCs w:val="24"/>
          <w14:textFill>
            <w14:solidFill>
              <w14:schemeClr w14:val="tx1"/>
            </w14:solidFill>
          </w14:textFill>
        </w:rPr>
        <w:t>万</w:t>
      </w:r>
      <w:r>
        <w:rPr>
          <w:rFonts w:hAnsi="宋体" w:eastAsia="宋体" w:cs="宋体"/>
          <w:color w:val="000000" w:themeColor="text1"/>
          <w:sz w:val="24"/>
          <w:szCs w:val="24"/>
          <w14:textFill>
            <w14:solidFill>
              <w14:schemeClr w14:val="tx1"/>
            </w14:solidFill>
          </w14:textFill>
        </w:rPr>
        <w:t>分之</w:t>
      </w:r>
      <w:r>
        <w:rPr>
          <w:rFonts w:hint="eastAsia" w:hAnsi="宋体" w:eastAsia="宋体" w:cs="宋体"/>
          <w:color w:val="000000" w:themeColor="text1"/>
          <w:sz w:val="24"/>
          <w:szCs w:val="24"/>
          <w14:textFill>
            <w14:solidFill>
              <w14:schemeClr w14:val="tx1"/>
            </w14:solidFill>
          </w14:textFill>
        </w:rPr>
        <w:t>五</w:t>
      </w:r>
      <w:r>
        <w:rPr>
          <w:rFonts w:hAnsi="宋体" w:eastAsia="宋体" w:cs="宋体"/>
          <w:color w:val="000000" w:themeColor="text1"/>
          <w:sz w:val="24"/>
          <w:szCs w:val="24"/>
          <w14:textFill>
            <w14:solidFill>
              <w14:schemeClr w14:val="tx1"/>
            </w14:solidFill>
          </w14:textFill>
        </w:rPr>
        <w:t>向甲方支付违约金。逾期超过约定日期10个工作日</w:t>
      </w:r>
      <w:r>
        <w:rPr>
          <w:rFonts w:hint="eastAsia" w:hAnsi="宋体" w:eastAsia="宋体" w:cs="宋体"/>
          <w:color w:val="000000" w:themeColor="text1"/>
          <w:sz w:val="24"/>
          <w:szCs w:val="24"/>
          <w14:textFill>
            <w14:solidFill>
              <w14:schemeClr w14:val="tx1"/>
            </w14:solidFill>
          </w14:textFill>
        </w:rPr>
        <w:t>仍</w:t>
      </w:r>
      <w:r>
        <w:rPr>
          <w:rFonts w:hAnsi="宋体" w:eastAsia="宋体" w:cs="宋体"/>
          <w:color w:val="000000" w:themeColor="text1"/>
          <w:sz w:val="24"/>
          <w:szCs w:val="24"/>
          <w14:textFill>
            <w14:solidFill>
              <w14:schemeClr w14:val="tx1"/>
            </w14:solidFill>
          </w14:textFill>
        </w:rPr>
        <w:t>不能</w:t>
      </w:r>
      <w:r>
        <w:rPr>
          <w:rFonts w:hint="eastAsia" w:hAnsi="宋体" w:eastAsia="宋体" w:cs="宋体"/>
          <w:color w:val="000000" w:themeColor="text1"/>
          <w:sz w:val="24"/>
          <w:szCs w:val="24"/>
          <w14:textFill>
            <w14:solidFill>
              <w14:schemeClr w14:val="tx1"/>
            </w14:solidFill>
          </w14:textFill>
        </w:rPr>
        <w:t>交付</w:t>
      </w:r>
      <w:r>
        <w:rPr>
          <w:rFonts w:hAnsi="宋体" w:eastAsia="宋体" w:cs="宋体"/>
          <w:color w:val="000000" w:themeColor="text1"/>
          <w:sz w:val="24"/>
          <w:szCs w:val="24"/>
          <w14:textFill>
            <w14:solidFill>
              <w14:schemeClr w14:val="tx1"/>
            </w14:solidFill>
          </w14:textFill>
        </w:rPr>
        <w:t>的，甲方可解除本合同。乙方因逾期</w:t>
      </w:r>
      <w:r>
        <w:rPr>
          <w:rFonts w:hint="eastAsia" w:hAnsi="宋体" w:eastAsia="宋体" w:cs="宋体"/>
          <w:color w:val="000000" w:themeColor="text1"/>
          <w:sz w:val="24"/>
          <w:szCs w:val="24"/>
          <w14:textFill>
            <w14:solidFill>
              <w14:schemeClr w14:val="tx1"/>
            </w14:solidFill>
          </w14:textFill>
        </w:rPr>
        <w:t>交付</w:t>
      </w:r>
      <w:r>
        <w:rPr>
          <w:rFonts w:hAnsi="宋体" w:eastAsia="宋体" w:cs="宋体"/>
          <w:color w:val="000000" w:themeColor="text1"/>
          <w:sz w:val="24"/>
          <w:szCs w:val="24"/>
          <w14:textFill>
            <w14:solidFill>
              <w14:schemeClr w14:val="tx1"/>
            </w14:solidFill>
          </w14:textFill>
        </w:rPr>
        <w:t>或因其他违约行为导致甲方解除合同的，乙方应向甲方</w:t>
      </w:r>
      <w:r>
        <w:rPr>
          <w:rFonts w:hint="eastAsia" w:hAnsi="宋体" w:eastAsia="宋体" w:cs="宋体"/>
          <w:color w:val="000000" w:themeColor="text1"/>
          <w:sz w:val="24"/>
          <w:szCs w:val="24"/>
          <w14:textFill>
            <w14:solidFill>
              <w14:schemeClr w14:val="tx1"/>
            </w14:solidFill>
          </w14:textFill>
        </w:rPr>
        <w:t>退还已收到的技术服务费，并向甲方</w:t>
      </w:r>
      <w:r>
        <w:rPr>
          <w:rFonts w:hAnsi="宋体" w:eastAsia="宋体" w:cs="宋体"/>
          <w:color w:val="000000" w:themeColor="text1"/>
          <w:sz w:val="24"/>
          <w:szCs w:val="24"/>
          <w14:textFill>
            <w14:solidFill>
              <w14:schemeClr w14:val="tx1"/>
            </w14:solidFill>
          </w14:textFill>
        </w:rPr>
        <w:t>支付</w:t>
      </w:r>
      <w:r>
        <w:rPr>
          <w:rFonts w:hint="eastAsia" w:hAnsi="宋体" w:eastAsia="宋体" w:cs="宋体"/>
          <w:color w:val="000000" w:themeColor="text1"/>
          <w:sz w:val="24"/>
          <w:szCs w:val="24"/>
          <w14:textFill>
            <w14:solidFill>
              <w14:schemeClr w14:val="tx1"/>
            </w14:solidFill>
          </w14:textFill>
        </w:rPr>
        <w:t>本</w:t>
      </w:r>
      <w:r>
        <w:rPr>
          <w:rFonts w:hAnsi="宋体" w:eastAsia="宋体" w:cs="宋体"/>
          <w:color w:val="000000" w:themeColor="text1"/>
          <w:sz w:val="24"/>
          <w:szCs w:val="24"/>
          <w14:textFill>
            <w14:solidFill>
              <w14:schemeClr w14:val="tx1"/>
            </w14:solidFill>
          </w14:textFill>
        </w:rPr>
        <w:t>合同总</w:t>
      </w:r>
      <w:r>
        <w:rPr>
          <w:rFonts w:hint="eastAsia" w:hAnsi="宋体" w:eastAsia="宋体" w:cs="宋体"/>
          <w:color w:val="000000" w:themeColor="text1"/>
          <w:sz w:val="24"/>
          <w:szCs w:val="24"/>
          <w14:textFill>
            <w14:solidFill>
              <w14:schemeClr w14:val="tx1"/>
            </w14:solidFill>
          </w14:textFill>
        </w:rPr>
        <w:t>金额</w:t>
      </w:r>
      <w:r>
        <w:rPr>
          <w:rFonts w:hAnsi="宋体" w:eastAsia="宋体" w:cs="宋体"/>
          <w:color w:val="000000" w:themeColor="text1"/>
          <w:sz w:val="24"/>
          <w:szCs w:val="24"/>
          <w14:textFill>
            <w14:solidFill>
              <w14:schemeClr w14:val="tx1"/>
            </w14:solidFill>
          </w14:textFill>
        </w:rPr>
        <w:t xml:space="preserve">5%的违约金，如造成甲方损失超过违约金的，超出部分由乙方继续承担赔偿责任。 </w:t>
      </w:r>
    </w:p>
    <w:p w14:paraId="009E3971">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3. </w:t>
      </w:r>
      <w:r>
        <w:rPr>
          <w:rFonts w:hint="eastAsia" w:hAnsi="宋体" w:eastAsia="宋体" w:cs="宋体"/>
          <w:color w:val="000000" w:themeColor="text1"/>
          <w:sz w:val="24"/>
          <w:szCs w:val="24"/>
          <w14:textFill>
            <w14:solidFill>
              <w14:schemeClr w14:val="tx1"/>
            </w14:solidFill>
          </w14:textFill>
        </w:rPr>
        <w:t>乙方供给甲方的设备、材料及乙方自己的施工用具，进入甲方现场后的保管，由乙方负责，乙方在甲方现场安装、调试、验收人员的安全、保险、食宿和交通由乙方全权负责。</w:t>
      </w:r>
    </w:p>
    <w:p w14:paraId="614F32A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4. </w:t>
      </w:r>
      <w:r>
        <w:rPr>
          <w:rFonts w:hint="eastAsia" w:hAnsi="宋体" w:eastAsia="宋体" w:cs="宋体"/>
          <w:color w:val="000000" w:themeColor="text1"/>
          <w:sz w:val="24"/>
          <w:szCs w:val="24"/>
          <w14:textFill>
            <w14:solidFill>
              <w14:schemeClr w14:val="tx1"/>
            </w14:solidFill>
          </w14:textFill>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eastAsia="宋体" w:cs="宋体"/>
          <w:color w:val="000000" w:themeColor="text1"/>
          <w:sz w:val="24"/>
          <w:szCs w:val="24"/>
          <w14:textFill>
            <w14:solidFill>
              <w14:schemeClr w14:val="tx1"/>
            </w14:solidFill>
          </w14:textFill>
        </w:rPr>
        <w:t>10%的违约金作为赔偿。</w:t>
      </w:r>
    </w:p>
    <w:p w14:paraId="5F008691">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5.本合同</w:t>
      </w:r>
      <w:r>
        <w:rPr>
          <w:rFonts w:hint="eastAsia" w:hAnsi="宋体" w:eastAsia="宋体" w:cs="宋体"/>
          <w:color w:val="000000" w:themeColor="text1"/>
          <w:sz w:val="24"/>
          <w:szCs w:val="24"/>
          <w14:textFill>
            <w14:solidFill>
              <w14:schemeClr w14:val="tx1"/>
            </w14:solidFill>
          </w14:textFill>
        </w:rPr>
        <w:t>项下</w:t>
      </w:r>
      <w:r>
        <w:rPr>
          <w:rFonts w:hAnsi="宋体" w:eastAsia="宋体" w:cs="宋体"/>
          <w:color w:val="000000" w:themeColor="text1"/>
          <w:sz w:val="24"/>
          <w:szCs w:val="24"/>
          <w14:textFill>
            <w14:solidFill>
              <w14:schemeClr w14:val="tx1"/>
            </w14:solidFill>
          </w14:textFill>
        </w:rPr>
        <w:t>所有</w:t>
      </w:r>
      <w:r>
        <w:rPr>
          <w:rFonts w:hint="eastAsia" w:hAnsi="宋体" w:eastAsia="宋体" w:cs="宋体"/>
          <w:color w:val="000000" w:themeColor="text1"/>
          <w:sz w:val="24"/>
          <w:szCs w:val="24"/>
          <w14:textFill>
            <w14:solidFill>
              <w14:schemeClr w14:val="tx1"/>
            </w14:solidFill>
          </w14:textFill>
        </w:rPr>
        <w:t>技术服务</w:t>
      </w:r>
      <w:r>
        <w:rPr>
          <w:rFonts w:hAnsi="宋体" w:eastAsia="宋体" w:cs="宋体"/>
          <w:color w:val="000000" w:themeColor="text1"/>
          <w:sz w:val="24"/>
          <w:szCs w:val="24"/>
          <w14:textFill>
            <w14:solidFill>
              <w14:schemeClr w14:val="tx1"/>
            </w14:solidFill>
          </w14:textFill>
        </w:rPr>
        <w:t>的内容，</w:t>
      </w:r>
      <w:r>
        <w:rPr>
          <w:rFonts w:hint="eastAsia" w:hAnsi="宋体" w:eastAsia="宋体" w:cs="宋体"/>
          <w:color w:val="000000" w:themeColor="text1"/>
          <w:sz w:val="24"/>
          <w:szCs w:val="24"/>
          <w14:textFill>
            <w14:solidFill>
              <w14:schemeClr w14:val="tx1"/>
            </w14:solidFill>
          </w14:textFill>
        </w:rPr>
        <w:t>均由乙方单独承担，不得分包或者转包给其他单位或个人，否则，甲方有权单方解除合同，并要求乙方退还已收到的技术服务费，且乙方还应向甲方支付合同总额</w:t>
      </w:r>
      <w:r>
        <w:rPr>
          <w:rFonts w:hAnsi="宋体" w:eastAsia="宋体" w:cs="宋体"/>
          <w:color w:val="000000" w:themeColor="text1"/>
          <w:sz w:val="24"/>
          <w:szCs w:val="24"/>
          <w14:textFill>
            <w14:solidFill>
              <w14:schemeClr w14:val="tx1"/>
            </w14:solidFill>
          </w14:textFill>
        </w:rPr>
        <w:t>10%的违约金作为赔偿。</w:t>
      </w:r>
    </w:p>
    <w:p w14:paraId="3AE5824E">
      <w:pPr>
        <w:pStyle w:val="14"/>
        <w:spacing w:before="120" w:after="120" w:line="400" w:lineRule="exact"/>
        <w:ind w:firstLine="480" w:firstLineChars="200"/>
        <w:rPr>
          <w:rFonts w:hint="eastAsia"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6. </w:t>
      </w:r>
      <w:r>
        <w:rPr>
          <w:rFonts w:hint="eastAsia" w:hAnsi="宋体" w:eastAsia="宋体" w:cs="宋体"/>
          <w:color w:val="000000" w:themeColor="text1"/>
          <w:sz w:val="24"/>
          <w:szCs w:val="24"/>
          <w14:textFill>
            <w14:solidFill>
              <w14:schemeClr w14:val="tx1"/>
            </w14:solidFill>
          </w14:textFill>
        </w:rPr>
        <w:t>乙方履行义务不符合合同约定，甲方有权扣减本合同总金额10%的技术服务费</w:t>
      </w:r>
      <w:r>
        <w:rPr>
          <w:rFonts w:hAnsi="宋体" w:eastAsia="宋体" w:cs="宋体"/>
          <w:color w:val="000000" w:themeColor="text1"/>
          <w:sz w:val="24"/>
          <w:szCs w:val="24"/>
          <w14:textFill>
            <w14:solidFill>
              <w14:schemeClr w14:val="tx1"/>
            </w14:solidFill>
          </w14:textFill>
        </w:rPr>
        <w:t>，尾款不足</w:t>
      </w:r>
      <w:r>
        <w:rPr>
          <w:rFonts w:hint="eastAsia" w:hAnsi="宋体" w:eastAsia="宋体" w:cs="宋体"/>
          <w:color w:val="000000" w:themeColor="text1"/>
          <w:sz w:val="24"/>
          <w:szCs w:val="24"/>
          <w14:textFill>
            <w14:solidFill>
              <w14:schemeClr w14:val="tx1"/>
            </w14:solidFill>
          </w14:textFill>
        </w:rPr>
        <w:t>10%的，乙方应当补足</w:t>
      </w:r>
      <w:r>
        <w:rPr>
          <w:rFonts w:hAnsi="宋体" w:eastAsia="宋体" w:cs="宋体"/>
          <w:color w:val="000000" w:themeColor="text1"/>
          <w:sz w:val="24"/>
          <w:szCs w:val="24"/>
          <w14:textFill>
            <w14:solidFill>
              <w14:schemeClr w14:val="tx1"/>
            </w14:solidFill>
          </w14:textFill>
        </w:rPr>
        <w:t>。</w:t>
      </w:r>
    </w:p>
    <w:p w14:paraId="7B4810F2">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乙方违反本合同第二条第6款及第八条约定的，一次性支付甲方违约金【】万元；如违约金不足以弥补甲方损失，乙方还应当赔偿给甲方造成的损失，包括但不仅限于预期利益、因维权产生的公证费、诉讼费、保全担保费、鉴定费、律师费、交通费用。</w:t>
      </w:r>
    </w:p>
    <w:p w14:paraId="5A65714E">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第十条</w:t>
      </w: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双方确定，在本合同有效期内，甲方指定</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为甲方项目联系人，乙方指定</w:t>
      </w:r>
      <w:r>
        <w:rPr>
          <w:rFonts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14:textFill>
            <w14:solidFill>
              <w14:schemeClr w14:val="tx1"/>
            </w14:solidFill>
          </w14:textFill>
        </w:rPr>
        <w:t>为乙方项目联系人。</w:t>
      </w:r>
    </w:p>
    <w:p w14:paraId="2B9DBC87">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一方变更项目联系人的，应当及时以书面形式通知另一方。未及时通知并影响本合同履行或造成损失的，应承担相应的责任。</w:t>
      </w:r>
    </w:p>
    <w:p w14:paraId="1E404E1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 </w:t>
      </w:r>
      <w:r>
        <w:rPr>
          <w:rFonts w:hint="eastAsia" w:hAnsi="宋体" w:eastAsia="宋体" w:cs="宋体"/>
          <w:b/>
          <w:color w:val="000000" w:themeColor="text1"/>
          <w:sz w:val="24"/>
          <w:szCs w:val="24"/>
          <w14:textFill>
            <w14:solidFill>
              <w14:schemeClr w14:val="tx1"/>
            </w14:solidFill>
          </w14:textFill>
        </w:rPr>
        <w:t>第十一条</w:t>
      </w:r>
      <w:r>
        <w:rPr>
          <w:rFonts w:hAnsi="宋体" w:eastAsia="宋体" w:cs="宋体"/>
          <w:b/>
          <w:color w:val="000000" w:themeColor="text1"/>
          <w:sz w:val="24"/>
          <w:szCs w:val="24"/>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不可抗力事件处理</w:t>
      </w:r>
    </w:p>
    <w:p w14:paraId="0D42B0F4">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 在合同有效期内，任何一方因不可抗力事件导致不能履行合同，则合同履行期可延长，其延长期与不可抗力影响期相同。</w:t>
      </w:r>
    </w:p>
    <w:p w14:paraId="0B9A5464">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 不可抗力事件发生后</w:t>
      </w:r>
      <w:r>
        <w:rPr>
          <w:rFonts w:hint="eastAsia" w:hAnsi="宋体" w:eastAsia="宋体" w:cs="宋体"/>
          <w:color w:val="000000" w:themeColor="text1"/>
          <w:sz w:val="24"/>
          <w:szCs w:val="24"/>
          <w14:textFill>
            <w14:solidFill>
              <w14:schemeClr w14:val="tx1"/>
            </w14:solidFill>
          </w14:textFill>
        </w:rPr>
        <w:t>，</w:t>
      </w:r>
      <w:r>
        <w:rPr>
          <w:rFonts w:hAnsi="宋体" w:eastAsia="宋体" w:cs="宋体"/>
          <w:color w:val="000000" w:themeColor="text1"/>
          <w:sz w:val="24"/>
          <w:szCs w:val="24"/>
          <w14:textFill>
            <w14:solidFill>
              <w14:schemeClr w14:val="tx1"/>
            </w14:solidFill>
          </w14:textFill>
        </w:rPr>
        <w:t>应立即通知对方，并寄送有关权威机构出具的证明。</w:t>
      </w:r>
    </w:p>
    <w:p w14:paraId="231B5628">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3. 不可抗力事件延续30天以上，双方应通过友好协商，</w:t>
      </w:r>
      <w:r>
        <w:rPr>
          <w:rFonts w:hint="eastAsia" w:hAnsi="宋体" w:eastAsia="宋体" w:cs="宋体"/>
          <w:color w:val="000000" w:themeColor="text1"/>
          <w:sz w:val="24"/>
          <w:szCs w:val="24"/>
          <w14:textFill>
            <w14:solidFill>
              <w14:schemeClr w14:val="tx1"/>
            </w14:solidFill>
          </w14:textFill>
        </w:rPr>
        <w:t>书面</w:t>
      </w:r>
      <w:r>
        <w:rPr>
          <w:rFonts w:hAnsi="宋体" w:eastAsia="宋体" w:cs="宋体"/>
          <w:color w:val="000000" w:themeColor="text1"/>
          <w:sz w:val="24"/>
          <w:szCs w:val="24"/>
          <w14:textFill>
            <w14:solidFill>
              <w14:schemeClr w14:val="tx1"/>
            </w14:solidFill>
          </w14:textFill>
        </w:rPr>
        <w:t>确定是否继续履行合同。</w:t>
      </w:r>
    </w:p>
    <w:p w14:paraId="19AA1C3E">
      <w:pPr>
        <w:pStyle w:val="14"/>
        <w:spacing w:before="120" w:after="120" w:line="400" w:lineRule="exact"/>
        <w:ind w:firstLine="482" w:firstLineChars="200"/>
        <w:rPr>
          <w:rFonts w:hAnsi="宋体" w:eastAsia="宋体" w:cs="宋体"/>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第十二条</w:t>
      </w:r>
      <w:r>
        <w:rPr>
          <w:rFonts w:hAnsi="宋体" w:eastAsia="宋体" w:cs="宋体"/>
          <w:b/>
          <w:color w:val="000000" w:themeColor="text1"/>
          <w:sz w:val="24"/>
          <w:szCs w:val="24"/>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诉讼</w:t>
      </w:r>
      <w:r>
        <w:rPr>
          <w:rFonts w:hint="eastAsia" w:hAnsi="宋体" w:eastAsia="宋体" w:cs="宋体"/>
          <w:color w:val="000000" w:themeColor="text1"/>
          <w:sz w:val="24"/>
          <w:szCs w:val="24"/>
          <w14:textFill>
            <w14:solidFill>
              <w14:schemeClr w14:val="tx1"/>
            </w14:solidFill>
          </w14:textFill>
        </w:rPr>
        <w:t>条款</w:t>
      </w:r>
    </w:p>
    <w:p w14:paraId="241E05C3">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双方在执行合同中所发生的一切争议，应通过协商解决。如协商不成，向</w:t>
      </w:r>
      <w:r>
        <w:rPr>
          <w:rFonts w:hint="eastAsia" w:hAnsi="宋体" w:eastAsia="宋体" w:cs="宋体"/>
          <w:color w:val="000000" w:themeColor="text1"/>
          <w:sz w:val="24"/>
          <w:szCs w:val="24"/>
          <w14:textFill>
            <w14:solidFill>
              <w14:schemeClr w14:val="tx1"/>
            </w14:solidFill>
          </w14:textFill>
        </w:rPr>
        <w:t>甲方所在地的人民法院提起诉讼。因诉讼或仲裁产生的相关费用及开支（包括但不限于公证费、诉讼费、保全担保费、鉴定费、律师费、交通费用）均由败诉方承担。</w:t>
      </w:r>
    </w:p>
    <w:p w14:paraId="776C51AD">
      <w:pPr>
        <w:pStyle w:val="14"/>
        <w:spacing w:before="120" w:after="120" w:line="400" w:lineRule="exact"/>
        <w:ind w:firstLine="482" w:firstLineChars="200"/>
        <w:rPr>
          <w:rFonts w:hAnsi="宋体" w:eastAsia="宋体" w:cs="宋体"/>
          <w:b/>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第十三条</w:t>
      </w:r>
      <w:r>
        <w:rPr>
          <w:rFonts w:hAnsi="宋体" w:eastAsia="宋体" w:cs="宋体"/>
          <w:b/>
          <w:color w:val="000000" w:themeColor="text1"/>
          <w:sz w:val="24"/>
          <w:szCs w:val="24"/>
          <w14:textFill>
            <w14:solidFill>
              <w14:schemeClr w14:val="tx1"/>
            </w14:solidFill>
          </w14:textFill>
        </w:rPr>
        <w:t xml:space="preserve"> </w:t>
      </w:r>
      <w:r>
        <w:rPr>
          <w:rFonts w:hAnsi="宋体" w:eastAsia="宋体" w:cs="宋体"/>
          <w:color w:val="000000" w:themeColor="text1"/>
          <w:sz w:val="24"/>
          <w:szCs w:val="24"/>
          <w14:textFill>
            <w14:solidFill>
              <w14:schemeClr w14:val="tx1"/>
            </w14:solidFill>
          </w14:textFill>
        </w:rPr>
        <w:t>合同生效及其它</w:t>
      </w:r>
    </w:p>
    <w:p w14:paraId="4CD7C025">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  招投标文件作为合同的附件，与本合同具有同等法律效力。合同经双方法定代表人或授权委托代</w:t>
      </w:r>
      <w:r>
        <w:rPr>
          <w:rFonts w:hint="eastAsia" w:hAnsi="宋体" w:eastAsia="宋体" w:cs="宋体"/>
          <w:color w:val="000000" w:themeColor="text1"/>
          <w:sz w:val="24"/>
          <w:szCs w:val="24"/>
          <w14:textFill>
            <w14:solidFill>
              <w14:schemeClr w14:val="tx1"/>
            </w14:solidFill>
          </w14:textFill>
        </w:rPr>
        <w:t>表</w:t>
      </w:r>
      <w:r>
        <w:rPr>
          <w:rFonts w:hAnsi="宋体" w:eastAsia="宋体" w:cs="宋体"/>
          <w:color w:val="000000" w:themeColor="text1"/>
          <w:sz w:val="24"/>
          <w:szCs w:val="24"/>
          <w14:textFill>
            <w14:solidFill>
              <w14:schemeClr w14:val="tx1"/>
            </w14:solidFill>
          </w14:textFill>
        </w:rPr>
        <w:t>人签字</w:t>
      </w:r>
      <w:r>
        <w:rPr>
          <w:rFonts w:hint="eastAsia" w:hAnsi="宋体" w:eastAsia="宋体" w:cs="宋体"/>
          <w:color w:val="000000" w:themeColor="text1"/>
          <w:sz w:val="24"/>
          <w:szCs w:val="24"/>
          <w14:textFill>
            <w14:solidFill>
              <w14:schemeClr w14:val="tx1"/>
            </w14:solidFill>
          </w14:textFill>
        </w:rPr>
        <w:t>、盖章</w:t>
      </w:r>
      <w:r>
        <w:rPr>
          <w:rFonts w:hAnsi="宋体" w:eastAsia="宋体" w:cs="宋体"/>
          <w:color w:val="000000" w:themeColor="text1"/>
          <w:sz w:val="24"/>
          <w:szCs w:val="24"/>
          <w14:textFill>
            <w14:solidFill>
              <w14:schemeClr w14:val="tx1"/>
            </w14:solidFill>
          </w14:textFill>
        </w:rPr>
        <w:t>后生效。</w:t>
      </w:r>
    </w:p>
    <w:p w14:paraId="536C5F3C">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2.本合同未尽事宜，遵照《中华人民共和国民法典》有关条文执行。</w:t>
      </w:r>
    </w:p>
    <w:p w14:paraId="50344CC6">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3. 本合同正本一式</w:t>
      </w:r>
      <w:r>
        <w:rPr>
          <w:rFonts w:hint="eastAsia" w:hAnsi="宋体" w:eastAsia="宋体" w:cs="宋体"/>
          <w:color w:val="000000" w:themeColor="text1"/>
          <w:sz w:val="24"/>
          <w:szCs w:val="24"/>
          <w:lang w:val="en-US" w:eastAsia="zh-CN"/>
          <w14:textFill>
            <w14:solidFill>
              <w14:schemeClr w14:val="tx1"/>
            </w14:solidFill>
          </w14:textFill>
        </w:rPr>
        <w:t>六</w:t>
      </w:r>
      <w:r>
        <w:rPr>
          <w:rFonts w:hAnsi="宋体" w:eastAsia="宋体" w:cs="宋体"/>
          <w:color w:val="000000" w:themeColor="text1"/>
          <w:sz w:val="24"/>
          <w:szCs w:val="24"/>
          <w14:textFill>
            <w14:solidFill>
              <w14:schemeClr w14:val="tx1"/>
            </w14:solidFill>
          </w14:textFill>
        </w:rPr>
        <w:t>份，</w:t>
      </w:r>
      <w:r>
        <w:rPr>
          <w:rFonts w:hint="eastAsia" w:hAnsi="宋体" w:eastAsia="宋体" w:cs="宋体"/>
          <w:color w:val="000000" w:themeColor="text1"/>
          <w:sz w:val="24"/>
          <w:szCs w:val="24"/>
          <w14:textFill>
            <w14:solidFill>
              <w14:schemeClr w14:val="tx1"/>
            </w14:solidFill>
          </w14:textFill>
        </w:rPr>
        <w:t>甲方</w:t>
      </w:r>
      <w:r>
        <w:rPr>
          <w:rFonts w:hint="eastAsia" w:hAnsi="宋体" w:eastAsia="宋体" w:cs="宋体"/>
          <w:color w:val="000000" w:themeColor="text1"/>
          <w:sz w:val="24"/>
          <w:szCs w:val="24"/>
          <w:lang w:val="en-US" w:eastAsia="zh-CN"/>
          <w14:textFill>
            <w14:solidFill>
              <w14:schemeClr w14:val="tx1"/>
            </w14:solidFill>
          </w14:textFill>
        </w:rPr>
        <w:t>伍</w:t>
      </w:r>
      <w:r>
        <w:rPr>
          <w:rFonts w:hint="eastAsia" w:hAnsi="宋体" w:eastAsia="宋体" w:cs="宋体"/>
          <w:color w:val="000000" w:themeColor="text1"/>
          <w:sz w:val="24"/>
          <w:szCs w:val="24"/>
          <w14:textFill>
            <w14:solidFill>
              <w14:schemeClr w14:val="tx1"/>
            </w14:solidFill>
          </w14:textFill>
        </w:rPr>
        <w:t>份，乙方壹份，</w:t>
      </w:r>
      <w:r>
        <w:rPr>
          <w:rFonts w:hAnsi="宋体" w:eastAsia="宋体" w:cs="宋体"/>
          <w:color w:val="000000" w:themeColor="text1"/>
          <w:sz w:val="24"/>
          <w:szCs w:val="24"/>
          <w14:textFill>
            <w14:solidFill>
              <w14:schemeClr w14:val="tx1"/>
            </w14:solidFill>
          </w14:textFill>
        </w:rPr>
        <w:t>具有同等法律效力。</w:t>
      </w:r>
    </w:p>
    <w:p w14:paraId="2BBD9F1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p>
    <w:p w14:paraId="42DD08B4">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甲方： </w:t>
      </w:r>
      <w:r>
        <w:rPr>
          <w:rFonts w:hint="eastAsia" w:hAnsi="宋体" w:eastAsia="宋体" w:cs="宋体"/>
          <w:color w:val="000000" w:themeColor="text1"/>
          <w:sz w:val="24"/>
          <w:szCs w:val="24"/>
          <w14:textFill>
            <w14:solidFill>
              <w14:schemeClr w14:val="tx1"/>
            </w14:solidFill>
          </w14:textFill>
        </w:rPr>
        <w:t>南京医科大学</w:t>
      </w:r>
      <w:r>
        <w:rPr>
          <w:rFonts w:hAnsi="宋体" w:eastAsia="宋体" w:cs="宋体"/>
          <w:color w:val="000000" w:themeColor="text1"/>
          <w:sz w:val="24"/>
          <w:szCs w:val="24"/>
          <w14:textFill>
            <w14:solidFill>
              <w14:schemeClr w14:val="tx1"/>
            </w14:solidFill>
          </w14:textFill>
        </w:rPr>
        <w:t xml:space="preserve">             乙方： </w:t>
      </w:r>
    </w:p>
    <w:p w14:paraId="43DCC85A">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地址：                          地址： </w:t>
      </w:r>
    </w:p>
    <w:p w14:paraId="62159A48">
      <w:pPr>
        <w:pStyle w:val="14"/>
        <w:spacing w:before="120" w:after="120" w:line="400" w:lineRule="exact"/>
        <w:ind w:firstLine="480" w:firstLineChars="200"/>
        <w:rPr>
          <w:rFonts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法定代表人</w:t>
      </w:r>
      <w:r>
        <w:rPr>
          <w:rFonts w:hint="eastAsia" w:hAnsi="宋体" w:eastAsia="宋体" w:cs="宋体"/>
          <w:color w:val="000000" w:themeColor="text1"/>
          <w:sz w:val="24"/>
          <w:szCs w:val="24"/>
          <w14:textFill>
            <w14:solidFill>
              <w14:schemeClr w14:val="tx1"/>
            </w14:solidFill>
          </w14:textFill>
        </w:rPr>
        <w:t>或授权代表</w:t>
      </w:r>
      <w:r>
        <w:rPr>
          <w:rFonts w:hAnsi="宋体" w:eastAsia="宋体" w:cs="宋体"/>
          <w:color w:val="000000" w:themeColor="text1"/>
          <w:sz w:val="24"/>
          <w:szCs w:val="24"/>
          <w14:textFill>
            <w14:solidFill>
              <w14:schemeClr w14:val="tx1"/>
            </w14:solidFill>
          </w14:textFill>
        </w:rPr>
        <w:t>：          法定代表人</w:t>
      </w:r>
      <w:r>
        <w:rPr>
          <w:rFonts w:hint="eastAsia" w:hAnsi="宋体" w:eastAsia="宋体" w:cs="宋体"/>
          <w:color w:val="000000" w:themeColor="text1"/>
          <w:sz w:val="24"/>
          <w:szCs w:val="24"/>
          <w14:textFill>
            <w14:solidFill>
              <w14:schemeClr w14:val="tx1"/>
            </w14:solidFill>
          </w14:textFill>
        </w:rPr>
        <w:t>或授权代表</w:t>
      </w:r>
      <w:r>
        <w:rPr>
          <w:rFonts w:hAnsi="宋体" w:eastAsia="宋体" w:cs="宋体"/>
          <w:color w:val="000000" w:themeColor="text1"/>
          <w:sz w:val="24"/>
          <w:szCs w:val="24"/>
          <w14:textFill>
            <w14:solidFill>
              <w14:schemeClr w14:val="tx1"/>
            </w14:solidFill>
          </w14:textFill>
        </w:rPr>
        <w:t>：</w:t>
      </w:r>
    </w:p>
    <w:p w14:paraId="654B8556">
      <w:pPr>
        <w:widowControl w:val="0"/>
        <w:adjustRightInd/>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ascii="宋体" w:hAnsi="宋体" w:eastAsia="宋体" w:cs="宋体"/>
          <w:color w:val="000000" w:themeColor="text1"/>
          <w:sz w:val="24"/>
          <w:szCs w:val="24"/>
          <w14:textFill>
            <w14:solidFill>
              <w14:schemeClr w14:val="tx1"/>
            </w14:solidFill>
          </w14:textFill>
        </w:rPr>
        <w:t xml:space="preserve">      </w:t>
      </w:r>
    </w:p>
    <w:p w14:paraId="55A508E3">
      <w:pPr>
        <w:pStyle w:val="2"/>
        <w:pageBreakBefore/>
        <w:spacing w:line="360" w:lineRule="auto"/>
        <w:rPr>
          <w:rFonts w:asciiTheme="majorEastAsia" w:hAnsiTheme="majorEastAsia" w:eastAsiaTheme="majorEastAsia" w:cstheme="minorBidi"/>
          <w:b/>
          <w:color w:val="000000" w:themeColor="text1"/>
          <w:kern w:val="0"/>
          <w:sz w:val="36"/>
          <w:szCs w:val="36"/>
          <w14:textFill>
            <w14:solidFill>
              <w14:schemeClr w14:val="tx1"/>
            </w14:solidFill>
          </w14:textFill>
        </w:rPr>
      </w:pPr>
      <w:bookmarkStart w:id="64" w:name="_Toc19271"/>
      <w:r>
        <w:rPr>
          <w:rFonts w:hint="eastAsia" w:asciiTheme="majorEastAsia" w:hAnsiTheme="majorEastAsia" w:eastAsiaTheme="majorEastAsia" w:cstheme="minorBidi"/>
          <w:b/>
          <w:color w:val="000000" w:themeColor="text1"/>
          <w:kern w:val="0"/>
          <w:sz w:val="32"/>
          <w:szCs w:val="32"/>
          <w14:textFill>
            <w14:solidFill>
              <w14:schemeClr w14:val="tx1"/>
            </w14:solidFill>
          </w14:textFill>
        </w:rPr>
        <w:t>第六章  投标文件格式</w:t>
      </w:r>
      <w:bookmarkEnd w:id="62"/>
      <w:bookmarkEnd w:id="63"/>
      <w:bookmarkEnd w:id="64"/>
      <w:r>
        <w:rPr>
          <w:rFonts w:hint="eastAsia" w:asciiTheme="majorEastAsia" w:hAnsiTheme="majorEastAsia" w:eastAsiaTheme="majorEastAsia" w:cstheme="minorBidi"/>
          <w:b/>
          <w:color w:val="000000" w:themeColor="text1"/>
          <w:kern w:val="0"/>
          <w:sz w:val="36"/>
          <w:szCs w:val="36"/>
          <w14:textFill>
            <w14:solidFill>
              <w14:schemeClr w14:val="tx1"/>
            </w14:solidFill>
          </w14:textFill>
        </w:rPr>
        <w:t xml:space="preserve"> </w:t>
      </w:r>
    </w:p>
    <w:p w14:paraId="16885AE8">
      <w:pPr>
        <w:spacing w:line="360" w:lineRule="auto"/>
        <w:jc w:val="center"/>
        <w:rPr>
          <w:rFonts w:asciiTheme="majorEastAsia" w:hAnsiTheme="majorEastAsia" w:eastAsiaTheme="majorEastAsia"/>
          <w:b/>
          <w:color w:val="000000" w:themeColor="text1"/>
          <w:sz w:val="36"/>
          <w:szCs w:val="36"/>
          <w14:textFill>
            <w14:solidFill>
              <w14:schemeClr w14:val="tx1"/>
            </w14:solidFill>
          </w14:textFill>
        </w:rPr>
      </w:pPr>
      <w:bookmarkStart w:id="65" w:name="_Hlt26955039"/>
      <w:bookmarkEnd w:id="65"/>
      <w:bookmarkStart w:id="66" w:name="_Hlt26671244"/>
      <w:bookmarkEnd w:id="66"/>
      <w:bookmarkStart w:id="67" w:name="_Toc26554094"/>
      <w:bookmarkStart w:id="68" w:name="_Toc120614282"/>
      <w:bookmarkStart w:id="69" w:name="_Toc49090576"/>
    </w:p>
    <w:p w14:paraId="50215ABE">
      <w:pPr>
        <w:spacing w:line="360" w:lineRule="auto"/>
        <w:jc w:val="center"/>
        <w:rPr>
          <w:rFonts w:ascii="微软雅黑" w:hAnsi="微软雅黑" w:cs="微软雅黑"/>
          <w:b/>
          <w:color w:val="000000" w:themeColor="text1"/>
          <w:sz w:val="44"/>
          <w:szCs w:val="44"/>
          <w14:textFill>
            <w14:solidFill>
              <w14:schemeClr w14:val="tx1"/>
            </w14:solidFill>
          </w14:textFill>
        </w:rPr>
      </w:pPr>
      <w:r>
        <w:rPr>
          <w:rFonts w:hint="eastAsia" w:ascii="微软雅黑" w:hAnsi="微软雅黑" w:cs="微软雅黑"/>
          <w:b/>
          <w:color w:val="000000" w:themeColor="text1"/>
          <w:sz w:val="44"/>
          <w:szCs w:val="44"/>
          <w14:textFill>
            <w14:solidFill>
              <w14:schemeClr w14:val="tx1"/>
            </w14:solidFill>
          </w14:textFill>
        </w:rPr>
        <w:t>投  标  文  件</w:t>
      </w:r>
    </w:p>
    <w:p w14:paraId="2124DFA4">
      <w:pPr>
        <w:spacing w:line="360" w:lineRule="auto"/>
        <w:jc w:val="center"/>
        <w:rPr>
          <w:rFonts w:ascii="宋体" w:hAnsi="宋体" w:eastAsia="宋体" w:cs="宋体"/>
          <w:b/>
          <w:color w:val="000000" w:themeColor="text1"/>
          <w:sz w:val="24"/>
          <w:szCs w:val="24"/>
          <w14:textFill>
            <w14:solidFill>
              <w14:schemeClr w14:val="tx1"/>
            </w14:solidFill>
          </w14:textFill>
        </w:rPr>
      </w:pPr>
    </w:p>
    <w:p w14:paraId="5E9904AA">
      <w:pPr>
        <w:spacing w:line="360" w:lineRule="auto"/>
        <w:jc w:val="center"/>
        <w:rPr>
          <w:rFonts w:ascii="宋体" w:hAnsi="宋体" w:eastAsia="宋体" w:cs="宋体"/>
          <w:b/>
          <w:color w:val="000000" w:themeColor="text1"/>
          <w:sz w:val="24"/>
          <w:szCs w:val="24"/>
          <w14:textFill>
            <w14:solidFill>
              <w14:schemeClr w14:val="tx1"/>
            </w14:solidFill>
          </w14:textFill>
        </w:rPr>
      </w:pPr>
    </w:p>
    <w:p w14:paraId="7535A92A">
      <w:pPr>
        <w:spacing w:line="360" w:lineRule="auto"/>
        <w:jc w:val="center"/>
        <w:rPr>
          <w:rFonts w:ascii="宋体" w:hAnsi="宋体" w:eastAsia="宋体" w:cs="宋体"/>
          <w:b/>
          <w:color w:val="000000" w:themeColor="text1"/>
          <w:sz w:val="24"/>
          <w:szCs w:val="24"/>
          <w14:textFill>
            <w14:solidFill>
              <w14:schemeClr w14:val="tx1"/>
            </w14:solidFill>
          </w14:textFill>
        </w:rPr>
      </w:pPr>
    </w:p>
    <w:p w14:paraId="1125C38B">
      <w:pPr>
        <w:spacing w:line="360" w:lineRule="auto"/>
        <w:jc w:val="center"/>
        <w:rPr>
          <w:rFonts w:ascii="宋体" w:hAnsi="宋体" w:eastAsia="宋体" w:cs="宋体"/>
          <w:b/>
          <w:color w:val="000000" w:themeColor="text1"/>
          <w:sz w:val="24"/>
          <w:szCs w:val="24"/>
          <w14:textFill>
            <w14:solidFill>
              <w14:schemeClr w14:val="tx1"/>
            </w14:solidFill>
          </w14:textFill>
        </w:rPr>
      </w:pPr>
    </w:p>
    <w:p w14:paraId="1629DD2C">
      <w:pPr>
        <w:spacing w:line="360" w:lineRule="auto"/>
        <w:jc w:val="center"/>
        <w:rPr>
          <w:rFonts w:ascii="宋体" w:hAnsi="宋体" w:eastAsia="宋体" w:cs="宋体"/>
          <w:b/>
          <w:color w:val="000000" w:themeColor="text1"/>
          <w:sz w:val="24"/>
          <w:szCs w:val="24"/>
          <w14:textFill>
            <w14:solidFill>
              <w14:schemeClr w14:val="tx1"/>
            </w14:solidFill>
          </w14:textFill>
        </w:rPr>
      </w:pPr>
    </w:p>
    <w:p w14:paraId="0784F9F6">
      <w:pPr>
        <w:spacing w:line="360" w:lineRule="auto"/>
        <w:ind w:firstLine="840" w:firstLineChars="300"/>
        <w:rPr>
          <w:rFonts w:ascii="微软雅黑" w:hAnsi="微软雅黑" w:cs="微软雅黑"/>
          <w:b/>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名 称：</w:t>
      </w:r>
    </w:p>
    <w:p w14:paraId="741CA600">
      <w:pPr>
        <w:spacing w:line="360" w:lineRule="auto"/>
        <w:ind w:firstLine="840" w:firstLineChars="300"/>
        <w:rPr>
          <w:rFonts w:ascii="微软雅黑" w:hAnsi="微软雅黑" w:cs="微软雅黑"/>
          <w:b/>
          <w:color w:val="000000" w:themeColor="text1"/>
          <w:sz w:val="28"/>
          <w:szCs w:val="28"/>
          <w:u w:val="single"/>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编 号：</w:t>
      </w:r>
    </w:p>
    <w:p w14:paraId="2E8D4A44">
      <w:pPr>
        <w:spacing w:line="360" w:lineRule="auto"/>
        <w:rPr>
          <w:rFonts w:ascii="微软雅黑" w:hAnsi="微软雅黑" w:cs="微软雅黑"/>
          <w:b/>
          <w:color w:val="000000" w:themeColor="text1"/>
          <w:sz w:val="28"/>
          <w:szCs w:val="28"/>
          <w:u w:val="single"/>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 xml:space="preserve">          投标人名称 ：</w:t>
      </w:r>
    </w:p>
    <w:p w14:paraId="7EB18031">
      <w:pPr>
        <w:spacing w:line="360" w:lineRule="auto"/>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 xml:space="preserve">     </w:t>
      </w:r>
    </w:p>
    <w:p w14:paraId="2742079A">
      <w:pPr>
        <w:spacing w:line="360" w:lineRule="auto"/>
        <w:rPr>
          <w:rFonts w:ascii="微软雅黑" w:hAnsi="微软雅黑" w:cs="微软雅黑"/>
          <w:b/>
          <w:color w:val="000000" w:themeColor="text1"/>
          <w:sz w:val="28"/>
          <w:szCs w:val="28"/>
          <w14:textFill>
            <w14:solidFill>
              <w14:schemeClr w14:val="tx1"/>
            </w14:solidFill>
          </w14:textFill>
        </w:rPr>
      </w:pPr>
    </w:p>
    <w:p w14:paraId="431198D8">
      <w:pPr>
        <w:spacing w:line="360" w:lineRule="auto"/>
        <w:rPr>
          <w:rFonts w:ascii="微软雅黑" w:hAnsi="微软雅黑" w:cs="微软雅黑"/>
          <w:b/>
          <w:color w:val="000000" w:themeColor="text1"/>
          <w:sz w:val="28"/>
          <w:szCs w:val="28"/>
          <w14:textFill>
            <w14:solidFill>
              <w14:schemeClr w14:val="tx1"/>
            </w14:solidFill>
          </w14:textFill>
        </w:rPr>
      </w:pPr>
    </w:p>
    <w:p w14:paraId="016EB68E">
      <w:pPr>
        <w:spacing w:line="360" w:lineRule="auto"/>
        <w:jc w:val="center"/>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年    月    日</w:t>
      </w:r>
    </w:p>
    <w:p w14:paraId="7B5C5E55">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1D7A748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57DCA687">
      <w:pPr>
        <w:pStyle w:val="33"/>
        <w:ind w:firstLine="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14:paraId="2D08E7D2">
      <w:pPr>
        <w:pStyle w:val="33"/>
        <w:ind w:firstLine="0"/>
        <w:jc w:val="center"/>
        <w:rPr>
          <w:rFonts w:ascii="宋体" w:hAnsi="宋体" w:cs="宋体"/>
          <w:b/>
          <w:bCs/>
          <w:color w:val="000000" w:themeColor="text1"/>
          <w:sz w:val="36"/>
          <w:szCs w:val="36"/>
          <w14:textFill>
            <w14:solidFill>
              <w14:schemeClr w14:val="tx1"/>
            </w14:solidFill>
          </w14:textFill>
        </w:rPr>
      </w:pPr>
    </w:p>
    <w:p w14:paraId="5103F849">
      <w:pPr>
        <w:pStyle w:val="33"/>
        <w:ind w:firstLine="0"/>
        <w:jc w:val="center"/>
        <w:rPr>
          <w:rFonts w:ascii="宋体" w:hAnsi="宋体" w:cs="宋体"/>
          <w:b/>
          <w:bCs/>
          <w:color w:val="000000" w:themeColor="text1"/>
          <w:sz w:val="36"/>
          <w:szCs w:val="36"/>
          <w14:textFill>
            <w14:solidFill>
              <w14:schemeClr w14:val="tx1"/>
            </w14:solidFill>
          </w14:textFill>
        </w:rPr>
      </w:pPr>
    </w:p>
    <w:p w14:paraId="46C4C870">
      <w:pPr>
        <w:pStyle w:val="33"/>
        <w:ind w:firstLine="0"/>
        <w:jc w:val="center"/>
        <w:rPr>
          <w:rFonts w:ascii="宋体" w:hAnsi="宋体" w:cs="宋体"/>
          <w:b/>
          <w:bCs/>
          <w:color w:val="000000" w:themeColor="text1"/>
          <w:sz w:val="36"/>
          <w:szCs w:val="36"/>
          <w14:textFill>
            <w14:solidFill>
              <w14:schemeClr w14:val="tx1"/>
            </w14:solidFill>
          </w14:textFill>
        </w:rPr>
      </w:pPr>
    </w:p>
    <w:p w14:paraId="73392738">
      <w:pPr>
        <w:pStyle w:val="33"/>
        <w:ind w:firstLine="0"/>
        <w:jc w:val="center"/>
        <w:rPr>
          <w:rFonts w:ascii="宋体" w:hAnsi="宋体" w:cs="宋体"/>
          <w:b/>
          <w:bCs/>
          <w:color w:val="000000" w:themeColor="text1"/>
          <w:sz w:val="36"/>
          <w:szCs w:val="36"/>
          <w14:textFill>
            <w14:solidFill>
              <w14:schemeClr w14:val="tx1"/>
            </w14:solidFill>
          </w14:textFill>
        </w:rPr>
      </w:pPr>
    </w:p>
    <w:p w14:paraId="2447E19D">
      <w:pPr>
        <w:pStyle w:val="33"/>
        <w:ind w:firstLine="0"/>
        <w:jc w:val="center"/>
        <w:rPr>
          <w:rFonts w:ascii="宋体" w:hAnsi="宋体" w:cs="宋体"/>
          <w:b/>
          <w:bCs/>
          <w:color w:val="000000" w:themeColor="text1"/>
          <w:sz w:val="36"/>
          <w:szCs w:val="36"/>
          <w14:textFill>
            <w14:solidFill>
              <w14:schemeClr w14:val="tx1"/>
            </w14:solidFill>
          </w14:textFill>
        </w:rPr>
      </w:pPr>
    </w:p>
    <w:p w14:paraId="2B69255C">
      <w:pPr>
        <w:pStyle w:val="33"/>
        <w:ind w:firstLine="0"/>
        <w:jc w:val="center"/>
        <w:rPr>
          <w:rFonts w:ascii="宋体" w:hAnsi="宋体" w:cs="宋体"/>
          <w:b/>
          <w:bCs/>
          <w:color w:val="000000" w:themeColor="text1"/>
          <w:sz w:val="36"/>
          <w:szCs w:val="36"/>
          <w14:textFill>
            <w14:solidFill>
              <w14:schemeClr w14:val="tx1"/>
            </w14:solidFill>
          </w14:textFill>
        </w:rPr>
      </w:pPr>
    </w:p>
    <w:p w14:paraId="3865802D">
      <w:pPr>
        <w:pStyle w:val="33"/>
        <w:ind w:firstLine="0"/>
        <w:jc w:val="center"/>
        <w:rPr>
          <w:rFonts w:ascii="宋体" w:hAnsi="宋体" w:cs="宋体"/>
          <w:b/>
          <w:bCs/>
          <w:color w:val="000000" w:themeColor="text1"/>
          <w:sz w:val="36"/>
          <w:szCs w:val="36"/>
          <w14:textFill>
            <w14:solidFill>
              <w14:schemeClr w14:val="tx1"/>
            </w14:solidFill>
          </w14:textFill>
        </w:rPr>
      </w:pPr>
    </w:p>
    <w:p w14:paraId="7C1DEABF">
      <w:pPr>
        <w:pStyle w:val="33"/>
        <w:ind w:firstLine="0"/>
        <w:jc w:val="center"/>
        <w:rPr>
          <w:rFonts w:ascii="宋体" w:hAnsi="宋体" w:cs="宋体"/>
          <w:b/>
          <w:bCs/>
          <w:color w:val="000000" w:themeColor="text1"/>
          <w:sz w:val="36"/>
          <w:szCs w:val="36"/>
          <w14:textFill>
            <w14:solidFill>
              <w14:schemeClr w14:val="tx1"/>
            </w14:solidFill>
          </w14:textFill>
        </w:rPr>
      </w:pPr>
    </w:p>
    <w:p w14:paraId="16FA7E29">
      <w:pPr>
        <w:pStyle w:val="33"/>
        <w:ind w:firstLine="0"/>
        <w:jc w:val="center"/>
        <w:rPr>
          <w:rFonts w:ascii="宋体" w:hAnsi="宋体" w:cs="宋体"/>
          <w:b/>
          <w:bCs/>
          <w:color w:val="000000" w:themeColor="text1"/>
          <w:sz w:val="36"/>
          <w:szCs w:val="36"/>
          <w14:textFill>
            <w14:solidFill>
              <w14:schemeClr w14:val="tx1"/>
            </w14:solidFill>
          </w14:textFill>
        </w:rPr>
      </w:pPr>
    </w:p>
    <w:p w14:paraId="53D459CD">
      <w:pPr>
        <w:pStyle w:val="33"/>
        <w:ind w:firstLine="0"/>
        <w:jc w:val="center"/>
        <w:rPr>
          <w:rFonts w:ascii="宋体" w:hAnsi="宋体" w:cs="宋体"/>
          <w:b/>
          <w:bCs/>
          <w:color w:val="000000" w:themeColor="text1"/>
          <w:sz w:val="36"/>
          <w:szCs w:val="36"/>
          <w14:textFill>
            <w14:solidFill>
              <w14:schemeClr w14:val="tx1"/>
            </w14:solidFill>
          </w14:textFill>
        </w:rPr>
      </w:pPr>
    </w:p>
    <w:p w14:paraId="47A7CC46">
      <w:pPr>
        <w:pStyle w:val="33"/>
        <w:ind w:firstLine="0"/>
        <w:jc w:val="center"/>
        <w:rPr>
          <w:rFonts w:ascii="宋体" w:hAnsi="宋体" w:cs="宋体"/>
          <w:b/>
          <w:bCs/>
          <w:color w:val="000000" w:themeColor="text1"/>
          <w:sz w:val="36"/>
          <w:szCs w:val="36"/>
          <w14:textFill>
            <w14:solidFill>
              <w14:schemeClr w14:val="tx1"/>
            </w14:solidFill>
          </w14:textFill>
        </w:rPr>
      </w:pPr>
    </w:p>
    <w:p w14:paraId="5381A23C">
      <w:pPr>
        <w:pStyle w:val="33"/>
        <w:ind w:firstLine="0"/>
        <w:jc w:val="center"/>
        <w:rPr>
          <w:rFonts w:ascii="宋体" w:hAnsi="宋体" w:cs="宋体"/>
          <w:b/>
          <w:bCs/>
          <w:color w:val="000000" w:themeColor="text1"/>
          <w:sz w:val="36"/>
          <w:szCs w:val="36"/>
          <w14:textFill>
            <w14:solidFill>
              <w14:schemeClr w14:val="tx1"/>
            </w14:solidFill>
          </w14:textFill>
        </w:rPr>
      </w:pPr>
    </w:p>
    <w:p w14:paraId="378C2708">
      <w:pPr>
        <w:pStyle w:val="33"/>
        <w:ind w:firstLine="0"/>
        <w:jc w:val="center"/>
        <w:rPr>
          <w:rFonts w:ascii="宋体" w:hAnsi="宋体" w:cs="宋体"/>
          <w:b/>
          <w:bCs/>
          <w:color w:val="000000" w:themeColor="text1"/>
          <w:sz w:val="36"/>
          <w:szCs w:val="36"/>
          <w14:textFill>
            <w14:solidFill>
              <w14:schemeClr w14:val="tx1"/>
            </w14:solidFill>
          </w14:textFill>
        </w:rPr>
      </w:pPr>
    </w:p>
    <w:p w14:paraId="7045FD6B">
      <w:pPr>
        <w:pStyle w:val="33"/>
        <w:ind w:firstLine="0"/>
        <w:jc w:val="center"/>
        <w:rPr>
          <w:rFonts w:ascii="宋体" w:hAnsi="宋体" w:cs="宋体"/>
          <w:b/>
          <w:bCs/>
          <w:color w:val="000000" w:themeColor="text1"/>
          <w:sz w:val="36"/>
          <w:szCs w:val="36"/>
          <w14:textFill>
            <w14:solidFill>
              <w14:schemeClr w14:val="tx1"/>
            </w14:solidFill>
          </w14:textFill>
        </w:rPr>
      </w:pPr>
    </w:p>
    <w:p w14:paraId="50AAB5B9">
      <w:pPr>
        <w:pStyle w:val="33"/>
        <w:ind w:firstLine="0"/>
        <w:jc w:val="both"/>
        <w:rPr>
          <w:rFonts w:ascii="宋体" w:hAnsi="宋体" w:cs="宋体"/>
          <w:b/>
          <w:bCs/>
          <w:color w:val="000000" w:themeColor="text1"/>
          <w14:textFill>
            <w14:solidFill>
              <w14:schemeClr w14:val="tx1"/>
            </w14:solidFill>
          </w14:textFill>
        </w:rPr>
      </w:pPr>
    </w:p>
    <w:p w14:paraId="637ABCB1">
      <w:pPr>
        <w:pStyle w:val="33"/>
        <w:ind w:firstLine="0"/>
        <w:jc w:val="both"/>
        <w:rPr>
          <w:rFonts w:ascii="宋体" w:hAnsi="宋体" w:cs="宋体"/>
          <w:b/>
          <w:bCs/>
          <w:color w:val="000000" w:themeColor="text1"/>
          <w14:textFill>
            <w14:solidFill>
              <w14:schemeClr w14:val="tx1"/>
            </w14:solidFill>
          </w14:textFill>
        </w:rPr>
      </w:pPr>
    </w:p>
    <w:p w14:paraId="6178C94A">
      <w:pPr>
        <w:pStyle w:val="33"/>
        <w:ind w:firstLine="0"/>
        <w:jc w:val="both"/>
        <w:rPr>
          <w:rFonts w:ascii="宋体" w:hAnsi="宋体" w:cs="宋体"/>
          <w:b/>
          <w:bCs/>
          <w:color w:val="000000" w:themeColor="text1"/>
          <w14:textFill>
            <w14:solidFill>
              <w14:schemeClr w14:val="tx1"/>
            </w14:solidFill>
          </w14:textFill>
        </w:rPr>
      </w:pPr>
    </w:p>
    <w:p w14:paraId="0BC3116F">
      <w:pPr>
        <w:pStyle w:val="33"/>
        <w:ind w:firstLine="0"/>
        <w:jc w:val="both"/>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附件一</w:t>
      </w:r>
      <w:bookmarkStart w:id="70" w:name="_Toc517190894"/>
    </w:p>
    <w:p w14:paraId="3578F386">
      <w:pPr>
        <w:pStyle w:val="33"/>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投标函</w:t>
      </w:r>
      <w:bookmarkEnd w:id="70"/>
    </w:p>
    <w:p w14:paraId="2EDCB6D2">
      <w:pPr>
        <w:pStyle w:val="33"/>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致：南京医科大学</w:t>
      </w:r>
    </w:p>
    <w:p w14:paraId="0176A2C9">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根据贵方的 </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项目（项目编号：     ）招标文件，正式授权下述签字人_____________(姓名)代表我方_____________</w:t>
      </w:r>
      <w:r>
        <w:rPr>
          <w:rFonts w:hint="eastAsia" w:ascii="宋体" w:hAnsi="宋体" w:cs="宋体"/>
          <w:color w:val="000000" w:themeColor="text1"/>
          <w:kern w:val="2"/>
          <w:u w:val="single"/>
          <w14:textFill>
            <w14:solidFill>
              <w14:schemeClr w14:val="tx1"/>
            </w14:solidFill>
          </w14:textFill>
        </w:rPr>
        <w:t xml:space="preserve">_       </w:t>
      </w:r>
      <w:r>
        <w:rPr>
          <w:rFonts w:hint="eastAsia" w:ascii="宋体" w:hAnsi="宋体" w:cs="宋体"/>
          <w:color w:val="000000" w:themeColor="text1"/>
          <w:kern w:val="2"/>
          <w14:textFill>
            <w14:solidFill>
              <w14:schemeClr w14:val="tx1"/>
            </w14:solidFill>
          </w14:textFill>
        </w:rPr>
        <w:t>（投标人的名称），全权处理本次项目投标的有关事宜。</w:t>
      </w:r>
    </w:p>
    <w:p w14:paraId="4FE6EB96">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据此函，我公司宣布同意如下：</w:t>
      </w:r>
    </w:p>
    <w:p w14:paraId="0A1463B4">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1.按招标文件规定的各项要求，向买方提供所需货物与服务。</w:t>
      </w:r>
    </w:p>
    <w:p w14:paraId="2AA5196B">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2.我们完全理解贵方不一定将合同授予最低报价的投标人。</w:t>
      </w:r>
    </w:p>
    <w:p w14:paraId="5A00CD63">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3.我们已详细审核全部招标文件及其有效补充文件，我们知道必须放弃提出含糊不清或误解问题的权利。</w:t>
      </w:r>
    </w:p>
    <w:p w14:paraId="24F259EC">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4.我们同意从规定的开标日期起遵循本投标文件，并在规定的投标有效期</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天期满之前均具有约束力。</w:t>
      </w:r>
    </w:p>
    <w:p w14:paraId="5EB2C1B4">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5.如果在开标后规定的投标有效期内撤回投标或中标后拒绝签订合同，我们的投标保证金可不予退还。</w:t>
      </w:r>
    </w:p>
    <w:p w14:paraId="1BA8592B">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6.同意向贵方提供贵方可能另外要求的与投标有关的任何证据或资料，并保证我方已提供和将要提供的文件是真实的、准确的。</w:t>
      </w:r>
    </w:p>
    <w:p w14:paraId="15EF1226">
      <w:pPr>
        <w:pStyle w:val="33"/>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7.一旦我方中标,我方将根据招标文件的规定，严格履行合同的责任和义务,并保证在招标文件规定的时间完成项目，交付买方验收、使用。</w:t>
      </w:r>
    </w:p>
    <w:p w14:paraId="5D80145A">
      <w:pPr>
        <w:pStyle w:val="33"/>
        <w:spacing w:before="0" w:after="0"/>
        <w:ind w:left="425" w:firstLine="120" w:firstLineChars="5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8.与本投标有关的正式通讯地址为：</w:t>
      </w:r>
    </w:p>
    <w:p w14:paraId="0BF56EBE">
      <w:pPr>
        <w:pStyle w:val="33"/>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地址：</w:t>
      </w:r>
    </w:p>
    <w:p w14:paraId="734A2270">
      <w:pPr>
        <w:pStyle w:val="33"/>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邮编：                           电话：</w:t>
      </w:r>
    </w:p>
    <w:p w14:paraId="14D2A0BF">
      <w:pPr>
        <w:pStyle w:val="33"/>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7C7DAF12">
      <w:pPr>
        <w:pStyle w:val="33"/>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374AF95D">
      <w:pPr>
        <w:pStyle w:val="33"/>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投标人授权代表（签字）：  </w:t>
      </w:r>
    </w:p>
    <w:p w14:paraId="5EAD5CB0">
      <w:pPr>
        <w:pStyle w:val="33"/>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法定代表人（签字）：</w:t>
      </w:r>
    </w:p>
    <w:p w14:paraId="5D55A56B">
      <w:pPr>
        <w:pStyle w:val="33"/>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投标人名称（公章）：</w:t>
      </w:r>
    </w:p>
    <w:p w14:paraId="41C43EA4">
      <w:pPr>
        <w:pStyle w:val="33"/>
        <w:spacing w:before="0" w:after="0"/>
        <w:ind w:left="440" w:leftChars="200" w:firstLine="3000" w:firstLineChars="1250"/>
        <w:rPr>
          <w:rFonts w:ascii="宋体" w:hAnsi="宋体" w:cs="宋体"/>
          <w:color w:val="000000" w:themeColor="text1"/>
          <w:kern w:val="2"/>
          <w14:textFill>
            <w14:solidFill>
              <w14:schemeClr w14:val="tx1"/>
            </w14:solidFill>
          </w14:textFill>
        </w:rPr>
      </w:pPr>
    </w:p>
    <w:p w14:paraId="56B25554">
      <w:pPr>
        <w:pStyle w:val="33"/>
        <w:spacing w:before="0" w:after="0"/>
        <w:jc w:val="righ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日期：    年  月  日</w:t>
      </w:r>
    </w:p>
    <w:p w14:paraId="3A8C0EAE">
      <w:pPr>
        <w:pStyle w:val="33"/>
        <w:ind w:firstLine="0"/>
        <w:jc w:val="both"/>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附件二</w:t>
      </w:r>
    </w:p>
    <w:p w14:paraId="44D80A15">
      <w:pPr>
        <w:pStyle w:val="33"/>
        <w:ind w:firstLine="0"/>
        <w:jc w:val="center"/>
        <w:rPr>
          <w:rFonts w:ascii="宋体" w:hAnsi="宋体" w:cs="宋体"/>
          <w:b/>
          <w:color w:val="000000" w:themeColor="text1"/>
          <w:sz w:val="28"/>
          <w:szCs w:val="28"/>
          <w14:textFill>
            <w14:solidFill>
              <w14:schemeClr w14:val="tx1"/>
            </w14:solidFill>
          </w14:textFill>
        </w:rPr>
      </w:pPr>
      <w:bookmarkStart w:id="71" w:name="_Toc517190895"/>
      <w:r>
        <w:rPr>
          <w:rFonts w:hint="eastAsia" w:ascii="宋体" w:hAnsi="宋体" w:cs="宋体"/>
          <w:b/>
          <w:color w:val="000000" w:themeColor="text1"/>
          <w:sz w:val="28"/>
          <w:szCs w:val="28"/>
          <w14:textFill>
            <w14:solidFill>
              <w14:schemeClr w14:val="tx1"/>
            </w14:solidFill>
          </w14:textFill>
        </w:rPr>
        <w:t>授权书</w:t>
      </w:r>
      <w:bookmarkEnd w:id="71"/>
    </w:p>
    <w:p w14:paraId="5DDCD250">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本授权书声明：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（被授权人的姓名）为我方就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项目（项目编号：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）采购活动的合法代理人，以本公司名义全权处理一切与该项目采购投标、合同签订等有关的事务。</w:t>
      </w:r>
    </w:p>
    <w:p w14:paraId="18A8ECA7">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本授权书于______年____月____日起生效，特此声明。</w:t>
      </w:r>
    </w:p>
    <w:p w14:paraId="01A0259D">
      <w:pPr>
        <w:pStyle w:val="49"/>
        <w:spacing w:line="360" w:lineRule="auto"/>
        <w:ind w:firstLine="480"/>
        <w:rPr>
          <w:rFonts w:ascii="宋体" w:hAnsi="宋体" w:cs="宋体"/>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代理人（被授权人）：                         </w:t>
      </w:r>
    </w:p>
    <w:p w14:paraId="664CEAF2">
      <w:pPr>
        <w:pStyle w:val="49"/>
        <w:spacing w:line="360" w:lineRule="auto"/>
        <w:ind w:firstLine="480"/>
        <w:rPr>
          <w:rFonts w:ascii="宋体" w:hAnsi="宋体" w:cs="宋体"/>
          <w:color w:val="000000" w:themeColor="text1"/>
          <w:sz w:val="24"/>
          <w:szCs w:val="24"/>
          <w:u w:val="single"/>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身份证号码：                               </w:t>
      </w:r>
    </w:p>
    <w:p w14:paraId="7809E347">
      <w:pPr>
        <w:pStyle w:val="49"/>
        <w:spacing w:line="360" w:lineRule="auto"/>
        <w:ind w:firstLine="480"/>
        <w:rPr>
          <w:rFonts w:ascii="宋体" w:hAnsi="宋体" w:cs="宋体"/>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联系电话：（手机）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14:paraId="28FA340B">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单位名称：________________________________</w:t>
      </w:r>
    </w:p>
    <w:p w14:paraId="7DBD47F9">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单位地址：________________________________</w:t>
      </w:r>
    </w:p>
    <w:p w14:paraId="767C193B">
      <w:pPr>
        <w:pStyle w:val="49"/>
        <w:spacing w:line="360" w:lineRule="auto"/>
        <w:ind w:firstLine="480"/>
        <w:jc w:val="right"/>
        <w:rPr>
          <w:rFonts w:ascii="宋体" w:hAnsi="宋体" w:cs="宋体"/>
          <w:color w:val="000000" w:themeColor="text1"/>
          <w:sz w:val="24"/>
          <w:szCs w:val="24"/>
          <w14:textFill>
            <w14:solidFill>
              <w14:schemeClr w14:val="tx1"/>
            </w14:solidFill>
          </w14:textFill>
        </w:rPr>
      </w:pPr>
    </w:p>
    <w:p w14:paraId="73E2574C">
      <w:pPr>
        <w:pStyle w:val="49"/>
        <w:spacing w:line="360" w:lineRule="auto"/>
        <w:ind w:firstLine="480"/>
        <w:rPr>
          <w:rFonts w:ascii="宋体" w:hAnsi="宋体" w:cs="宋体"/>
          <w:color w:val="000000" w:themeColor="text1"/>
          <w:sz w:val="24"/>
          <w:szCs w:val="24"/>
          <w14:textFill>
            <w14:solidFill>
              <w14:schemeClr w14:val="tx1"/>
            </w14:solidFill>
          </w14:textFill>
        </w:rPr>
      </w:pPr>
    </w:p>
    <w:p w14:paraId="63431BB2">
      <w:pPr>
        <w:pStyle w:val="49"/>
        <w:spacing w:line="360" w:lineRule="auto"/>
        <w:ind w:firstLine="480"/>
        <w:rPr>
          <w:rFonts w:ascii="宋体" w:hAnsi="宋体" w:cs="宋体"/>
          <w:color w:val="000000" w:themeColor="text1"/>
          <w:sz w:val="24"/>
          <w:szCs w:val="24"/>
          <w14:textFill>
            <w14:solidFill>
              <w14:schemeClr w14:val="tx1"/>
            </w14:solidFill>
          </w14:textFill>
        </w:rPr>
      </w:pPr>
    </w:p>
    <w:p w14:paraId="29481C14">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w:t>
      </w:r>
    </w:p>
    <w:p w14:paraId="15FC5D4B">
      <w:pPr>
        <w:pStyle w:val="49"/>
        <w:spacing w:line="360" w:lineRule="auto"/>
        <w:ind w:firstLine="480"/>
        <w:rPr>
          <w:rFonts w:ascii="宋体" w:hAnsi="宋体" w:cs="宋体"/>
          <w:color w:val="000000" w:themeColor="text1"/>
          <w:sz w:val="24"/>
          <w:szCs w:val="24"/>
          <w14:textFill>
            <w14:solidFill>
              <w14:schemeClr w14:val="tx1"/>
            </w14:solidFill>
          </w14:textFill>
        </w:rPr>
      </w:pPr>
    </w:p>
    <w:p w14:paraId="62EC85E6">
      <w:pPr>
        <w:pStyle w:val="4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投标人名称（加盖公章）：</w:t>
      </w:r>
    </w:p>
    <w:p w14:paraId="02A9F73E">
      <w:pPr>
        <w:pStyle w:val="49"/>
        <w:spacing w:line="360" w:lineRule="auto"/>
        <w:ind w:firstLine="480"/>
        <w:jc w:val="right"/>
        <w:rPr>
          <w:rFonts w:ascii="宋体" w:hAnsi="宋体" w:cs="宋体"/>
          <w:color w:val="000000" w:themeColor="text1"/>
          <w:sz w:val="24"/>
          <w:szCs w:val="24"/>
          <w14:textFill>
            <w14:solidFill>
              <w14:schemeClr w14:val="tx1"/>
            </w14:solidFill>
          </w14:textFill>
        </w:rPr>
      </w:pPr>
    </w:p>
    <w:p w14:paraId="52047E03">
      <w:pPr>
        <w:pStyle w:val="49"/>
        <w:spacing w:line="360" w:lineRule="auto"/>
        <w:ind w:firstLine="0" w:firstLineChars="0"/>
        <w:rPr>
          <w:rFonts w:ascii="宋体" w:hAnsi="宋体" w:cs="宋体"/>
          <w:color w:val="000000" w:themeColor="text1"/>
          <w:sz w:val="24"/>
          <w:szCs w:val="24"/>
          <w14:textFill>
            <w14:solidFill>
              <w14:schemeClr w14:val="tx1"/>
            </w14:solidFill>
          </w14:textFill>
        </w:rPr>
      </w:pPr>
    </w:p>
    <w:p w14:paraId="701892FD">
      <w:pPr>
        <w:pStyle w:val="49"/>
        <w:spacing w:line="360" w:lineRule="auto"/>
        <w:ind w:firstLine="480"/>
        <w:jc w:val="right"/>
        <w:rPr>
          <w:rFonts w:ascii="宋体" w:hAnsi="宋体" w:cs="宋体"/>
          <w:color w:val="000000" w:themeColor="text1"/>
          <w:sz w:val="24"/>
          <w:szCs w:val="24"/>
          <w14:textFill>
            <w14:solidFill>
              <w14:schemeClr w14:val="tx1"/>
            </w14:solidFill>
          </w14:textFill>
        </w:rPr>
      </w:pPr>
    </w:p>
    <w:p w14:paraId="3517D3D0">
      <w:pPr>
        <w:pStyle w:val="49"/>
        <w:spacing w:line="360" w:lineRule="auto"/>
        <w:ind w:firstLine="480"/>
        <w:jc w:val="right"/>
        <w:rPr>
          <w:rFonts w:ascii="宋体" w:hAnsi="宋体" w:cs="宋体"/>
          <w:color w:val="000000" w:themeColor="text1"/>
          <w:sz w:val="24"/>
          <w:szCs w:val="24"/>
          <w14:textFill>
            <w14:solidFill>
              <w14:schemeClr w14:val="tx1"/>
            </w14:solidFill>
          </w14:textFill>
        </w:rPr>
      </w:pPr>
    </w:p>
    <w:p w14:paraId="529BE7DD">
      <w:pPr>
        <w:pStyle w:val="49"/>
        <w:spacing w:line="360" w:lineRule="auto"/>
        <w:ind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17B0F560">
      <w:pPr>
        <w:pStyle w:val="6"/>
        <w:spacing w:line="360" w:lineRule="auto"/>
        <w:rPr>
          <w:rFonts w:ascii="宋体" w:hAnsi="宋体" w:eastAsia="宋体" w:cs="宋体"/>
          <w:color w:val="000000" w:themeColor="text1"/>
          <w:sz w:val="24"/>
          <w:szCs w:val="24"/>
          <w14:textFill>
            <w14:solidFill>
              <w14:schemeClr w14:val="tx1"/>
            </w14:solidFill>
          </w14:textFill>
        </w:rPr>
      </w:pPr>
      <w:bookmarkStart w:id="72" w:name="_Hlt26671380"/>
      <w:bookmarkEnd w:id="72"/>
      <w:bookmarkStart w:id="73" w:name="_格式3__银行出具的资信证明"/>
      <w:bookmarkEnd w:id="73"/>
      <w:bookmarkStart w:id="74" w:name="_Hlt26955070"/>
      <w:bookmarkEnd w:id="74"/>
    </w:p>
    <w:p w14:paraId="24405B28">
      <w:pPr>
        <w:pStyle w:val="3"/>
        <w:spacing w:line="360" w:lineRule="auto"/>
        <w:rPr>
          <w:rFonts w:ascii="宋体" w:hAnsi="宋体" w:eastAsia="宋体" w:cs="宋体"/>
          <w:color w:val="000000" w:themeColor="text1"/>
          <w:sz w:val="24"/>
          <w:szCs w:val="24"/>
          <w14:textFill>
            <w14:solidFill>
              <w14:schemeClr w14:val="tx1"/>
            </w14:solidFill>
          </w14:textFill>
        </w:rPr>
      </w:pPr>
    </w:p>
    <w:p w14:paraId="52CD0CA0">
      <w:pPr>
        <w:rPr>
          <w:rFonts w:ascii="宋体" w:hAnsi="宋体" w:eastAsia="宋体" w:cs="宋体"/>
          <w:color w:val="000000" w:themeColor="text1"/>
          <w:sz w:val="24"/>
          <w:szCs w:val="24"/>
          <w14:textFill>
            <w14:solidFill>
              <w14:schemeClr w14:val="tx1"/>
            </w14:solidFill>
          </w14:textFill>
        </w:rPr>
      </w:pPr>
    </w:p>
    <w:p w14:paraId="78520A84">
      <w:pPr>
        <w:pStyle w:val="11"/>
        <w:ind w:left="1540" w:right="1540"/>
        <w:rPr>
          <w:rFonts w:ascii="宋体" w:hAnsi="宋体" w:eastAsia="宋体" w:cs="宋体"/>
          <w:color w:val="000000" w:themeColor="text1"/>
          <w:sz w:val="24"/>
          <w:szCs w:val="24"/>
          <w14:textFill>
            <w14:solidFill>
              <w14:schemeClr w14:val="tx1"/>
            </w14:solidFill>
          </w14:textFill>
        </w:rPr>
      </w:pPr>
    </w:p>
    <w:p w14:paraId="4FBCB0E3">
      <w:pPr>
        <w:pStyle w:val="11"/>
        <w:ind w:left="1540" w:right="1540"/>
        <w:rPr>
          <w:rFonts w:ascii="宋体" w:hAnsi="宋体" w:eastAsia="宋体" w:cs="宋体"/>
          <w:color w:val="000000" w:themeColor="text1"/>
          <w:sz w:val="24"/>
          <w:szCs w:val="24"/>
          <w14:textFill>
            <w14:solidFill>
              <w14:schemeClr w14:val="tx1"/>
            </w14:solidFill>
          </w14:textFill>
        </w:rPr>
      </w:pPr>
    </w:p>
    <w:p w14:paraId="5A2886AE">
      <w:pPr>
        <w:pStyle w:val="11"/>
        <w:ind w:left="1540" w:right="1540"/>
        <w:rPr>
          <w:rFonts w:ascii="宋体" w:hAnsi="宋体" w:eastAsia="宋体" w:cs="宋体"/>
          <w:color w:val="000000" w:themeColor="text1"/>
          <w:sz w:val="24"/>
          <w:szCs w:val="24"/>
          <w14:textFill>
            <w14:solidFill>
              <w14:schemeClr w14:val="tx1"/>
            </w14:solidFill>
          </w14:textFill>
        </w:rPr>
      </w:pPr>
    </w:p>
    <w:p w14:paraId="464D69DE">
      <w:pPr>
        <w:pStyle w:val="11"/>
        <w:spacing w:after="0"/>
        <w:ind w:left="0" w:leftChars="0" w:right="0" w:right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附件三</w:t>
      </w:r>
      <w:bookmarkStart w:id="75" w:name="_Toc517190896"/>
    </w:p>
    <w:p w14:paraId="40870A01">
      <w:pPr>
        <w:pStyle w:val="11"/>
        <w:spacing w:after="0"/>
        <w:ind w:left="0" w:leftChars="0" w:right="0" w:rightChars="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开标一览表</w:t>
      </w:r>
      <w:bookmarkEnd w:id="75"/>
    </w:p>
    <w:p w14:paraId="081DB20E">
      <w:pPr>
        <w:spacing w:line="360" w:lineRule="auto"/>
        <w:ind w:firstLine="480"/>
        <w:rPr>
          <w:rFonts w:ascii="宋体" w:hAnsi="宋体" w:eastAsia="宋体" w:cs="宋体"/>
          <w:color w:val="000000" w:themeColor="text1"/>
          <w:sz w:val="24"/>
          <w:szCs w:val="24"/>
          <w14:textFill>
            <w14:solidFill>
              <w14:schemeClr w14:val="tx1"/>
            </w14:solidFill>
          </w14:textFill>
        </w:rPr>
      </w:pPr>
    </w:p>
    <w:p w14:paraId="3D064B5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02D2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3BF0D11B">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投标总报价</w:t>
            </w:r>
          </w:p>
        </w:tc>
        <w:tc>
          <w:tcPr>
            <w:tcW w:w="5883" w:type="dxa"/>
            <w:vAlign w:val="center"/>
          </w:tcPr>
          <w:p w14:paraId="2D8ACDC1">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大写：人民币</w:t>
            </w:r>
          </w:p>
          <w:p w14:paraId="4C519480">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69C4EDE5">
            <w:pPr>
              <w:pStyle w:val="33"/>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小写：¥                             </w:t>
            </w:r>
          </w:p>
        </w:tc>
      </w:tr>
      <w:tr w14:paraId="0345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32C6036B">
            <w:pPr>
              <w:pStyle w:val="8"/>
              <w:adjustRightInd w:val="0"/>
              <w:snapToGrid w:val="0"/>
              <w:spacing w:line="360" w:lineRule="auto"/>
              <w:ind w:firstLine="241" w:firstLineChars="10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货物品牌及型号</w:t>
            </w:r>
          </w:p>
        </w:tc>
        <w:tc>
          <w:tcPr>
            <w:tcW w:w="5883" w:type="dxa"/>
            <w:vAlign w:val="center"/>
          </w:tcPr>
          <w:p w14:paraId="648932AD">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5219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51B78EED">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质保期限</w:t>
            </w:r>
          </w:p>
        </w:tc>
        <w:tc>
          <w:tcPr>
            <w:tcW w:w="5883" w:type="dxa"/>
            <w:vAlign w:val="center"/>
          </w:tcPr>
          <w:p w14:paraId="1F30288F">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5F55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6A1848C0">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w:t>
            </w:r>
          </w:p>
        </w:tc>
        <w:tc>
          <w:tcPr>
            <w:tcW w:w="5883" w:type="dxa"/>
            <w:vAlign w:val="center"/>
          </w:tcPr>
          <w:p w14:paraId="614D630F">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7F6C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62C7AA07">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w:t>
            </w:r>
          </w:p>
        </w:tc>
        <w:tc>
          <w:tcPr>
            <w:tcW w:w="5883" w:type="dxa"/>
            <w:vAlign w:val="center"/>
          </w:tcPr>
          <w:p w14:paraId="23D67990">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bl>
    <w:p w14:paraId="7AA9FC86">
      <w:pPr>
        <w:spacing w:line="360" w:lineRule="auto"/>
        <w:rPr>
          <w:rFonts w:ascii="宋体" w:hAnsi="宋体" w:eastAsia="宋体" w:cs="宋体"/>
          <w:color w:val="000000" w:themeColor="text1"/>
          <w:sz w:val="24"/>
          <w:szCs w:val="24"/>
          <w14:textFill>
            <w14:solidFill>
              <w14:schemeClr w14:val="tx1"/>
            </w14:solidFill>
          </w14:textFill>
        </w:rPr>
      </w:pPr>
    </w:p>
    <w:p w14:paraId="19951259">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15D0BFC1">
      <w:pPr>
        <w:pStyle w:val="11"/>
        <w:ind w:left="1540" w:right="1540"/>
        <w:rPr>
          <w:color w:val="000000" w:themeColor="text1"/>
          <w14:textFill>
            <w14:solidFill>
              <w14:schemeClr w14:val="tx1"/>
            </w14:solidFill>
          </w14:textFill>
        </w:rPr>
      </w:pPr>
    </w:p>
    <w:p w14:paraId="6FD7DCA7">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6DC3E336">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5EA57180">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填写说明：</w:t>
      </w:r>
    </w:p>
    <w:p w14:paraId="5C4D125B">
      <w:pPr>
        <w:spacing w:line="360" w:lineRule="auto"/>
        <w:ind w:firstLine="480"/>
        <w:rPr>
          <w:rFonts w:ascii="宋体" w:hAnsi="宋体" w:eastAsia="宋体" w:cs="宋体"/>
          <w:i/>
          <w:color w:val="000000" w:themeColor="text1"/>
          <w:sz w:val="24"/>
          <w:szCs w:val="24"/>
          <w:u w:val="single"/>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1、</w:t>
      </w:r>
      <w:r>
        <w:rPr>
          <w:rFonts w:hint="eastAsia" w:ascii="宋体" w:hAnsi="宋体" w:eastAsia="宋体" w:cs="宋体"/>
          <w:b/>
          <w:bCs/>
          <w:i/>
          <w:color w:val="000000" w:themeColor="text1"/>
          <w:sz w:val="24"/>
          <w:szCs w:val="24"/>
          <w:u w:val="single"/>
          <w14:textFill>
            <w14:solidFill>
              <w14:schemeClr w14:val="tx1"/>
            </w14:solidFill>
          </w14:textFill>
        </w:rPr>
        <w:t>开标一览表必须单独密封在信封中，在投标截止时间前与投标文件分别递交，否则视为无效投标。</w:t>
      </w:r>
    </w:p>
    <w:p w14:paraId="45C97173">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2、</w:t>
      </w:r>
      <w:r>
        <w:rPr>
          <w:rFonts w:hint="eastAsia" w:ascii="宋体" w:hAnsi="宋体" w:eastAsia="宋体" w:cs="宋体"/>
          <w:b/>
          <w:i/>
          <w:iCs/>
          <w:color w:val="000000" w:themeColor="text1"/>
          <w:sz w:val="24"/>
          <w:szCs w:val="24"/>
          <w:u w:val="single"/>
          <w14:textFill>
            <w14:solidFill>
              <w14:schemeClr w14:val="tx1"/>
            </w14:solidFill>
          </w14:textFill>
        </w:rPr>
        <w:t>开标一览表必须加盖投标单位公章（复印件无效）</w:t>
      </w:r>
      <w:r>
        <w:rPr>
          <w:rFonts w:hint="eastAsia" w:ascii="宋体" w:hAnsi="宋体" w:eastAsia="宋体" w:cs="宋体"/>
          <w:b/>
          <w:bCs/>
          <w:i/>
          <w:color w:val="000000" w:themeColor="text1"/>
          <w:sz w:val="24"/>
          <w:szCs w:val="24"/>
          <w14:textFill>
            <w14:solidFill>
              <w14:schemeClr w14:val="tx1"/>
            </w14:solidFill>
          </w14:textFill>
        </w:rPr>
        <w:t>。</w:t>
      </w:r>
    </w:p>
    <w:p w14:paraId="6998F11F">
      <w:pPr>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b/>
          <w:bCs/>
          <w:i/>
          <w:iCs/>
          <w:color w:val="000000" w:themeColor="text1"/>
          <w:sz w:val="24"/>
          <w:szCs w:val="24"/>
          <w:u w:val="single"/>
          <w14:textFill>
            <w14:solidFill>
              <w14:schemeClr w14:val="tx1"/>
            </w14:solidFill>
          </w14:textFill>
        </w:rPr>
        <w:t>如有分包，投标人投任何一个包的标的，都需单独填写开标一览表</w:t>
      </w:r>
      <w:r>
        <w:rPr>
          <w:rFonts w:hint="eastAsia" w:ascii="宋体" w:hAnsi="宋体" w:eastAsia="宋体" w:cs="宋体"/>
          <w:b/>
          <w:bCs/>
          <w:color w:val="000000" w:themeColor="text1"/>
          <w:sz w:val="24"/>
          <w:szCs w:val="24"/>
          <w14:textFill>
            <w14:solidFill>
              <w14:schemeClr w14:val="tx1"/>
            </w14:solidFill>
          </w14:textFill>
        </w:rPr>
        <w:t>。</w:t>
      </w:r>
    </w:p>
    <w:p w14:paraId="6514ECD5">
      <w:pPr>
        <w:spacing w:line="360" w:lineRule="auto"/>
        <w:rPr>
          <w:rFonts w:ascii="宋体" w:hAnsi="宋体" w:eastAsia="宋体" w:cs="宋体"/>
          <w:b/>
          <w:bCs/>
          <w:color w:val="000000" w:themeColor="text1"/>
          <w:sz w:val="24"/>
          <w:szCs w:val="24"/>
          <w14:textFill>
            <w14:solidFill>
              <w14:schemeClr w14:val="tx1"/>
            </w14:solidFill>
          </w14:textFill>
        </w:rPr>
      </w:pPr>
    </w:p>
    <w:p w14:paraId="13EFD68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附件四</w:t>
      </w:r>
    </w:p>
    <w:p w14:paraId="7D1E3F66">
      <w:pPr>
        <w:pStyle w:val="33"/>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投标产品配置及分项报价表</w:t>
      </w:r>
    </w:p>
    <w:p w14:paraId="17BCF89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1C84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77642175">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货物名称及规格、型号</w:t>
            </w:r>
          </w:p>
        </w:tc>
        <w:tc>
          <w:tcPr>
            <w:tcW w:w="1567" w:type="dxa"/>
            <w:vAlign w:val="center"/>
          </w:tcPr>
          <w:p w14:paraId="152BCD5A">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42" w:type="dxa"/>
            <w:vAlign w:val="center"/>
          </w:tcPr>
          <w:p w14:paraId="6EBB3390">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2781" w:type="dxa"/>
            <w:vAlign w:val="center"/>
          </w:tcPr>
          <w:p w14:paraId="7BA0CEA8">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55AA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B896382">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7DDC2E6C">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1AD409FC">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6D10EA3B">
            <w:pPr>
              <w:spacing w:line="360" w:lineRule="auto"/>
              <w:rPr>
                <w:rFonts w:ascii="宋体" w:hAnsi="宋体" w:eastAsia="宋体" w:cs="宋体"/>
                <w:color w:val="000000" w:themeColor="text1"/>
                <w:sz w:val="24"/>
                <w:szCs w:val="24"/>
                <w14:textFill>
                  <w14:solidFill>
                    <w14:schemeClr w14:val="tx1"/>
                  </w14:solidFill>
                </w14:textFill>
              </w:rPr>
            </w:pPr>
          </w:p>
        </w:tc>
      </w:tr>
      <w:tr w14:paraId="0F0C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6315CC5">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079FA4AC">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5307CF71">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24196917">
            <w:pPr>
              <w:spacing w:line="360" w:lineRule="auto"/>
              <w:rPr>
                <w:rFonts w:ascii="宋体" w:hAnsi="宋体" w:eastAsia="宋体" w:cs="宋体"/>
                <w:color w:val="000000" w:themeColor="text1"/>
                <w:sz w:val="24"/>
                <w:szCs w:val="24"/>
                <w14:textFill>
                  <w14:solidFill>
                    <w14:schemeClr w14:val="tx1"/>
                  </w14:solidFill>
                </w14:textFill>
              </w:rPr>
            </w:pPr>
          </w:p>
        </w:tc>
      </w:tr>
      <w:tr w14:paraId="3E28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F2B188F">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35394CDC">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36241F1E">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6CA1F3E5">
            <w:pPr>
              <w:spacing w:line="360" w:lineRule="auto"/>
              <w:rPr>
                <w:rFonts w:ascii="宋体" w:hAnsi="宋体" w:eastAsia="宋体" w:cs="宋体"/>
                <w:color w:val="000000" w:themeColor="text1"/>
                <w:sz w:val="24"/>
                <w:szCs w:val="24"/>
                <w14:textFill>
                  <w14:solidFill>
                    <w14:schemeClr w14:val="tx1"/>
                  </w14:solidFill>
                </w14:textFill>
              </w:rPr>
            </w:pPr>
          </w:p>
        </w:tc>
      </w:tr>
      <w:tr w14:paraId="5A5F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6BEC05C5">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3B2D61CB">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2124B372">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59B15751">
            <w:pPr>
              <w:spacing w:line="360" w:lineRule="auto"/>
              <w:rPr>
                <w:rFonts w:ascii="宋体" w:hAnsi="宋体" w:eastAsia="宋体" w:cs="宋体"/>
                <w:color w:val="000000" w:themeColor="text1"/>
                <w:sz w:val="24"/>
                <w:szCs w:val="24"/>
                <w14:textFill>
                  <w14:solidFill>
                    <w14:schemeClr w14:val="tx1"/>
                  </w14:solidFill>
                </w14:textFill>
              </w:rPr>
            </w:pPr>
          </w:p>
        </w:tc>
      </w:tr>
      <w:tr w14:paraId="4621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4E4290E5">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5790" w:type="dxa"/>
            <w:gridSpan w:val="3"/>
          </w:tcPr>
          <w:p w14:paraId="698F38C7">
            <w:pPr>
              <w:spacing w:line="360" w:lineRule="auto"/>
              <w:rPr>
                <w:rFonts w:ascii="宋体" w:hAnsi="宋体" w:eastAsia="宋体" w:cs="宋体"/>
                <w:color w:val="000000" w:themeColor="text1"/>
                <w:sz w:val="24"/>
                <w:szCs w:val="24"/>
                <w14:textFill>
                  <w14:solidFill>
                    <w14:schemeClr w14:val="tx1"/>
                  </w14:solidFill>
                </w14:textFill>
              </w:rPr>
            </w:pPr>
          </w:p>
        </w:tc>
      </w:tr>
    </w:tbl>
    <w:p w14:paraId="6688A49D">
      <w:pPr>
        <w:spacing w:line="360" w:lineRule="auto"/>
        <w:rPr>
          <w:rFonts w:ascii="宋体" w:hAnsi="宋体" w:eastAsia="宋体" w:cs="宋体"/>
          <w:color w:val="000000" w:themeColor="text1"/>
          <w:sz w:val="24"/>
          <w:szCs w:val="24"/>
          <w14:textFill>
            <w14:solidFill>
              <w14:schemeClr w14:val="tx1"/>
            </w14:solidFill>
          </w14:textFill>
        </w:rPr>
      </w:pPr>
    </w:p>
    <w:p w14:paraId="7AFF9EF5">
      <w:pPr>
        <w:spacing w:line="360" w:lineRule="auto"/>
        <w:rPr>
          <w:rFonts w:ascii="宋体" w:hAnsi="宋体" w:eastAsia="宋体" w:cs="宋体"/>
          <w:color w:val="000000" w:themeColor="text1"/>
          <w:sz w:val="24"/>
          <w:szCs w:val="24"/>
          <w14:textFill>
            <w14:solidFill>
              <w14:schemeClr w14:val="tx1"/>
            </w14:solidFill>
          </w14:textFill>
        </w:rPr>
      </w:pPr>
    </w:p>
    <w:p w14:paraId="2BD535DA">
      <w:pPr>
        <w:spacing w:line="360" w:lineRule="auto"/>
        <w:rPr>
          <w:rFonts w:ascii="宋体" w:hAnsi="宋体" w:eastAsia="宋体" w:cs="宋体"/>
          <w:color w:val="000000" w:themeColor="text1"/>
          <w:sz w:val="24"/>
          <w:szCs w:val="24"/>
          <w14:textFill>
            <w14:solidFill>
              <w14:schemeClr w14:val="tx1"/>
            </w14:solidFill>
          </w14:textFill>
        </w:rPr>
      </w:pPr>
    </w:p>
    <w:p w14:paraId="2E2E5724">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759D38D">
      <w:pPr>
        <w:pStyle w:val="11"/>
        <w:ind w:left="1540" w:right="1540"/>
        <w:rPr>
          <w:color w:val="000000" w:themeColor="text1"/>
          <w14:textFill>
            <w14:solidFill>
              <w14:schemeClr w14:val="tx1"/>
            </w14:solidFill>
          </w14:textFill>
        </w:rPr>
      </w:pPr>
    </w:p>
    <w:p w14:paraId="1B3984CE">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1EA96217">
      <w:pPr>
        <w:spacing w:line="360" w:lineRule="auto"/>
        <w:jc w:val="center"/>
        <w:rPr>
          <w:rFonts w:ascii="宋体" w:hAnsi="宋体" w:eastAsia="宋体" w:cs="宋体"/>
          <w:color w:val="000000" w:themeColor="text1"/>
          <w:sz w:val="24"/>
          <w:szCs w:val="24"/>
          <w14:textFill>
            <w14:solidFill>
              <w14:schemeClr w14:val="tx1"/>
            </w14:solidFill>
          </w14:textFill>
        </w:rPr>
      </w:pPr>
    </w:p>
    <w:p w14:paraId="1B4738B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324BBF3D">
      <w:pPr>
        <w:spacing w:line="360" w:lineRule="auto"/>
        <w:rPr>
          <w:rFonts w:ascii="宋体" w:hAnsi="宋体" w:eastAsia="宋体" w:cs="宋体"/>
          <w:color w:val="000000" w:themeColor="text1"/>
          <w:sz w:val="24"/>
          <w:szCs w:val="24"/>
          <w14:textFill>
            <w14:solidFill>
              <w14:schemeClr w14:val="tx1"/>
            </w14:solidFill>
          </w14:textFill>
        </w:rPr>
      </w:pPr>
    </w:p>
    <w:p w14:paraId="1DD5E38E">
      <w:pPr>
        <w:spacing w:line="360" w:lineRule="auto"/>
        <w:rPr>
          <w:rFonts w:ascii="宋体" w:hAnsi="宋体" w:eastAsia="宋体" w:cs="宋体"/>
          <w:b/>
          <w:bCs/>
          <w:color w:val="000000" w:themeColor="text1"/>
          <w:sz w:val="24"/>
          <w:szCs w:val="24"/>
          <w14:textFill>
            <w14:solidFill>
              <w14:schemeClr w14:val="tx1"/>
            </w14:solidFill>
          </w14:textFill>
        </w:rPr>
      </w:pPr>
    </w:p>
    <w:p w14:paraId="60B1C21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附件五</w:t>
      </w:r>
    </w:p>
    <w:p w14:paraId="746F1BB7">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商务条款响应表</w:t>
      </w:r>
    </w:p>
    <w:p w14:paraId="2532A689">
      <w:pPr>
        <w:shd w:val="clear" w:color="auto" w:fill="FFFFFF"/>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7ADB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13147247">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79" w:type="dxa"/>
            <w:tcMar>
              <w:top w:w="0" w:type="dxa"/>
              <w:left w:w="10" w:type="dxa"/>
              <w:bottom w:w="0" w:type="dxa"/>
              <w:right w:w="10" w:type="dxa"/>
            </w:tcMar>
            <w:vAlign w:val="center"/>
          </w:tcPr>
          <w:p w14:paraId="73F16F89">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488" w:type="dxa"/>
            <w:tcMar>
              <w:top w:w="0" w:type="dxa"/>
              <w:left w:w="10" w:type="dxa"/>
              <w:bottom w:w="0" w:type="dxa"/>
              <w:right w:w="10" w:type="dxa"/>
            </w:tcMar>
            <w:vAlign w:val="center"/>
          </w:tcPr>
          <w:p w14:paraId="4604A6C9">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3004" w:type="dxa"/>
            <w:tcMar>
              <w:top w:w="0" w:type="dxa"/>
              <w:left w:w="10" w:type="dxa"/>
              <w:bottom w:w="0" w:type="dxa"/>
              <w:right w:w="10" w:type="dxa"/>
            </w:tcMar>
            <w:vAlign w:val="center"/>
          </w:tcPr>
          <w:p w14:paraId="0A1D9905">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6837E10D">
            <w:pPr>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7635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378068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15BAAFD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2FCAD25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64A6359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F70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9C4FD0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4588C50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421AB1F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04C9F1F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324B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9B85CB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7783FCB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6B39F96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1684EB0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601E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E4F150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1E5A050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420399B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606F258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8E8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7FF5D3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6211E0E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02F3E82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1BBDAB3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121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831CD71">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5870F66C">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3630CAE1">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0A79BC90">
            <w:pPr>
              <w:spacing w:line="360" w:lineRule="auto"/>
              <w:rPr>
                <w:rFonts w:ascii="宋体" w:hAnsi="宋体" w:eastAsia="宋体" w:cs="宋体"/>
                <w:color w:val="000000" w:themeColor="text1"/>
                <w:sz w:val="24"/>
                <w:szCs w:val="24"/>
                <w14:textFill>
                  <w14:solidFill>
                    <w14:schemeClr w14:val="tx1"/>
                  </w14:solidFill>
                </w14:textFill>
              </w:rPr>
            </w:pPr>
          </w:p>
        </w:tc>
      </w:tr>
      <w:tr w14:paraId="66A8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3F774BB">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652D6A8F">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54451BE7">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389DCC54">
            <w:pPr>
              <w:spacing w:line="360" w:lineRule="auto"/>
              <w:rPr>
                <w:rFonts w:ascii="宋体" w:hAnsi="宋体" w:eastAsia="宋体" w:cs="宋体"/>
                <w:color w:val="000000" w:themeColor="text1"/>
                <w:sz w:val="24"/>
                <w:szCs w:val="24"/>
                <w14:textFill>
                  <w14:solidFill>
                    <w14:schemeClr w14:val="tx1"/>
                  </w14:solidFill>
                </w14:textFill>
              </w:rPr>
            </w:pPr>
          </w:p>
        </w:tc>
      </w:tr>
    </w:tbl>
    <w:p w14:paraId="1C49FBEB">
      <w:pPr>
        <w:spacing w:line="360" w:lineRule="auto"/>
        <w:rPr>
          <w:rFonts w:ascii="宋体" w:hAnsi="宋体" w:eastAsia="宋体" w:cs="宋体"/>
          <w:color w:val="000000" w:themeColor="text1"/>
          <w:sz w:val="24"/>
          <w:szCs w:val="24"/>
          <w14:textFill>
            <w14:solidFill>
              <w14:schemeClr w14:val="tx1"/>
            </w14:solidFill>
          </w14:textFill>
        </w:rPr>
      </w:pPr>
    </w:p>
    <w:p w14:paraId="7465457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说明：请对第一章招标公告、第三章采购需求及第五章合同主要条款及格式中的商务条款进行响应。</w:t>
      </w:r>
    </w:p>
    <w:p w14:paraId="6315F51D">
      <w:pPr>
        <w:spacing w:line="360" w:lineRule="auto"/>
        <w:rPr>
          <w:rFonts w:ascii="宋体" w:hAnsi="宋体" w:eastAsia="宋体" w:cs="宋体"/>
          <w:color w:val="000000" w:themeColor="text1"/>
          <w:sz w:val="24"/>
          <w:szCs w:val="24"/>
          <w14:textFill>
            <w14:solidFill>
              <w14:schemeClr w14:val="tx1"/>
            </w14:solidFill>
          </w14:textFill>
        </w:rPr>
      </w:pPr>
    </w:p>
    <w:p w14:paraId="0A24FAC9">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6F74A48">
      <w:pPr>
        <w:pStyle w:val="11"/>
        <w:ind w:left="1540" w:right="1540"/>
        <w:rPr>
          <w:color w:val="000000" w:themeColor="text1"/>
          <w14:textFill>
            <w14:solidFill>
              <w14:schemeClr w14:val="tx1"/>
            </w14:solidFill>
          </w14:textFill>
        </w:rPr>
      </w:pPr>
    </w:p>
    <w:p w14:paraId="075A87EC">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2406F480">
      <w:pPr>
        <w:spacing w:line="360" w:lineRule="auto"/>
        <w:jc w:val="center"/>
        <w:rPr>
          <w:rFonts w:ascii="宋体" w:hAnsi="宋体" w:eastAsia="宋体" w:cs="宋体"/>
          <w:color w:val="000000" w:themeColor="text1"/>
          <w:sz w:val="24"/>
          <w:szCs w:val="24"/>
          <w14:textFill>
            <w14:solidFill>
              <w14:schemeClr w14:val="tx1"/>
            </w14:solidFill>
          </w14:textFill>
        </w:rPr>
      </w:pPr>
    </w:p>
    <w:p w14:paraId="24A93C5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201E6F3F">
      <w:pPr>
        <w:pStyle w:val="11"/>
        <w:ind w:left="1540" w:right="1540"/>
        <w:rPr>
          <w:color w:val="000000" w:themeColor="text1"/>
          <w14:textFill>
            <w14:solidFill>
              <w14:schemeClr w14:val="tx1"/>
            </w14:solidFill>
          </w14:textFill>
        </w:rPr>
      </w:pPr>
    </w:p>
    <w:p w14:paraId="66AFC925">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w:t>
      </w:r>
      <w:bookmarkEnd w:id="67"/>
      <w:bookmarkEnd w:id="68"/>
      <w:bookmarkEnd w:id="69"/>
      <w:bookmarkStart w:id="76" w:name="_Toc120614284"/>
      <w:r>
        <w:rPr>
          <w:rFonts w:hint="eastAsia" w:ascii="宋体" w:hAnsi="宋体" w:eastAsia="宋体" w:cs="宋体"/>
          <w:b/>
          <w:bCs/>
          <w:color w:val="000000" w:themeColor="text1"/>
          <w:sz w:val="24"/>
          <w:szCs w:val="24"/>
          <w14:textFill>
            <w14:solidFill>
              <w14:schemeClr w14:val="tx1"/>
            </w14:solidFill>
          </w14:textFill>
        </w:rPr>
        <w:t>六</w:t>
      </w:r>
    </w:p>
    <w:p w14:paraId="3A9DE6DC">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技术参数响应表</w:t>
      </w:r>
    </w:p>
    <w:p w14:paraId="3E31205A">
      <w:pPr>
        <w:pStyle w:val="11"/>
        <w:ind w:left="0" w:leftChars="0" w:right="1540"/>
        <w:rPr>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1347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4F52FA25">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335" w:type="dxa"/>
            <w:vAlign w:val="center"/>
          </w:tcPr>
          <w:p w14:paraId="693E8704">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836" w:type="dxa"/>
            <w:vAlign w:val="center"/>
          </w:tcPr>
          <w:p w14:paraId="5A10ACA5">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2176" w:type="dxa"/>
            <w:vAlign w:val="center"/>
          </w:tcPr>
          <w:p w14:paraId="4C369C4A">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442A1E0A">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2A1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4FF2B45">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16C8B85A">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CD7178B">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0C9D821A">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3DA8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CF86D4F">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721CA3A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29044CE4">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6EE4FF53">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2909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337F5A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3A9004FA">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05124E4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1DB311F9">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0642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68F359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03057799">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55C945E2">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04015DD0">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20AA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05AC5F6">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0B20176">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3C593A1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735BB88C">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580A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FE56F47">
            <w:pPr>
              <w:spacing w:line="360" w:lineRule="auto"/>
              <w:jc w:val="center"/>
              <w:rPr>
                <w:rFonts w:ascii="宋体" w:hAnsi="宋体" w:eastAsia="宋体" w:cs="宋体"/>
                <w:color w:val="000000" w:themeColor="text1"/>
                <w:sz w:val="24"/>
                <w:szCs w:val="24"/>
                <w14:textFill>
                  <w14:solidFill>
                    <w14:schemeClr w14:val="tx1"/>
                  </w14:solidFill>
                </w14:textFill>
              </w:rPr>
            </w:pPr>
          </w:p>
          <w:p w14:paraId="0A3381D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711F98A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58331E1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315660CD">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4750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F26477D">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3A22556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07A7CA13">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50060083">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2FB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B29733E">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796159BA">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51D564A6">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58EAD6A0">
            <w:pPr>
              <w:spacing w:line="360" w:lineRule="auto"/>
              <w:jc w:val="center"/>
              <w:rPr>
                <w:rFonts w:ascii="宋体" w:hAnsi="宋体" w:eastAsia="宋体" w:cs="宋体"/>
                <w:color w:val="000000" w:themeColor="text1"/>
                <w:sz w:val="24"/>
                <w:szCs w:val="24"/>
                <w14:textFill>
                  <w14:solidFill>
                    <w14:schemeClr w14:val="tx1"/>
                  </w14:solidFill>
                </w14:textFill>
              </w:rPr>
            </w:pPr>
          </w:p>
        </w:tc>
      </w:tr>
    </w:tbl>
    <w:p w14:paraId="2E3F4B93">
      <w:pPr>
        <w:spacing w:line="360" w:lineRule="auto"/>
        <w:rPr>
          <w:rFonts w:ascii="宋体" w:hAnsi="宋体" w:eastAsia="宋体" w:cs="宋体"/>
          <w:color w:val="000000" w:themeColor="text1"/>
          <w:sz w:val="24"/>
          <w:szCs w:val="24"/>
          <w14:textFill>
            <w14:solidFill>
              <w14:schemeClr w14:val="tx1"/>
            </w14:solidFill>
          </w14:textFill>
        </w:rPr>
      </w:pPr>
    </w:p>
    <w:p w14:paraId="2067936C">
      <w:pPr>
        <w:spacing w:line="360" w:lineRule="auto"/>
        <w:rPr>
          <w:rFonts w:ascii="宋体" w:hAnsi="宋体" w:eastAsia="宋体" w:cs="宋体"/>
          <w:color w:val="000000" w:themeColor="text1"/>
          <w:sz w:val="24"/>
          <w:szCs w:val="24"/>
          <w14:textFill>
            <w14:solidFill>
              <w14:schemeClr w14:val="tx1"/>
            </w14:solidFill>
          </w14:textFill>
        </w:rPr>
      </w:pPr>
    </w:p>
    <w:p w14:paraId="454F8B2B">
      <w:pPr>
        <w:spacing w:line="360" w:lineRule="auto"/>
        <w:rPr>
          <w:rFonts w:ascii="宋体" w:hAnsi="宋体" w:eastAsia="宋体" w:cs="宋体"/>
          <w:color w:val="000000" w:themeColor="text1"/>
          <w:sz w:val="24"/>
          <w:szCs w:val="24"/>
          <w14:textFill>
            <w14:solidFill>
              <w14:schemeClr w14:val="tx1"/>
            </w14:solidFill>
          </w14:textFill>
        </w:rPr>
      </w:pPr>
    </w:p>
    <w:p w14:paraId="72F8BBE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75ED0579">
      <w:pPr>
        <w:pStyle w:val="11"/>
        <w:ind w:left="1540" w:right="1540"/>
        <w:rPr>
          <w:color w:val="000000" w:themeColor="text1"/>
          <w14:textFill>
            <w14:solidFill>
              <w14:schemeClr w14:val="tx1"/>
            </w14:solidFill>
          </w14:textFill>
        </w:rPr>
      </w:pPr>
    </w:p>
    <w:p w14:paraId="2806365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233DA6DA">
      <w:pPr>
        <w:spacing w:line="360" w:lineRule="auto"/>
        <w:rPr>
          <w:rFonts w:ascii="宋体" w:hAnsi="宋体" w:eastAsia="宋体" w:cs="宋体"/>
          <w:color w:val="000000" w:themeColor="text1"/>
          <w:sz w:val="24"/>
          <w:szCs w:val="24"/>
          <w14:textFill>
            <w14:solidFill>
              <w14:schemeClr w14:val="tx1"/>
            </w14:solidFill>
          </w14:textFill>
        </w:rPr>
      </w:pPr>
    </w:p>
    <w:p w14:paraId="02C20551">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235884C9">
      <w:pPr>
        <w:autoSpaceDE w:val="0"/>
        <w:autoSpaceDN w:val="0"/>
        <w:spacing w:line="360" w:lineRule="auto"/>
        <w:rPr>
          <w:rFonts w:ascii="Arial" w:hAnsi="Arial" w:eastAsia="黑体" w:cs="Arial"/>
          <w:color w:val="000000" w:themeColor="text1"/>
          <w:sz w:val="28"/>
          <w:szCs w:val="36"/>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七</w:t>
      </w:r>
    </w:p>
    <w:p w14:paraId="1D0FF4D4">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无重大违法记录声明</w:t>
      </w:r>
    </w:p>
    <w:p w14:paraId="4517C45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35496E75">
      <w:pPr>
        <w:spacing w:line="360" w:lineRule="auto"/>
        <w:ind w:firstLine="384" w:firstLineChars="1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我单位郑重声明：</w:t>
      </w:r>
    </w:p>
    <w:p w14:paraId="4DE2C060">
      <w:pPr>
        <w:shd w:val="clear" w:color="auto" w:fill="FFFFFF"/>
        <w:spacing w:line="360" w:lineRule="auto"/>
        <w:ind w:firstLine="352" w:firstLineChars="14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我单位参加政府采购活动前3年内在经营活动中</w:t>
      </w:r>
      <w:r>
        <w:rPr>
          <w:rFonts w:hint="eastAsia" w:ascii="宋体" w:hAnsi="宋体" w:eastAsia="宋体" w:cs="宋体"/>
          <w:b/>
          <w:bCs/>
          <w:color w:val="000000" w:themeColor="text1"/>
          <w:sz w:val="24"/>
          <w:szCs w:val="24"/>
          <w14:textFill>
            <w14:solidFill>
              <w14:schemeClr w14:val="tx1"/>
            </w14:solidFill>
          </w14:textFill>
        </w:rPr>
        <w:t>没有</w:t>
      </w:r>
      <w:r>
        <w:rPr>
          <w:rFonts w:hint="eastAsia" w:ascii="宋体" w:hAnsi="宋体" w:eastAsia="宋体" w:cs="宋体"/>
          <w:b/>
          <w:color w:val="000000" w:themeColor="text1"/>
          <w:sz w:val="24"/>
          <w:szCs w:val="24"/>
          <w14:textFill>
            <w14:solidFill>
              <w14:schemeClr w14:val="tx1"/>
            </w14:solidFill>
          </w14:textFill>
        </w:rPr>
        <w:t>重大违法记录，且不是失信被执行人、重大税收违法案件当事人名单、政府采购严重违法失信行为记录名单的供应商。</w:t>
      </w:r>
    </w:p>
    <w:p w14:paraId="7639A47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5A0FB772">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597D0CD3">
      <w:pPr>
        <w:pStyle w:val="11"/>
        <w:ind w:left="1540" w:right="1540"/>
        <w:rPr>
          <w:rFonts w:ascii="宋体" w:hAnsi="宋体" w:eastAsia="宋体" w:cs="宋体"/>
          <w:color w:val="000000" w:themeColor="text1"/>
          <w:sz w:val="24"/>
          <w:szCs w:val="24"/>
          <w14:textFill>
            <w14:solidFill>
              <w14:schemeClr w14:val="tx1"/>
            </w14:solidFill>
          </w14:textFill>
        </w:rPr>
      </w:pPr>
    </w:p>
    <w:p w14:paraId="3B186C38">
      <w:pPr>
        <w:pStyle w:val="11"/>
        <w:ind w:left="1540" w:right="1540"/>
        <w:rPr>
          <w:rFonts w:ascii="宋体" w:hAnsi="宋体" w:eastAsia="宋体" w:cs="宋体"/>
          <w:color w:val="000000" w:themeColor="text1"/>
          <w:sz w:val="24"/>
          <w:szCs w:val="24"/>
          <w14:textFill>
            <w14:solidFill>
              <w14:schemeClr w14:val="tx1"/>
            </w14:solidFill>
          </w14:textFill>
        </w:rPr>
      </w:pPr>
    </w:p>
    <w:p w14:paraId="4CD1783E">
      <w:pPr>
        <w:pStyle w:val="11"/>
        <w:ind w:left="1540" w:right="1540"/>
        <w:rPr>
          <w:rFonts w:ascii="宋体" w:hAnsi="宋体" w:eastAsia="宋体" w:cs="宋体"/>
          <w:color w:val="000000" w:themeColor="text1"/>
          <w:sz w:val="24"/>
          <w:szCs w:val="24"/>
          <w14:textFill>
            <w14:solidFill>
              <w14:schemeClr w14:val="tx1"/>
            </w14:solidFill>
          </w14:textFill>
        </w:rPr>
      </w:pPr>
    </w:p>
    <w:p w14:paraId="2F9AEBFD">
      <w:pPr>
        <w:spacing w:line="360" w:lineRule="auto"/>
        <w:rPr>
          <w:rFonts w:ascii="宋体" w:hAnsi="宋体" w:eastAsia="宋体" w:cs="宋体"/>
          <w:color w:val="000000" w:themeColor="text1"/>
          <w:sz w:val="24"/>
          <w:szCs w:val="24"/>
          <w14:textFill>
            <w14:solidFill>
              <w14:schemeClr w14:val="tx1"/>
            </w14:solidFill>
          </w14:textFill>
        </w:rPr>
      </w:pPr>
    </w:p>
    <w:p w14:paraId="4FECE4A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7F15D083">
      <w:pPr>
        <w:pStyle w:val="11"/>
        <w:ind w:left="1540" w:right="1540"/>
        <w:rPr>
          <w:color w:val="000000" w:themeColor="text1"/>
          <w14:textFill>
            <w14:solidFill>
              <w14:schemeClr w14:val="tx1"/>
            </w14:solidFill>
          </w14:textFill>
        </w:rPr>
      </w:pPr>
    </w:p>
    <w:p w14:paraId="59CCF45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3E8FA50B">
      <w:pPr>
        <w:spacing w:line="360" w:lineRule="auto"/>
        <w:rPr>
          <w:rFonts w:ascii="宋体" w:hAnsi="宋体" w:eastAsia="宋体" w:cs="宋体"/>
          <w:color w:val="000000" w:themeColor="text1"/>
          <w:sz w:val="24"/>
          <w:szCs w:val="24"/>
          <w14:textFill>
            <w14:solidFill>
              <w14:schemeClr w14:val="tx1"/>
            </w14:solidFill>
          </w14:textFill>
        </w:rPr>
      </w:pPr>
    </w:p>
    <w:p w14:paraId="1ABE6C4B">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4814E3D2">
      <w:pPr>
        <w:pStyle w:val="6"/>
        <w:spacing w:line="360" w:lineRule="auto"/>
        <w:rPr>
          <w:rFonts w:ascii="宋体" w:hAnsi="宋体" w:eastAsia="宋体" w:cs="宋体"/>
          <w:color w:val="000000" w:themeColor="text1"/>
          <w:sz w:val="24"/>
          <w:szCs w:val="24"/>
          <w14:textFill>
            <w14:solidFill>
              <w14:schemeClr w14:val="tx1"/>
            </w14:solidFill>
          </w14:textFill>
        </w:rPr>
      </w:pPr>
    </w:p>
    <w:bookmarkEnd w:id="76"/>
    <w:p w14:paraId="750768E7">
      <w:pPr>
        <w:pStyle w:val="33"/>
        <w:ind w:firstLine="0"/>
        <w:rPr>
          <w:rFonts w:ascii="宋体" w:hAnsi="宋体" w:cs="宋体"/>
          <w:color w:val="000000" w:themeColor="text1"/>
          <w14:textFill>
            <w14:solidFill>
              <w14:schemeClr w14:val="tx1"/>
            </w14:solidFill>
          </w14:textFill>
        </w:rPr>
      </w:pPr>
    </w:p>
    <w:p w14:paraId="2199D68F">
      <w:pPr>
        <w:pStyle w:val="33"/>
        <w:ind w:firstLine="0"/>
        <w:rPr>
          <w:rFonts w:ascii="宋体" w:hAnsi="宋体" w:cs="宋体"/>
          <w:color w:val="000000" w:themeColor="text1"/>
          <w14:textFill>
            <w14:solidFill>
              <w14:schemeClr w14:val="tx1"/>
            </w14:solidFill>
          </w14:textFill>
        </w:rPr>
      </w:pPr>
    </w:p>
    <w:p w14:paraId="06CD27DA">
      <w:pPr>
        <w:pStyle w:val="33"/>
        <w:ind w:firstLine="0"/>
        <w:rPr>
          <w:rFonts w:ascii="宋体" w:hAnsi="宋体" w:cs="宋体"/>
          <w:color w:val="000000" w:themeColor="text1"/>
          <w14:textFill>
            <w14:solidFill>
              <w14:schemeClr w14:val="tx1"/>
            </w14:solidFill>
          </w14:textFill>
        </w:rPr>
      </w:pPr>
    </w:p>
    <w:p w14:paraId="3EC466D0">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bookmarkStart w:id="77" w:name="_Hlk60665956"/>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八</w:t>
      </w:r>
    </w:p>
    <w:p w14:paraId="19C300E3">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具备履行合同所必需的设备和专业技术能力声明</w:t>
      </w:r>
    </w:p>
    <w:p w14:paraId="4DFCF56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7AB67E38">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（投标人名称）郑重声明：</w:t>
      </w:r>
    </w:p>
    <w:p w14:paraId="26228B6F">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我公司具备履行本项采购合同所必需的设备和专业技术能力，为履行本项采购合同我单位具备如下主要设备和主要专业技术能力：</w:t>
      </w:r>
    </w:p>
    <w:p w14:paraId="2BBCEAA0">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主要设备有：                         </w:t>
      </w:r>
    </w:p>
    <w:p w14:paraId="35ABD944">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主要专业技术能力有：                 </w:t>
      </w:r>
    </w:p>
    <w:p w14:paraId="07C98A55">
      <w:pPr>
        <w:spacing w:line="360" w:lineRule="auto"/>
        <w:rPr>
          <w:rFonts w:ascii="宋体" w:hAnsi="宋体" w:eastAsia="宋体" w:cs="宋体"/>
          <w:color w:val="000000" w:themeColor="text1"/>
          <w:sz w:val="24"/>
          <w:szCs w:val="24"/>
          <w14:textFill>
            <w14:solidFill>
              <w14:schemeClr w14:val="tx1"/>
            </w14:solidFill>
          </w14:textFill>
        </w:rPr>
      </w:pPr>
    </w:p>
    <w:p w14:paraId="47B2396E">
      <w:pPr>
        <w:spacing w:line="360" w:lineRule="auto"/>
        <w:rPr>
          <w:rFonts w:ascii="宋体" w:hAnsi="宋体" w:eastAsia="宋体" w:cs="宋体"/>
          <w:color w:val="000000" w:themeColor="text1"/>
          <w:sz w:val="24"/>
          <w:szCs w:val="24"/>
          <w14:textFill>
            <w14:solidFill>
              <w14:schemeClr w14:val="tx1"/>
            </w14:solidFill>
          </w14:textFill>
        </w:rPr>
      </w:pPr>
    </w:p>
    <w:p w14:paraId="43D8DE73">
      <w:pPr>
        <w:spacing w:line="360" w:lineRule="auto"/>
        <w:rPr>
          <w:rFonts w:ascii="宋体" w:hAnsi="宋体" w:eastAsia="宋体" w:cs="宋体"/>
          <w:color w:val="000000" w:themeColor="text1"/>
          <w:sz w:val="24"/>
          <w:szCs w:val="24"/>
          <w14:textFill>
            <w14:solidFill>
              <w14:schemeClr w14:val="tx1"/>
            </w14:solidFill>
          </w14:textFill>
        </w:rPr>
      </w:pPr>
    </w:p>
    <w:p w14:paraId="37461F44">
      <w:pPr>
        <w:spacing w:line="360" w:lineRule="auto"/>
        <w:rPr>
          <w:rFonts w:ascii="宋体" w:hAnsi="宋体" w:eastAsia="宋体" w:cs="宋体"/>
          <w:color w:val="000000" w:themeColor="text1"/>
          <w:sz w:val="24"/>
          <w:szCs w:val="24"/>
          <w14:textFill>
            <w14:solidFill>
              <w14:schemeClr w14:val="tx1"/>
            </w14:solidFill>
          </w14:textFill>
        </w:rPr>
      </w:pPr>
    </w:p>
    <w:p w14:paraId="7573DB19">
      <w:pPr>
        <w:spacing w:line="360" w:lineRule="auto"/>
        <w:rPr>
          <w:rFonts w:ascii="宋体" w:hAnsi="宋体" w:eastAsia="宋体" w:cs="宋体"/>
          <w:color w:val="000000" w:themeColor="text1"/>
          <w:sz w:val="24"/>
          <w:szCs w:val="24"/>
          <w14:textFill>
            <w14:solidFill>
              <w14:schemeClr w14:val="tx1"/>
            </w14:solidFill>
          </w14:textFill>
        </w:rPr>
      </w:pPr>
    </w:p>
    <w:p w14:paraId="41B82F3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11F9C784">
      <w:pPr>
        <w:pStyle w:val="11"/>
        <w:ind w:left="1540" w:right="1540"/>
        <w:rPr>
          <w:color w:val="000000" w:themeColor="text1"/>
          <w14:textFill>
            <w14:solidFill>
              <w14:schemeClr w14:val="tx1"/>
            </w14:solidFill>
          </w14:textFill>
        </w:rPr>
      </w:pPr>
    </w:p>
    <w:p w14:paraId="7EC7DEF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313DB6BE">
      <w:pPr>
        <w:spacing w:line="360" w:lineRule="auto"/>
        <w:rPr>
          <w:rFonts w:ascii="宋体" w:hAnsi="宋体" w:eastAsia="宋体" w:cs="宋体"/>
          <w:color w:val="000000" w:themeColor="text1"/>
          <w:sz w:val="24"/>
          <w:szCs w:val="24"/>
          <w14:textFill>
            <w14:solidFill>
              <w14:schemeClr w14:val="tx1"/>
            </w14:solidFill>
          </w14:textFill>
        </w:rPr>
      </w:pPr>
    </w:p>
    <w:p w14:paraId="1E8B64F1">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01F54CB6">
      <w:pPr>
        <w:spacing w:line="360" w:lineRule="auto"/>
        <w:rPr>
          <w:rFonts w:ascii="宋体" w:hAnsi="宋体" w:eastAsia="宋体" w:cs="宋体"/>
          <w:color w:val="000000" w:themeColor="text1"/>
          <w:sz w:val="24"/>
          <w:szCs w:val="24"/>
          <w14:textFill>
            <w14:solidFill>
              <w14:schemeClr w14:val="tx1"/>
            </w14:solidFill>
          </w14:textFill>
        </w:rPr>
      </w:pPr>
    </w:p>
    <w:p w14:paraId="2CBEE4D8">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26FB5931">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2AABA80E">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p>
    <w:p w14:paraId="1F33242C">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九</w:t>
      </w:r>
    </w:p>
    <w:p w14:paraId="5D6CF27F">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78" w:name="_Toc7690"/>
      <w:bookmarkStart w:id="79" w:name="_Toc896"/>
      <w:r>
        <w:rPr>
          <w:rFonts w:hint="eastAsia" w:ascii="宋体" w:hAnsi="宋体" w:eastAsia="宋体" w:cs="宋体"/>
          <w:b/>
          <w:color w:val="000000" w:themeColor="text1"/>
          <w:sz w:val="28"/>
          <w:szCs w:val="28"/>
          <w14:textFill>
            <w14:solidFill>
              <w14:schemeClr w14:val="tx1"/>
            </w14:solidFill>
          </w14:textFill>
        </w:rPr>
        <w:t>中小企业声明函（货物）</w:t>
      </w:r>
      <w:bookmarkEnd w:id="78"/>
      <w:bookmarkEnd w:id="79"/>
    </w:p>
    <w:p w14:paraId="52F0013E">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本公司（联合体）郑重声明，根据《政府采购促进中小企业发展管理办法》（财库﹝2020﹞46 号）的规定，本公司参加</w:t>
      </w:r>
      <w:r>
        <w:rPr>
          <w:rFonts w:hint="eastAsia" w:ascii="宋体" w:hAnsi="宋体" w:eastAsia="宋体" w:cs="宋体"/>
          <w:snapToGrid w:val="0"/>
          <w:color w:val="000000" w:themeColor="text1"/>
          <w:sz w:val="24"/>
          <w:szCs w:val="24"/>
          <w:u w:val="none"/>
          <w14:textFill>
            <w14:solidFill>
              <w14:schemeClr w14:val="tx1"/>
            </w14:solidFill>
          </w14:textFill>
        </w:rPr>
        <w:t xml:space="preserve">  [单位名称]  </w:t>
      </w:r>
      <w:r>
        <w:rPr>
          <w:rFonts w:hint="eastAsia" w:ascii="宋体" w:hAnsi="宋体" w:eastAsia="宋体" w:cs="宋体"/>
          <w:snapToGrid w:val="0"/>
          <w:color w:val="000000" w:themeColor="text1"/>
          <w:sz w:val="24"/>
          <w:szCs w:val="24"/>
          <w14:textFill>
            <w14:solidFill>
              <w14:schemeClr w14:val="tx1"/>
            </w14:solidFill>
          </w14:textFill>
        </w:rPr>
        <w:t>的</w:t>
      </w:r>
      <w:r>
        <w:rPr>
          <w:rFonts w:hint="eastAsia" w:ascii="宋体" w:hAnsi="宋体" w:eastAsia="宋体" w:cs="宋体"/>
          <w:snapToGrid w:val="0"/>
          <w:color w:val="000000" w:themeColor="text1"/>
          <w:sz w:val="24"/>
          <w:szCs w:val="24"/>
          <w:u w:val="none"/>
          <w14:textFill>
            <w14:solidFill>
              <w14:schemeClr w14:val="tx1"/>
            </w14:solidFill>
          </w14:textFill>
        </w:rPr>
        <w:t xml:space="preserve">  [项目名称] </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36021B09">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1、</w:t>
      </w:r>
      <w:r>
        <w:rPr>
          <w:rFonts w:hint="eastAsia" w:ascii="宋体" w:hAnsi="宋体" w:eastAsia="宋体" w:cs="宋体"/>
          <w:snapToGrid w:val="0"/>
          <w:color w:val="000000" w:themeColor="text1"/>
          <w:sz w:val="24"/>
          <w:szCs w:val="24"/>
          <w:u w:val="single"/>
          <w14:textFill>
            <w14:solidFill>
              <w14:schemeClr w14:val="tx1"/>
            </w14:solidFill>
          </w14:textFill>
        </w:rPr>
        <w:t xml:space="preserve"> [标的名称]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5F979858">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2、</w:t>
      </w:r>
      <w:r>
        <w:rPr>
          <w:rFonts w:hint="eastAsia" w:ascii="宋体" w:hAnsi="宋体" w:eastAsia="宋体" w:cs="宋体"/>
          <w:snapToGrid w:val="0"/>
          <w:color w:val="000000" w:themeColor="text1"/>
          <w:sz w:val="24"/>
          <w:szCs w:val="24"/>
          <w:u w:val="single"/>
          <w14:textFill>
            <w14:solidFill>
              <w14:schemeClr w14:val="tx1"/>
            </w14:solidFill>
          </w14:textFill>
        </w:rPr>
        <w:t xml:space="preserve">[标的名称]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53BC2405">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w:t>
      </w:r>
    </w:p>
    <w:p w14:paraId="665B198D">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7E03A6FD">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如组成联合体或者接受分包合同的中小企业与联合体内的其他企业，分包企业之间不存在直接控制、管理关系；</w:t>
      </w:r>
    </w:p>
    <w:p w14:paraId="7F522781">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本企业对上述声明内容的真实性负责。如有虚假，将依法承担相应责任。</w:t>
      </w:r>
    </w:p>
    <w:p w14:paraId="03C098B0">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p>
    <w:p w14:paraId="4E0B819F">
      <w:pPr>
        <w:pStyle w:val="8"/>
        <w:adjustRightInd w:val="0"/>
        <w:snapToGrid w:val="0"/>
        <w:spacing w:line="300" w:lineRule="auto"/>
        <w:rPr>
          <w:rFonts w:ascii="宋体" w:hAnsi="宋体" w:eastAsia="宋体" w:cs="宋体"/>
          <w:snapToGrid w:val="0"/>
          <w:color w:val="000000" w:themeColor="text1"/>
          <w:sz w:val="24"/>
          <w:szCs w:val="24"/>
          <w14:textFill>
            <w14:solidFill>
              <w14:schemeClr w14:val="tx1"/>
            </w14:solidFill>
          </w14:textFill>
        </w:rPr>
      </w:pPr>
    </w:p>
    <w:p w14:paraId="5AB6A461">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6191C9E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43F65D6D">
      <w:pPr>
        <w:spacing w:line="360"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59340F7C">
      <w:pPr>
        <w:spacing w:line="360" w:lineRule="auto"/>
        <w:ind w:firstLine="5040" w:firstLineChars="21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bookmarkEnd w:id="77"/>
      <w:r>
        <w:rPr>
          <w:rFonts w:hint="eastAsia" w:ascii="宋体" w:hAnsi="宋体" w:eastAsia="宋体" w:cs="宋体"/>
          <w:color w:val="000000" w:themeColor="text1"/>
          <w:sz w:val="24"/>
          <w:szCs w:val="24"/>
          <w14:textFill>
            <w14:solidFill>
              <w14:schemeClr w14:val="tx1"/>
            </w14:solidFill>
          </w14:textFill>
        </w:rPr>
        <w:t xml:space="preserve">  年  月  日</w:t>
      </w:r>
    </w:p>
    <w:p w14:paraId="588065DA">
      <w:pPr>
        <w:pStyle w:val="33"/>
        <w:ind w:firstLine="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3D11FDC2">
      <w:pPr>
        <w:pStyle w:val="33"/>
        <w:ind w:firstLine="0"/>
        <w:rPr>
          <w:rFonts w:ascii="宋体" w:hAnsi="宋体" w:cs="宋体"/>
          <w:color w:val="000000" w:themeColor="text1"/>
          <w14:textFill>
            <w14:solidFill>
              <w14:schemeClr w14:val="tx1"/>
            </w14:solidFill>
          </w14:textFill>
        </w:rPr>
      </w:pPr>
      <w:r>
        <w:rPr>
          <w:rFonts w:cs="Arial"/>
          <w:b/>
          <w:color w:val="000000" w:themeColor="text1"/>
          <w14:textFill>
            <w14:solidFill>
              <w14:schemeClr w14:val="tx1"/>
            </w14:solidFill>
          </w14:textFill>
        </w:rPr>
        <w:t>附件</w:t>
      </w:r>
      <w:r>
        <w:rPr>
          <w:rFonts w:hint="eastAsia" w:cs="Arial"/>
          <w:b/>
          <w:color w:val="000000" w:themeColor="text1"/>
          <w14:textFill>
            <w14:solidFill>
              <w14:schemeClr w14:val="tx1"/>
            </w14:solidFill>
          </w14:textFill>
        </w:rPr>
        <w:t>十</w:t>
      </w:r>
    </w:p>
    <w:p w14:paraId="0A337EBB">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80" w:name="_Toc1046"/>
      <w:bookmarkStart w:id="81" w:name="_Toc4019"/>
      <w:r>
        <w:rPr>
          <w:rFonts w:hint="eastAsia" w:ascii="宋体" w:hAnsi="宋体" w:eastAsia="宋体" w:cs="宋体"/>
          <w:b/>
          <w:color w:val="000000" w:themeColor="text1"/>
          <w:sz w:val="28"/>
          <w:szCs w:val="28"/>
          <w14:textFill>
            <w14:solidFill>
              <w14:schemeClr w14:val="tx1"/>
            </w14:solidFill>
          </w14:textFill>
        </w:rPr>
        <w:t>残疾人福利性单位声明函</w:t>
      </w:r>
      <w:bookmarkEnd w:id="80"/>
      <w:bookmarkEnd w:id="81"/>
    </w:p>
    <w:p w14:paraId="03840F75">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u w:val="none"/>
          <w14:textFill>
            <w14:solidFill>
              <w14:schemeClr w14:val="tx1"/>
            </w14:solidFill>
          </w14:textFill>
        </w:rPr>
        <w:t>_</w:t>
      </w:r>
      <w:bookmarkStart w:id="82" w:name="_Hlk60666078"/>
      <w:r>
        <w:rPr>
          <w:rFonts w:hint="eastAsia" w:ascii="宋体" w:hAnsi="宋体" w:eastAsia="宋体" w:cs="宋体"/>
          <w:snapToGrid/>
          <w:color w:val="000000" w:themeColor="text1"/>
          <w:sz w:val="24"/>
          <w:szCs w:val="24"/>
          <w:u w:val="none"/>
          <w14:textFill>
            <w14:solidFill>
              <w14:schemeClr w14:val="tx1"/>
            </w14:solidFill>
          </w14:textFill>
        </w:rPr>
        <w:t xml:space="preserve"> [采购人名称] </w:t>
      </w:r>
      <w:bookmarkEnd w:id="82"/>
      <w:r>
        <w:rPr>
          <w:rFonts w:hint="eastAsia" w:ascii="宋体" w:hAnsi="宋体" w:eastAsia="宋体" w:cs="宋体"/>
          <w:color w:val="000000" w:themeColor="text1"/>
          <w:sz w:val="24"/>
          <w:szCs w:val="24"/>
          <w:u w:val="non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单位的采购文件编号为</w:t>
      </w:r>
      <w:r>
        <w:rPr>
          <w:rFonts w:hint="eastAsia" w:ascii="宋体" w:hAnsi="宋体" w:eastAsia="宋体" w:cs="宋体"/>
          <w:color w:val="000000" w:themeColor="text1"/>
          <w:sz w:val="24"/>
          <w:szCs w:val="24"/>
          <w:u w:val="none"/>
          <w14:textFill>
            <w14:solidFill>
              <w14:schemeClr w14:val="tx1"/>
            </w14:solidFill>
          </w14:textFill>
        </w:rPr>
        <w:t>_</w:t>
      </w:r>
      <w:bookmarkStart w:id="83" w:name="_Hlk60666088"/>
      <w:r>
        <w:rPr>
          <w:rFonts w:hint="eastAsia" w:ascii="宋体" w:hAnsi="宋体" w:eastAsia="宋体" w:cs="宋体"/>
          <w:snapToGrid/>
          <w:color w:val="000000" w:themeColor="text1"/>
          <w:sz w:val="24"/>
          <w:szCs w:val="24"/>
          <w:u w:val="none"/>
          <w14:textFill>
            <w14:solidFill>
              <w14:schemeClr w14:val="tx1"/>
            </w14:solidFill>
          </w14:textFill>
        </w:rPr>
        <w:t xml:space="preserve"> [项目编号] </w:t>
      </w:r>
      <w:bookmarkEnd w:id="83"/>
      <w:r>
        <w:rPr>
          <w:rFonts w:hint="eastAsia" w:ascii="宋体" w:hAnsi="宋体" w:eastAsia="宋体" w:cs="宋体"/>
          <w:color w:val="000000" w:themeColor="text1"/>
          <w:sz w:val="24"/>
          <w:szCs w:val="24"/>
          <w:u w:val="non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none"/>
          <w14:textFill>
            <w14:solidFill>
              <w14:schemeClr w14:val="tx1"/>
            </w14:solidFill>
          </w14:textFill>
        </w:rPr>
        <w:t xml:space="preserve">  </w:t>
      </w:r>
      <w:bookmarkStart w:id="84" w:name="_Hlk60666094"/>
      <w:r>
        <w:rPr>
          <w:rFonts w:hint="eastAsia" w:ascii="宋体" w:hAnsi="宋体" w:eastAsia="宋体" w:cs="宋体"/>
          <w:snapToGrid/>
          <w:color w:val="000000" w:themeColor="text1"/>
          <w:sz w:val="24"/>
          <w:szCs w:val="24"/>
          <w:u w:val="none"/>
          <w14:textFill>
            <w14:solidFill>
              <w14:schemeClr w14:val="tx1"/>
            </w14:solidFill>
          </w14:textFill>
        </w:rPr>
        <w:t>[项目名称]</w:t>
      </w:r>
      <w:bookmarkEnd w:id="84"/>
      <w:r>
        <w:rPr>
          <w:rFonts w:hint="eastAsia" w:ascii="宋体" w:hAnsi="宋体" w:eastAsia="宋体" w:cs="宋体"/>
          <w:snapToGrid/>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项目采购活动提供全部由本单位制造的货物（全部由本单位承担工程/提供服务），或者提供其他残疾人福利性单位</w:t>
      </w:r>
      <w:bookmarkStart w:id="85" w:name="_Hlk60666108"/>
      <w:r>
        <w:rPr>
          <w:rFonts w:hint="eastAsia" w:ascii="宋体" w:hAnsi="宋体" w:eastAsia="宋体" w:cs="宋体"/>
          <w:color w:val="000000" w:themeColor="text1"/>
          <w:sz w:val="24"/>
          <w:szCs w:val="24"/>
          <w:u w:val="single"/>
          <w14:textFill>
            <w14:solidFill>
              <w14:schemeClr w14:val="tx1"/>
            </w14:solidFill>
          </w14:textFill>
        </w:rPr>
        <w:t xml:space="preserve">  [残疾人福利性单位名称]  </w:t>
      </w:r>
      <w:bookmarkEnd w:id="85"/>
      <w:r>
        <w:rPr>
          <w:rFonts w:hint="eastAsia" w:ascii="宋体" w:hAnsi="宋体" w:eastAsia="宋体" w:cs="宋体"/>
          <w:color w:val="000000" w:themeColor="text1"/>
          <w:sz w:val="24"/>
          <w:szCs w:val="24"/>
          <w14:textFill>
            <w14:solidFill>
              <w14:schemeClr w14:val="tx1"/>
            </w14:solidFill>
          </w14:textFill>
        </w:rPr>
        <w:t>制造的货物（不包括使用非残疾人福利性单位注册商标的货物）。</w:t>
      </w:r>
    </w:p>
    <w:p w14:paraId="6E12D56D">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47BC101D">
      <w:pPr>
        <w:spacing w:before="48" w:beforeLines="20"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75E707CF">
      <w:pPr>
        <w:spacing w:line="588" w:lineRule="exact"/>
        <w:ind w:firstLine="480" w:firstLineChars="200"/>
        <w:rPr>
          <w:rFonts w:ascii="宋体" w:hAnsi="宋体" w:eastAsia="宋体" w:cs="宋体"/>
          <w:b/>
          <w:bCs/>
          <w:color w:val="000000" w:themeColor="text1"/>
          <w:sz w:val="24"/>
          <w:szCs w:val="24"/>
          <w14:textFill>
            <w14:solidFill>
              <w14:schemeClr w14:val="tx1"/>
            </w14:solidFill>
          </w14:textFill>
        </w:rPr>
      </w:pPr>
      <w:bookmarkStart w:id="86" w:name="_Hlk60666116"/>
      <w:r>
        <w:rPr>
          <w:rFonts w:hint="eastAsia" w:ascii="宋体" w:hAnsi="宋体" w:eastAsia="宋体" w:cs="宋体"/>
          <w:snapToGrid w:val="0"/>
          <w:color w:val="000000" w:themeColor="text1"/>
          <w:sz w:val="24"/>
          <w:szCs w:val="24"/>
          <w14:textFill>
            <w14:solidFill>
              <w14:schemeClr w14:val="tx1"/>
            </w14:solidFill>
          </w14:textFill>
        </w:rPr>
        <w:t xml:space="preserve"> </w:t>
      </w:r>
    </w:p>
    <w:bookmarkEnd w:id="86"/>
    <w:p w14:paraId="31885BC6">
      <w:pPr>
        <w:spacing w:line="588" w:lineRule="exact"/>
        <w:ind w:firstLine="504" w:firstLineChars="200"/>
        <w:rPr>
          <w:rFonts w:ascii="宋体" w:hAnsi="宋体" w:eastAsia="宋体" w:cs="宋体"/>
          <w:color w:val="000000" w:themeColor="text1"/>
          <w:spacing w:val="6"/>
          <w:sz w:val="24"/>
          <w:szCs w:val="24"/>
          <w14:textFill>
            <w14:solidFill>
              <w14:schemeClr w14:val="tx1"/>
            </w14:solidFill>
          </w14:textFill>
        </w:rPr>
      </w:pPr>
    </w:p>
    <w:p w14:paraId="57C0FF5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6D438F1E">
      <w:pPr>
        <w:spacing w:line="588" w:lineRule="exact"/>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54D0E4A1">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5893BC46">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53EA47F2">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7D1A0096">
      <w:pPr>
        <w:spacing w:line="360" w:lineRule="auto"/>
        <w:ind w:left="5500" w:leftChars="25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  年   月   日</w:t>
      </w:r>
    </w:p>
    <w:p w14:paraId="41AC86DE">
      <w:pPr>
        <w:spacing w:line="320" w:lineRule="exact"/>
        <w:rPr>
          <w:rFonts w:ascii="宋体" w:hAnsi="宋体" w:eastAsia="宋体" w:cs="宋体"/>
          <w:color w:val="000000" w:themeColor="text1"/>
          <w:sz w:val="24"/>
          <w:szCs w:val="24"/>
          <w14:textFill>
            <w14:solidFill>
              <w14:schemeClr w14:val="tx1"/>
            </w14:solidFill>
          </w14:textFill>
        </w:rPr>
      </w:pPr>
    </w:p>
    <w:p w14:paraId="03E9BD10">
      <w:pPr>
        <w:pStyle w:val="33"/>
        <w:ind w:firstLine="0"/>
        <w:rPr>
          <w:rFonts w:ascii="宋体" w:hAnsi="宋体" w:cs="宋体"/>
          <w:color w:val="000000" w:themeColor="text1"/>
          <w14:textFill>
            <w14:solidFill>
              <w14:schemeClr w14:val="tx1"/>
            </w14:solidFill>
          </w14:textFill>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antinghei SC">
    <w:altName w:val="宋体"/>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C662">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35422B9A">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32CC">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039ACDE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7A9A">
    <w:pPr>
      <w:pStyle w:val="16"/>
    </w:pPr>
  </w:p>
  <w:p w14:paraId="5FCACC73">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2CA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mQwZjI0MmU5YTg5ODk2N2FkYjMyNWI5NTM5NjE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395009"/>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962F0E"/>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A2898"/>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216936"/>
    <w:rsid w:val="1A424B3D"/>
    <w:rsid w:val="1A495ECC"/>
    <w:rsid w:val="1A9C26B3"/>
    <w:rsid w:val="1AB377E9"/>
    <w:rsid w:val="1B1B3613"/>
    <w:rsid w:val="1B23480E"/>
    <w:rsid w:val="1B65679B"/>
    <w:rsid w:val="1B9C64CF"/>
    <w:rsid w:val="1BC21459"/>
    <w:rsid w:val="1BC872C4"/>
    <w:rsid w:val="1C47468D"/>
    <w:rsid w:val="1C4E1AFF"/>
    <w:rsid w:val="1C63666B"/>
    <w:rsid w:val="1C6568C1"/>
    <w:rsid w:val="1C766D20"/>
    <w:rsid w:val="1C9D24FF"/>
    <w:rsid w:val="1C9D42AD"/>
    <w:rsid w:val="1CAF7C2C"/>
    <w:rsid w:val="1CB16579"/>
    <w:rsid w:val="1CDD28FB"/>
    <w:rsid w:val="1CE37586"/>
    <w:rsid w:val="1CE53D0D"/>
    <w:rsid w:val="1CEE445B"/>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E86D1F"/>
    <w:rsid w:val="1EF26B32"/>
    <w:rsid w:val="1EF51974"/>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5A74F6"/>
    <w:rsid w:val="286B1001"/>
    <w:rsid w:val="28814A83"/>
    <w:rsid w:val="28957928"/>
    <w:rsid w:val="28DE3C83"/>
    <w:rsid w:val="28E05C4D"/>
    <w:rsid w:val="28E82D54"/>
    <w:rsid w:val="28FC23EA"/>
    <w:rsid w:val="29332221"/>
    <w:rsid w:val="29B570DA"/>
    <w:rsid w:val="29C21161"/>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D3038E"/>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B561BD"/>
    <w:rsid w:val="2EC851B9"/>
    <w:rsid w:val="2F0C331C"/>
    <w:rsid w:val="2F1E74CF"/>
    <w:rsid w:val="2F266384"/>
    <w:rsid w:val="2F34284F"/>
    <w:rsid w:val="2F4607D4"/>
    <w:rsid w:val="2F511166"/>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97FEC"/>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7FB7F56"/>
    <w:rsid w:val="480037BE"/>
    <w:rsid w:val="48362D3C"/>
    <w:rsid w:val="48716663"/>
    <w:rsid w:val="48772556"/>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2F7F90"/>
    <w:rsid w:val="534D68B8"/>
    <w:rsid w:val="53750119"/>
    <w:rsid w:val="537A08C9"/>
    <w:rsid w:val="537F7C8D"/>
    <w:rsid w:val="53963229"/>
    <w:rsid w:val="53D77AC9"/>
    <w:rsid w:val="53D8739D"/>
    <w:rsid w:val="53E45D42"/>
    <w:rsid w:val="53E915AA"/>
    <w:rsid w:val="53F65A75"/>
    <w:rsid w:val="53F74CF2"/>
    <w:rsid w:val="53F817ED"/>
    <w:rsid w:val="541072F0"/>
    <w:rsid w:val="541C1980"/>
    <w:rsid w:val="543E18F6"/>
    <w:rsid w:val="548B440F"/>
    <w:rsid w:val="54996B2C"/>
    <w:rsid w:val="54A42743"/>
    <w:rsid w:val="54B576DE"/>
    <w:rsid w:val="54C16083"/>
    <w:rsid w:val="55287EB0"/>
    <w:rsid w:val="554A7E27"/>
    <w:rsid w:val="556C2493"/>
    <w:rsid w:val="556F6521"/>
    <w:rsid w:val="559612BE"/>
    <w:rsid w:val="559973DD"/>
    <w:rsid w:val="559B2D78"/>
    <w:rsid w:val="55D122F6"/>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7D769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0A0F3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DF60FA"/>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6DF5D9E"/>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851202"/>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40A56"/>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6FF877E3"/>
    <w:rsid w:val="70186E1E"/>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078C"/>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9C260C"/>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 w:val="977F3CB5"/>
    <w:rsid w:val="DFF62124"/>
    <w:rsid w:val="E62F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6"/>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6"/>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5"/>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6"/>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4"/>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 w:type="paragraph" w:customStyle="1" w:styleId="5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16595</Words>
  <Characters>17585</Characters>
  <Lines>130</Lines>
  <Paragraphs>36</Paragraphs>
  <TotalTime>11</TotalTime>
  <ScaleCrop>false</ScaleCrop>
  <LinksUpToDate>false</LinksUpToDate>
  <CharactersWithSpaces>19441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dc:creator>
  <cp:lastModifiedBy>审计与法务处</cp:lastModifiedBy>
  <dcterms:modified xsi:type="dcterms:W3CDTF">2024-11-22T09:28:23Z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5F54F6AF7A344BC86F493C67D46E2DD1_43</vt:lpwstr>
  </property>
</Properties>
</file>