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7063">
      <w:pPr>
        <w:pStyle w:val="33"/>
        <w:ind w:firstLine="0"/>
        <w:jc w:val="center"/>
        <w:rPr>
          <w:rFonts w:eastAsia="黑体"/>
          <w:b/>
          <w:bCs/>
          <w:color w:val="auto"/>
          <w:sz w:val="84"/>
        </w:rPr>
      </w:pPr>
      <w:bookmarkStart w:id="77" w:name="_GoBack"/>
      <w:r>
        <w:rPr>
          <w:color w:val="auto"/>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1206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8TgAAZHJzL21lZGlhL2ltYWdlMi5wbmdQSwECFAAUAAAACACHTuJAsEKKB+MLAADeCwAA&#10;FAAAAAAAAAABACAAAAAnQg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0EC4E8D4">
      <w:pPr>
        <w:pStyle w:val="33"/>
        <w:ind w:firstLine="0"/>
        <w:jc w:val="center"/>
        <w:rPr>
          <w:rFonts w:eastAsia="黑体"/>
          <w:b/>
          <w:bCs/>
          <w:color w:val="auto"/>
          <w:sz w:val="84"/>
        </w:rPr>
      </w:pPr>
    </w:p>
    <w:p w14:paraId="68F00C78">
      <w:pPr>
        <w:pStyle w:val="33"/>
        <w:ind w:firstLine="0"/>
        <w:jc w:val="center"/>
        <w:rPr>
          <w:rFonts w:ascii="微软雅黑" w:hAnsi="微软雅黑" w:eastAsia="微软雅黑" w:cs="微软雅黑"/>
          <w:b/>
          <w:bCs/>
          <w:color w:val="auto"/>
          <w:sz w:val="84"/>
        </w:rPr>
      </w:pPr>
      <w:r>
        <w:rPr>
          <w:rFonts w:hint="eastAsia" w:ascii="微软雅黑" w:hAnsi="微软雅黑" w:eastAsia="微软雅黑" w:cs="微软雅黑"/>
          <w:b/>
          <w:bCs/>
          <w:color w:val="auto"/>
          <w:sz w:val="96"/>
          <w:szCs w:val="28"/>
        </w:rPr>
        <w:t>招　标　文　件</w:t>
      </w:r>
    </w:p>
    <w:p w14:paraId="76FC6087">
      <w:pPr>
        <w:pStyle w:val="33"/>
        <w:ind w:firstLine="2401" w:firstLineChars="750"/>
        <w:rPr>
          <w:rFonts w:ascii="微软雅黑" w:hAnsi="微软雅黑" w:eastAsia="微软雅黑" w:cs="微软雅黑"/>
          <w:b/>
          <w:bCs/>
          <w:color w:val="auto"/>
          <w:sz w:val="32"/>
        </w:rPr>
      </w:pPr>
    </w:p>
    <w:p w14:paraId="2C15F64E">
      <w:pPr>
        <w:pStyle w:val="33"/>
        <w:rPr>
          <w:rFonts w:ascii="微软雅黑" w:hAnsi="微软雅黑" w:eastAsia="微软雅黑" w:cs="微软雅黑"/>
          <w:b/>
          <w:bCs/>
          <w:color w:val="auto"/>
          <w:sz w:val="32"/>
        </w:rPr>
      </w:pPr>
    </w:p>
    <w:p w14:paraId="3DB04F8C">
      <w:pPr>
        <w:pStyle w:val="33"/>
        <w:rPr>
          <w:rFonts w:ascii="微软雅黑" w:hAnsi="微软雅黑" w:eastAsia="微软雅黑" w:cs="微软雅黑"/>
          <w:b/>
          <w:bCs/>
          <w:color w:val="auto"/>
          <w:sz w:val="32"/>
          <w:u w:val="thick"/>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6350" r="6350" b="12065"/>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x/gsdgAAAAJAQAA&#10;DwAAAAAAAAABACAAAAAiAAAAZHJzL2Rvd25yZXYueG1sUEsBAhQAFAAAAAgAh07iQMtNJgrgAQAA&#10;0gMAAA4AAAAAAAAAAQAgAAAAJw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项目名称：</w:t>
      </w:r>
      <w:r>
        <w:rPr>
          <w:rFonts w:hint="eastAsia" w:ascii="微软雅黑" w:hAnsi="微软雅黑" w:eastAsia="微软雅黑" w:cs="微软雅黑"/>
          <w:b/>
          <w:bCs/>
          <w:color w:val="auto"/>
          <w:sz w:val="32"/>
          <w:u w:val="thick"/>
        </w:rPr>
        <w:t xml:space="preserve">   网络安全等级保护测评及相关服务                                         </w:t>
      </w:r>
    </w:p>
    <w:p w14:paraId="00518BCF">
      <w:pPr>
        <w:pStyle w:val="33"/>
        <w:rPr>
          <w:rFonts w:ascii="微软雅黑" w:hAnsi="微软雅黑" w:eastAsia="微软雅黑" w:cs="微软雅黑"/>
          <w:b/>
          <w:bCs/>
          <w:color w:val="auto"/>
          <w:sz w:val="13"/>
          <w:szCs w:val="10"/>
          <w:u w:val="thick"/>
        </w:rPr>
      </w:pPr>
    </w:p>
    <w:p w14:paraId="5BBDE318">
      <w:pPr>
        <w:pStyle w:val="33"/>
        <w:ind w:firstLine="0"/>
        <w:rPr>
          <w:rFonts w:hint="eastAsia" w:ascii="微软雅黑" w:hAnsi="微软雅黑" w:eastAsia="微软雅黑" w:cs="微软雅黑"/>
          <w:b/>
          <w:bCs/>
          <w:color w:val="auto"/>
          <w:sz w:val="32"/>
          <w:u w:val="thick"/>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6350" r="6350" b="12065"/>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 xml:space="preserve">     项目编号：</w:t>
      </w:r>
      <w:r>
        <w:rPr>
          <w:rFonts w:hint="eastAsia" w:ascii="微软雅黑" w:hAnsi="微软雅黑" w:eastAsia="微软雅黑" w:cs="微软雅黑"/>
          <w:b/>
          <w:bCs/>
          <w:color w:val="auto"/>
          <w:sz w:val="32"/>
          <w:lang w:val="en-US" w:eastAsia="zh-CN"/>
        </w:rPr>
        <w:t xml:space="preserve">   </w:t>
      </w:r>
      <w:r>
        <w:rPr>
          <w:rFonts w:hint="eastAsia" w:ascii="微软雅黑" w:hAnsi="微软雅黑" w:eastAsia="微软雅黑" w:cs="微软雅黑"/>
          <w:b/>
          <w:bCs/>
          <w:color w:val="auto"/>
          <w:sz w:val="32"/>
          <w:u w:val="thick"/>
        </w:rPr>
        <w:t>NJMUZB2242024037</w:t>
      </w:r>
    </w:p>
    <w:p w14:paraId="1459EC6F">
      <w:pPr>
        <w:pStyle w:val="33"/>
        <w:spacing w:before="0" w:after="0"/>
        <w:ind w:firstLine="0"/>
        <w:rPr>
          <w:rFonts w:ascii="宋体" w:hAnsi="宋体"/>
          <w:color w:val="auto"/>
        </w:rPr>
      </w:pPr>
    </w:p>
    <w:p w14:paraId="0170805F">
      <w:pPr>
        <w:pStyle w:val="33"/>
        <w:spacing w:before="0" w:after="0"/>
        <w:ind w:firstLine="0"/>
        <w:rPr>
          <w:rFonts w:ascii="宋体" w:hAnsi="宋体"/>
          <w:color w:val="auto"/>
        </w:rPr>
      </w:pPr>
    </w:p>
    <w:p w14:paraId="45C812A2">
      <w:pPr>
        <w:pStyle w:val="33"/>
        <w:spacing w:before="0" w:after="0"/>
        <w:ind w:firstLine="0"/>
        <w:rPr>
          <w:rFonts w:ascii="宋体" w:hAnsi="宋体"/>
          <w:color w:val="auto"/>
        </w:rPr>
      </w:pPr>
    </w:p>
    <w:p w14:paraId="30DA202F">
      <w:pPr>
        <w:pStyle w:val="33"/>
        <w:spacing w:before="0" w:after="0"/>
        <w:ind w:firstLine="0"/>
        <w:rPr>
          <w:rFonts w:ascii="宋体" w:hAnsi="宋体"/>
          <w:color w:val="auto"/>
        </w:rPr>
      </w:pPr>
    </w:p>
    <w:p w14:paraId="0AC0E320">
      <w:pPr>
        <w:pStyle w:val="33"/>
        <w:ind w:firstLine="0"/>
        <w:jc w:val="center"/>
        <w:rPr>
          <w:rFonts w:ascii="微软雅黑" w:hAnsi="微软雅黑" w:eastAsia="微软雅黑" w:cs="微软雅黑"/>
          <w:b/>
          <w:bCs/>
          <w:color w:val="auto"/>
          <w:sz w:val="32"/>
        </w:rPr>
      </w:pPr>
      <w:r>
        <w:rPr>
          <w:rFonts w:hint="eastAsia" w:ascii="微软雅黑" w:hAnsi="微软雅黑" w:eastAsia="微软雅黑" w:cs="微软雅黑"/>
          <w:b/>
          <w:bCs/>
          <w:color w:val="auto"/>
          <w:sz w:val="32"/>
        </w:rPr>
        <w:t>二零二四年</w:t>
      </w:r>
      <w:r>
        <w:rPr>
          <w:rFonts w:hint="eastAsia" w:ascii="微软雅黑" w:hAnsi="微软雅黑" w:eastAsia="微软雅黑" w:cs="微软雅黑"/>
          <w:b/>
          <w:bCs/>
          <w:color w:val="auto"/>
          <w:sz w:val="32"/>
        </w:rPr>
        <w:t>11</w:t>
      </w:r>
      <w:r>
        <w:rPr>
          <w:rFonts w:hint="eastAsia" w:ascii="微软雅黑" w:hAnsi="微软雅黑" w:eastAsia="微软雅黑" w:cs="微软雅黑"/>
          <w:b/>
          <w:bCs/>
          <w:color w:val="auto"/>
          <w:sz w:val="32"/>
        </w:rPr>
        <w:t>月</w:t>
      </w:r>
    </w:p>
    <w:p w14:paraId="2764A235">
      <w:pPr>
        <w:pStyle w:val="33"/>
        <w:ind w:firstLine="0"/>
        <w:jc w:val="center"/>
        <w:rPr>
          <w:rFonts w:ascii="微软雅黑" w:hAnsi="微软雅黑" w:eastAsia="微软雅黑" w:cs="微软雅黑"/>
          <w:b/>
          <w:bCs/>
          <w:color w:val="auto"/>
          <w:sz w:val="32"/>
        </w:rPr>
      </w:pPr>
    </w:p>
    <w:p w14:paraId="27A0D93C">
      <w:pPr>
        <w:pStyle w:val="33"/>
        <w:ind w:firstLine="0"/>
        <w:jc w:val="center"/>
        <w:rPr>
          <w:rFonts w:eastAsia="黑体"/>
          <w:b/>
          <w:bCs/>
          <w:color w:val="auto"/>
          <w:sz w:val="32"/>
        </w:rPr>
      </w:pPr>
      <w:bookmarkStart w:id="0" w:name="_Toc517190880"/>
      <w:bookmarkStart w:id="1" w:name="_Toc120614210"/>
      <w:bookmarkStart w:id="2" w:name="_Toc513029200"/>
      <w:bookmarkStart w:id="3" w:name="_Toc20823272"/>
      <w:bookmarkStart w:id="4" w:name="_Toc16938516"/>
      <w:bookmarkStart w:id="5" w:name="_Toc479757206"/>
      <w:bookmarkStart w:id="6" w:name="_Toc523127445"/>
      <w:r>
        <w:rPr>
          <w:rFonts w:hint="eastAsia" w:ascii="黑体" w:hAnsi="黑体" w:eastAsia="黑体"/>
          <w:b/>
          <w:color w:val="auto"/>
          <w:sz w:val="44"/>
          <w:szCs w:val="28"/>
        </w:rPr>
        <w:t>目  录</w:t>
      </w:r>
      <w:bookmarkEnd w:id="0"/>
    </w:p>
    <w:p w14:paraId="28E391A1">
      <w:pPr>
        <w:pStyle w:val="18"/>
        <w:tabs>
          <w:tab w:val="right" w:leader="dot" w:pos="8306"/>
        </w:tabs>
        <w:rPr>
          <w:rFonts w:ascii="宋体" w:hAnsi="宋体" w:cs="宋体"/>
          <w:color w:val="auto"/>
          <w:sz w:val="24"/>
          <w:szCs w:val="24"/>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"_Toc19097"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_Toc19097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91DDF1F">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"_Toc28299"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_Toc28299 \h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DCBD5FE">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"_Toc23761" </w:instrText>
      </w:r>
      <w:r>
        <w:rPr>
          <w:color w:val="auto"/>
        </w:rPr>
        <w:fldChar w:fldCharType="separate"/>
      </w:r>
      <w:r>
        <w:rPr>
          <w:rFonts w:hint="eastAsia" w:ascii="宋体" w:hAnsi="宋体" w:cs="宋体"/>
          <w:color w:val="auto"/>
          <w:sz w:val="24"/>
          <w:szCs w:val="24"/>
        </w:rPr>
        <w:t>第三章  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_Toc23761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90CE2E2">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"_Toc23581" </w:instrText>
      </w:r>
      <w:r>
        <w:rPr>
          <w:color w:val="auto"/>
        </w:rPr>
        <w:fldChar w:fldCharType="separate"/>
      </w:r>
      <w:r>
        <w:rPr>
          <w:rFonts w:hint="eastAsia" w:ascii="宋体" w:hAnsi="宋体" w:cs="宋体"/>
          <w:color w:val="auto"/>
          <w:sz w:val="24"/>
          <w:szCs w:val="24"/>
        </w:rPr>
        <w:t>第四章  评标方法与评标标准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_Toc23581 \h </w:instrText>
      </w:r>
      <w:r>
        <w:rPr>
          <w:rFonts w:hint="eastAsia" w:ascii="宋体" w:hAnsi="宋体" w:cs="宋体"/>
          <w:color w:val="auto"/>
          <w:sz w:val="24"/>
          <w:szCs w:val="24"/>
        </w:rPr>
        <w:fldChar w:fldCharType="separate"/>
      </w:r>
      <w:r>
        <w:rPr>
          <w:rFonts w:hint="eastAsia" w:ascii="宋体" w:hAnsi="宋体" w:cs="宋体"/>
          <w:color w:val="auto"/>
          <w:sz w:val="24"/>
          <w:szCs w:val="24"/>
        </w:rPr>
        <w:t>20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7F3327D">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"_Toc13969"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_Toc13969 \h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45B6D1C">
      <w:pPr>
        <w:pStyle w:val="18"/>
        <w:tabs>
          <w:tab w:val="right" w:leader="dot" w:pos="8306"/>
        </w:tabs>
        <w:rPr>
          <w:color w:val="auto"/>
        </w:rPr>
      </w:pPr>
      <w:r>
        <w:rPr>
          <w:color w:val="auto"/>
        </w:rPr>
        <w:fldChar w:fldCharType="begin"/>
      </w:r>
      <w:r>
        <w:rPr>
          <w:color w:val="auto"/>
        </w:rPr>
        <w:instrText xml:space="preserve"> HYPERLINK \l "_Toc14881" </w:instrText>
      </w:r>
      <w:r>
        <w:rPr>
          <w:color w:val="auto"/>
        </w:rPr>
        <w:fldChar w:fldCharType="separate"/>
      </w:r>
      <w:r>
        <w:rPr>
          <w:rFonts w:hint="eastAsia" w:ascii="宋体" w:hAnsi="宋体" w:cs="宋体"/>
          <w:color w:val="auto"/>
          <w:kern w:val="0"/>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_Toc14881 \h </w:instrText>
      </w:r>
      <w:r>
        <w:rPr>
          <w:rFonts w:hint="eastAsia" w:ascii="宋体" w:hAnsi="宋体" w:cs="宋体"/>
          <w:color w:val="auto"/>
          <w:sz w:val="24"/>
          <w:szCs w:val="24"/>
        </w:rPr>
        <w:fldChar w:fldCharType="separate"/>
      </w:r>
      <w:r>
        <w:rPr>
          <w:rFonts w:hint="eastAsia" w:ascii="宋体" w:hAnsi="宋体" w:cs="宋体"/>
          <w:color w:val="auto"/>
          <w:sz w:val="24"/>
          <w:szCs w:val="24"/>
        </w:rPr>
        <w:t>26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E08863F">
      <w:pPr>
        <w:spacing w:line="360" w:lineRule="auto"/>
        <w:jc w:val="center"/>
        <w:outlineLvl w:val="0"/>
        <w:rPr>
          <w:rFonts w:ascii="黑体" w:hAnsi="Arial" w:eastAsia="黑体"/>
          <w:b/>
          <w:color w:val="auto"/>
          <w:sz w:val="44"/>
        </w:rPr>
      </w:pPr>
      <w:r>
        <w:rPr>
          <w:rFonts w:asciiTheme="minorEastAsia" w:hAnsiTheme="minorEastAsia" w:eastAsiaTheme="minorEastAsia"/>
          <w:color w:val="auto"/>
          <w:szCs w:val="28"/>
        </w:rPr>
        <w:fldChar w:fldCharType="end"/>
      </w:r>
    </w:p>
    <w:p w14:paraId="179D391D">
      <w:pPr>
        <w:spacing w:line="480" w:lineRule="auto"/>
        <w:rPr>
          <w:rFonts w:ascii="仿宋_GB2312" w:hAnsi="Arial" w:eastAsia="仿宋_GB2312"/>
          <w:b/>
          <w:color w:val="auto"/>
          <w:sz w:val="28"/>
        </w:rPr>
      </w:pPr>
    </w:p>
    <w:p w14:paraId="52E717C2">
      <w:pPr>
        <w:rPr>
          <w:color w:val="auto"/>
        </w:rPr>
      </w:pPr>
    </w:p>
    <w:p w14:paraId="409DAD8D">
      <w:pPr>
        <w:rPr>
          <w:color w:val="auto"/>
        </w:rPr>
      </w:pPr>
    </w:p>
    <w:p w14:paraId="77572F13">
      <w:pPr>
        <w:rPr>
          <w:color w:val="auto"/>
        </w:rPr>
      </w:pPr>
    </w:p>
    <w:p w14:paraId="4FBCBA89">
      <w:pPr>
        <w:rPr>
          <w:color w:val="auto"/>
        </w:rPr>
      </w:pPr>
    </w:p>
    <w:p w14:paraId="6B93ACE7">
      <w:pPr>
        <w:rPr>
          <w:color w:val="auto"/>
        </w:rPr>
      </w:pPr>
    </w:p>
    <w:p w14:paraId="680DCECB">
      <w:pPr>
        <w:rPr>
          <w:color w:val="auto"/>
        </w:rPr>
      </w:pPr>
    </w:p>
    <w:p w14:paraId="57E1A879">
      <w:pPr>
        <w:rPr>
          <w:color w:val="auto"/>
        </w:rPr>
      </w:pPr>
    </w:p>
    <w:p w14:paraId="09199905">
      <w:pPr>
        <w:rPr>
          <w:color w:val="auto"/>
        </w:rPr>
      </w:pPr>
    </w:p>
    <w:p w14:paraId="74AF15CC">
      <w:pPr>
        <w:rPr>
          <w:color w:val="auto"/>
        </w:rPr>
      </w:pPr>
    </w:p>
    <w:p w14:paraId="745FDCAA">
      <w:pPr>
        <w:rPr>
          <w:color w:val="auto"/>
        </w:rPr>
      </w:pPr>
    </w:p>
    <w:p w14:paraId="31050F54">
      <w:pPr>
        <w:rPr>
          <w:color w:val="auto"/>
        </w:rPr>
      </w:pPr>
    </w:p>
    <w:p w14:paraId="1FC357F7">
      <w:pPr>
        <w:rPr>
          <w:color w:val="auto"/>
        </w:rPr>
      </w:pPr>
    </w:p>
    <w:p w14:paraId="708DAC8C">
      <w:pPr>
        <w:rPr>
          <w:color w:val="auto"/>
        </w:rPr>
      </w:pPr>
    </w:p>
    <w:p w14:paraId="3A2E3C64">
      <w:pPr>
        <w:rPr>
          <w:color w:val="auto"/>
        </w:rPr>
      </w:pPr>
    </w:p>
    <w:p w14:paraId="28920D36">
      <w:pPr>
        <w:rPr>
          <w:color w:val="auto"/>
        </w:rPr>
      </w:pPr>
    </w:p>
    <w:p w14:paraId="72992986">
      <w:pPr>
        <w:rPr>
          <w:color w:val="auto"/>
        </w:rPr>
      </w:pPr>
    </w:p>
    <w:bookmarkEnd w:id="1"/>
    <w:p w14:paraId="34C9DBEB">
      <w:pPr>
        <w:pStyle w:val="3"/>
        <w:pageBreakBefore/>
        <w:rPr>
          <w:rFonts w:asciiTheme="majorEastAsia" w:hAnsiTheme="majorEastAsia" w:eastAsiaTheme="majorEastAsia"/>
          <w:b/>
          <w:color w:val="auto"/>
          <w:sz w:val="32"/>
          <w:szCs w:val="32"/>
        </w:rPr>
      </w:pPr>
      <w:bookmarkStart w:id="7" w:name="_Toc19097"/>
      <w:r>
        <w:rPr>
          <w:rFonts w:hint="eastAsia" w:asciiTheme="majorEastAsia" w:hAnsiTheme="majorEastAsia" w:eastAsiaTheme="majorEastAsia"/>
          <w:b/>
          <w:color w:val="auto"/>
          <w:sz w:val="32"/>
          <w:szCs w:val="32"/>
        </w:rPr>
        <w:t>第一章  招标公告</w:t>
      </w:r>
      <w:bookmarkEnd w:id="7"/>
    </w:p>
    <w:p w14:paraId="187D886B">
      <w:pPr>
        <w:rPr>
          <w:color w:val="auto"/>
        </w:rPr>
      </w:pPr>
    </w:p>
    <w:bookmarkEnd w:id="2"/>
    <w:bookmarkEnd w:id="3"/>
    <w:bookmarkEnd w:id="4"/>
    <w:bookmarkEnd w:id="5"/>
    <w:bookmarkEnd w:id="6"/>
    <w:p w14:paraId="57B541D6">
      <w:pPr>
        <w:spacing w:before="120" w:beforeLines="50" w:after="120" w:afterLines="50" w:line="360" w:lineRule="auto"/>
        <w:ind w:firstLine="480" w:firstLineChars="200"/>
        <w:rPr>
          <w:rFonts w:ascii="宋体" w:hAnsi="宋体" w:eastAsia="宋体" w:cs="宋体"/>
          <w:color w:val="auto"/>
          <w:sz w:val="24"/>
          <w:szCs w:val="24"/>
        </w:rPr>
      </w:pPr>
      <w:bookmarkStart w:id="8" w:name="OLE_LINK2"/>
      <w:bookmarkStart w:id="9" w:name="_Toc513029242"/>
      <w:bookmarkStart w:id="10" w:name="_Toc120614221"/>
      <w:bookmarkStart w:id="11" w:name="_Toc20823314"/>
      <w:bookmarkStart w:id="12" w:name="OLE_LINK1"/>
      <w:bookmarkStart w:id="13" w:name="_Toc479757207"/>
      <w:bookmarkStart w:id="14" w:name="_Toc16938558"/>
      <w:bookmarkStart w:id="15" w:name="_Toc120614211"/>
      <w:bookmarkStart w:id="16" w:name="_Toc444669970"/>
      <w:r>
        <w:rPr>
          <w:rFonts w:hint="eastAsia" w:ascii="宋体" w:hAnsi="宋体" w:eastAsia="宋体" w:cs="宋体"/>
          <w:color w:val="auto"/>
          <w:sz w:val="24"/>
          <w:szCs w:val="24"/>
        </w:rPr>
        <w:t>南京医科大学就</w:t>
      </w:r>
      <w:r>
        <w:rPr>
          <w:rFonts w:hint="eastAsia" w:ascii="宋体" w:hAnsi="宋体" w:eastAsia="宋体" w:cs="宋体"/>
          <w:color w:val="auto"/>
          <w:sz w:val="24"/>
          <w:szCs w:val="24"/>
          <w:u w:val="single"/>
        </w:rPr>
        <w:t>网络安全等级保护测评及相关服务</w:t>
      </w:r>
      <w:r>
        <w:rPr>
          <w:rFonts w:hint="eastAsia" w:ascii="宋体" w:hAnsi="宋体" w:eastAsia="宋体" w:cs="宋体"/>
          <w:color w:val="auto"/>
          <w:sz w:val="24"/>
          <w:szCs w:val="24"/>
        </w:rPr>
        <w:t>采购项目公开招标，相应资金已落实，欢迎符合招标公告资质要求的投标人前来投标。</w:t>
      </w:r>
    </w:p>
    <w:p w14:paraId="36CB101D">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一、项目基本情况</w:t>
      </w:r>
    </w:p>
    <w:p w14:paraId="017D5B3C">
      <w:pPr>
        <w:spacing w:beforeAutospacing="1"/>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1.1项目名称：</w:t>
      </w:r>
      <w:r>
        <w:rPr>
          <w:rFonts w:hint="eastAsia" w:ascii="宋体" w:hAnsi="宋体" w:eastAsia="宋体" w:cs="宋体"/>
          <w:color w:val="auto"/>
          <w:sz w:val="28"/>
          <w:szCs w:val="28"/>
          <w:lang w:bidi="ar"/>
        </w:rPr>
        <w:t>南京医科大学网络安全等级保护测评及相关服务购置项目</w:t>
      </w:r>
    </w:p>
    <w:p w14:paraId="4919BCE6">
      <w:pPr>
        <w:spacing w:before="120" w:beforeLines="50" w:after="120" w:afterLines="50" w:line="360" w:lineRule="auto"/>
        <w:ind w:firstLine="480" w:firstLineChars="200"/>
        <w:rPr>
          <w:rFonts w:hint="eastAsia" w:ascii="宋体" w:hAnsi="宋体" w:eastAsia="宋体" w:cs="宋体"/>
          <w:color w:val="auto"/>
          <w:sz w:val="28"/>
          <w:szCs w:val="28"/>
          <w:lang w:bidi="ar"/>
        </w:rPr>
      </w:pPr>
      <w:r>
        <w:rPr>
          <w:rFonts w:hint="eastAsia" w:ascii="宋体" w:hAnsi="宋体" w:eastAsia="宋体" w:cs="宋体"/>
          <w:color w:val="auto"/>
          <w:sz w:val="24"/>
          <w:szCs w:val="24"/>
        </w:rPr>
        <w:t>1.2项目编号：</w:t>
      </w:r>
      <w:r>
        <w:rPr>
          <w:rFonts w:hint="eastAsia" w:ascii="宋体" w:hAnsi="宋体" w:eastAsia="宋体" w:cs="宋体"/>
          <w:color w:val="auto"/>
          <w:sz w:val="28"/>
          <w:szCs w:val="28"/>
          <w:lang w:bidi="ar"/>
        </w:rPr>
        <w:t>NJMUZB2242024037</w:t>
      </w:r>
    </w:p>
    <w:p w14:paraId="04C6B9CA">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1.3项目预算：人民币</w:t>
      </w:r>
      <w:r>
        <w:rPr>
          <w:rFonts w:hint="eastAsia" w:ascii="宋体" w:hAnsi="宋体" w:eastAsia="宋体" w:cs="宋体"/>
          <w:color w:val="auto"/>
          <w:sz w:val="24"/>
          <w:szCs w:val="24"/>
          <w:u w:val="single"/>
        </w:rPr>
        <w:t xml:space="preserve">  壹拾叁  </w:t>
      </w:r>
      <w:r>
        <w:rPr>
          <w:rFonts w:hint="eastAsia" w:ascii="宋体" w:hAnsi="宋体" w:eastAsia="宋体" w:cs="宋体"/>
          <w:color w:val="auto"/>
          <w:sz w:val="24"/>
          <w:szCs w:val="24"/>
        </w:rPr>
        <w:t xml:space="preserve">万元（¥ 130000.00元 ）  </w:t>
      </w:r>
    </w:p>
    <w:p w14:paraId="44F73983">
      <w:pPr>
        <w:spacing w:before="120" w:beforeLines="50" w:after="120" w:afterLines="50" w:line="360" w:lineRule="auto"/>
        <w:ind w:firstLine="480" w:firstLineChars="200"/>
        <w:rPr>
          <w:rFonts w:ascii="宋体" w:hAnsi="宋体" w:cs="宋体"/>
          <w:b/>
          <w:color w:val="auto"/>
          <w:sz w:val="24"/>
          <w:szCs w:val="24"/>
        </w:rPr>
      </w:pPr>
      <w:r>
        <w:rPr>
          <w:rFonts w:hint="eastAsia" w:ascii="宋体" w:hAnsi="宋体" w:eastAsia="宋体" w:cs="宋体"/>
          <w:color w:val="auto"/>
          <w:sz w:val="24"/>
          <w:szCs w:val="24"/>
        </w:rPr>
        <w:t>1.4最高总限价：</w:t>
      </w:r>
      <w:bookmarkStart w:id="17" w:name="OLE_LINK3"/>
      <w:r>
        <w:rPr>
          <w:rFonts w:hint="eastAsia" w:ascii="宋体" w:hAnsi="宋体" w:eastAsia="宋体" w:cs="宋体"/>
          <w:color w:val="auto"/>
          <w:sz w:val="24"/>
          <w:szCs w:val="24"/>
          <w:u w:val="single"/>
        </w:rPr>
        <w:t xml:space="preserve">  13  </w:t>
      </w:r>
      <w:bookmarkEnd w:id="17"/>
      <w:r>
        <w:rPr>
          <w:rFonts w:hint="eastAsia" w:ascii="宋体" w:hAnsi="宋体" w:eastAsia="宋体" w:cs="宋体"/>
          <w:color w:val="auto"/>
          <w:sz w:val="24"/>
          <w:szCs w:val="24"/>
        </w:rPr>
        <w:t xml:space="preserve">万元，投标报价超过最高限价的为无效投标。                                             </w:t>
      </w:r>
    </w:p>
    <w:p w14:paraId="7427022E">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二、项目需求</w:t>
      </w:r>
    </w:p>
    <w:p w14:paraId="5ED48EE3">
      <w:pPr>
        <w:spacing w:before="120" w:beforeLines="50" w:after="120" w:afterLines="50" w:line="360" w:lineRule="auto"/>
        <w:ind w:firstLine="480" w:firstLineChars="200"/>
        <w:rPr>
          <w:rFonts w:ascii="宋体" w:hAnsi="宋体" w:eastAsia="宋体" w:cs="宋体"/>
          <w:color w:val="auto"/>
          <w:sz w:val="24"/>
          <w:szCs w:val="24"/>
        </w:rPr>
      </w:pPr>
      <w:bookmarkStart w:id="18" w:name="OLE_LINK4"/>
      <w:r>
        <w:rPr>
          <w:rFonts w:hint="eastAsia" w:ascii="宋体" w:hAnsi="宋体" w:eastAsia="宋体" w:cs="宋体"/>
          <w:color w:val="auto"/>
          <w:sz w:val="24"/>
          <w:szCs w:val="24"/>
        </w:rPr>
        <w:t>2.1采购需求：网络安全等级保护测评。</w:t>
      </w:r>
    </w:p>
    <w:p w14:paraId="4B9B0E6A">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2.2合同履行期限：合同签订后一年。</w:t>
      </w:r>
    </w:p>
    <w:p w14:paraId="337EF675">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2.3本项目不接受联合体投标。</w:t>
      </w:r>
    </w:p>
    <w:p w14:paraId="20B3E53C">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具体技术参数见采购文件第三章“采购需求”。</w:t>
      </w:r>
    </w:p>
    <w:bookmarkEnd w:id="18"/>
    <w:p w14:paraId="57F30785">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申请人的资格要求</w:t>
      </w:r>
    </w:p>
    <w:p w14:paraId="087924F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3.1满足《中华人民共和国政府采购法》第二十二条规定，提供下列材料： </w:t>
      </w:r>
    </w:p>
    <w:p w14:paraId="4FB3A21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w:t>
      </w:r>
      <w:r>
        <w:rPr>
          <w:rFonts w:hint="eastAsia" w:ascii="宋体" w:hAnsi="宋体" w:eastAsia="宋体" w:cs="宋体"/>
          <w:b/>
          <w:bCs/>
          <w:color w:val="auto"/>
          <w:sz w:val="24"/>
          <w:szCs w:val="24"/>
        </w:rPr>
        <w:t>营业执照</w:t>
      </w:r>
      <w:r>
        <w:rPr>
          <w:rFonts w:hint="eastAsia" w:ascii="宋体" w:hAnsi="宋体" w:eastAsia="宋体" w:cs="宋体"/>
          <w:color w:val="auto"/>
          <w:sz w:val="24"/>
          <w:szCs w:val="24"/>
        </w:rPr>
        <w:t>（投标人为自然人的提供其</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w:t>
      </w:r>
      <w:r>
        <w:rPr>
          <w:rFonts w:hint="eastAsia" w:ascii="宋体" w:hAnsi="宋体" w:eastAsia="宋体" w:cs="宋体"/>
          <w:b/>
          <w:bCs/>
          <w:color w:val="auto"/>
          <w:sz w:val="24"/>
          <w:szCs w:val="24"/>
        </w:rPr>
        <w:t>法定代表人和授权代表</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（提供相关证明材料</w:t>
      </w:r>
      <w:r>
        <w:rPr>
          <w:rFonts w:hint="eastAsia" w:ascii="宋体" w:hAnsi="宋体" w:eastAsia="宋体" w:cs="宋体"/>
          <w:b/>
          <w:bCs/>
          <w:color w:val="auto"/>
          <w:sz w:val="24"/>
          <w:szCs w:val="24"/>
        </w:rPr>
        <w:t>复印件并加盖公章</w:t>
      </w:r>
      <w:r>
        <w:rPr>
          <w:rFonts w:hint="eastAsia" w:ascii="宋体" w:hAnsi="宋体" w:eastAsia="宋体" w:cs="宋体"/>
          <w:color w:val="auto"/>
          <w:sz w:val="24"/>
          <w:szCs w:val="24"/>
        </w:rPr>
        <w:t>）；</w:t>
      </w:r>
    </w:p>
    <w:p w14:paraId="1A11EA59">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（2）具有良好的商业信誉和健全的财务会计制度：提供</w:t>
      </w:r>
      <w:r>
        <w:rPr>
          <w:rFonts w:hint="eastAsia" w:ascii="宋体" w:hAnsi="宋体" w:eastAsia="宋体" w:cs="宋体"/>
          <w:b/>
          <w:bCs/>
          <w:color w:val="auto"/>
          <w:sz w:val="24"/>
          <w:szCs w:val="24"/>
        </w:rPr>
        <w:t>上一年度审计报告</w:t>
      </w:r>
      <w:r>
        <w:rPr>
          <w:rFonts w:hint="eastAsia" w:ascii="宋体" w:hAnsi="宋体" w:eastAsia="宋体" w:cs="宋体"/>
          <w:color w:val="auto"/>
          <w:sz w:val="24"/>
          <w:szCs w:val="24"/>
        </w:rPr>
        <w:t>，</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招标截止时间前六个月内</w:t>
      </w:r>
      <w:r>
        <w:rPr>
          <w:rFonts w:hint="eastAsia" w:ascii="宋体" w:hAnsi="宋体" w:eastAsia="宋体" w:cs="宋体"/>
          <w:b/>
          <w:bCs/>
          <w:color w:val="auto"/>
          <w:sz w:val="24"/>
          <w:szCs w:val="24"/>
        </w:rPr>
        <w:t>任一月的财务报告</w:t>
      </w:r>
      <w:r>
        <w:rPr>
          <w:rFonts w:hint="eastAsia" w:ascii="宋体" w:hAnsi="宋体" w:eastAsia="宋体" w:cs="宋体"/>
          <w:color w:val="auto"/>
          <w:sz w:val="24"/>
          <w:szCs w:val="24"/>
        </w:rPr>
        <w:t>（至少包含资产负债表和利润表），或投标截止时间前三个月内银行出具的资信证明，或财政部门认可的专业担保机构出具的担保函；</w:t>
      </w:r>
    </w:p>
    <w:p w14:paraId="0D96C6DA">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（3）具有履行合同所必需的</w:t>
      </w:r>
      <w:r>
        <w:rPr>
          <w:rFonts w:hint="eastAsia" w:ascii="宋体" w:hAnsi="宋体" w:eastAsia="宋体" w:cs="宋体"/>
          <w:b/>
          <w:bCs/>
          <w:color w:val="auto"/>
          <w:sz w:val="24"/>
          <w:szCs w:val="24"/>
        </w:rPr>
        <w:t>设备和专业技术能力</w:t>
      </w:r>
      <w:r>
        <w:rPr>
          <w:rFonts w:hint="eastAsia" w:ascii="宋体" w:hAnsi="宋体" w:eastAsia="宋体" w:cs="宋体"/>
          <w:color w:val="auto"/>
          <w:sz w:val="24"/>
          <w:szCs w:val="24"/>
        </w:rPr>
        <w:t>（格式详见附件）；</w:t>
      </w:r>
    </w:p>
    <w:p w14:paraId="4CFD9F92">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（4）有依法</w:t>
      </w:r>
      <w:r>
        <w:rPr>
          <w:rFonts w:hint="eastAsia" w:ascii="宋体" w:hAnsi="宋体" w:eastAsia="宋体" w:cs="宋体"/>
          <w:b/>
          <w:bCs/>
          <w:color w:val="auto"/>
          <w:sz w:val="24"/>
          <w:szCs w:val="24"/>
        </w:rPr>
        <w:t>缴纳税收和社会保障资金</w:t>
      </w:r>
      <w:r>
        <w:rPr>
          <w:rFonts w:hint="eastAsia" w:ascii="宋体" w:hAnsi="宋体" w:eastAsia="宋体" w:cs="宋体"/>
          <w:color w:val="auto"/>
          <w:sz w:val="24"/>
          <w:szCs w:val="24"/>
        </w:rPr>
        <w:t>的良好记录：提供</w:t>
      </w:r>
      <w:r>
        <w:rPr>
          <w:rFonts w:hint="eastAsia" w:ascii="宋体" w:hAnsi="宋体" w:eastAsia="宋体" w:cs="宋体"/>
          <w:b/>
          <w:bCs/>
          <w:color w:val="auto"/>
          <w:sz w:val="24"/>
          <w:szCs w:val="24"/>
        </w:rPr>
        <w:t>招标截止时间前六个月内任一月</w:t>
      </w:r>
      <w:r>
        <w:rPr>
          <w:rFonts w:hint="eastAsia" w:ascii="宋体" w:hAnsi="宋体" w:eastAsia="宋体" w:cs="宋体"/>
          <w:color w:val="auto"/>
          <w:sz w:val="24"/>
          <w:szCs w:val="24"/>
        </w:rPr>
        <w:t>缴纳增值税，或营业税，或企业所得税的凭据；并提供缴纳社会保险的凭据（专用收据，或社会保险缴纳清单等）；</w:t>
      </w:r>
    </w:p>
    <w:p w14:paraId="0B62FA02">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w:t>
      </w:r>
      <w:r>
        <w:rPr>
          <w:rFonts w:hint="eastAsia" w:ascii="宋体" w:hAnsi="宋体" w:eastAsia="宋体" w:cs="宋体"/>
          <w:b/>
          <w:bCs/>
          <w:color w:val="auto"/>
          <w:sz w:val="24"/>
          <w:szCs w:val="24"/>
        </w:rPr>
        <w:t>没有重大违法记录</w:t>
      </w:r>
      <w:r>
        <w:rPr>
          <w:rFonts w:hint="eastAsia" w:ascii="宋体" w:hAnsi="宋体" w:eastAsia="宋体" w:cs="宋体"/>
          <w:color w:val="auto"/>
          <w:sz w:val="24"/>
          <w:szCs w:val="24"/>
        </w:rPr>
        <w:t>（格式详见附件）；</w:t>
      </w:r>
    </w:p>
    <w:p w14:paraId="75BAA13C">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FCB2EEF">
      <w:pPr>
        <w:spacing w:line="360" w:lineRule="auto"/>
        <w:ind w:firstLine="480" w:firstLineChars="200"/>
        <w:rPr>
          <w:rFonts w:ascii="宋体" w:hAnsi="宋体" w:eastAsia="宋体" w:cs="宋体"/>
          <w:color w:val="auto"/>
          <w:sz w:val="24"/>
          <w:szCs w:val="24"/>
        </w:rPr>
      </w:pPr>
      <w:bookmarkStart w:id="19" w:name="OLE_LINK5"/>
      <w:r>
        <w:rPr>
          <w:rFonts w:hint="eastAsia" w:ascii="宋体" w:hAnsi="宋体" w:eastAsia="宋体" w:cs="宋体"/>
          <w:color w:val="auto"/>
          <w:sz w:val="24"/>
          <w:szCs w:val="24"/>
        </w:rPr>
        <w:t>3.2本项目的特定资格要求：无</w:t>
      </w:r>
    </w:p>
    <w:bookmarkEnd w:id="19"/>
    <w:p w14:paraId="7CFBA3E3">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3.3落实政府采购政策需满足的资格要求：投标人如为中小企业、监狱企业、残疾人福利性单位，提供的产品为国家认定的节能产品和环保产品的须按要求提供相关材料。</w:t>
      </w:r>
    </w:p>
    <w:p w14:paraId="309766D8">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3.4本项目接受进口产品投标；</w:t>
      </w:r>
    </w:p>
    <w:p w14:paraId="1E6C4D53">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3.5本项目不接受联合体参与投标；</w:t>
      </w:r>
    </w:p>
    <w:p w14:paraId="4EE481D3">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3.6拒绝下述投标人参加本次采购活动：</w:t>
      </w:r>
    </w:p>
    <w:p w14:paraId="1B76046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（1）投标人单位负责人为同一人或者存在直接控股、管理关系的不同投标人，不得参加同一合同项下的采购活动。</w:t>
      </w:r>
    </w:p>
    <w:p w14:paraId="6EA9F92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（2）凡为采购项目提供整体设计、规范编制或者项目管理、监理、检测等服务的投标人，不得再参加本项目的采购活动。</w:t>
      </w:r>
    </w:p>
    <w:p w14:paraId="23C1471C">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587F0904">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四、公告发布媒体</w:t>
      </w:r>
    </w:p>
    <w:p w14:paraId="43EBCCAB">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本项目在“https://www.njmu.edu.cn/南京医科大学官方网站”发布</w:t>
      </w:r>
      <w:r>
        <w:rPr>
          <w:rFonts w:hint="eastAsia" w:ascii="宋体" w:hAnsi="宋体" w:eastAsia="宋体" w:cs="宋体"/>
          <w:color w:val="auto"/>
          <w:sz w:val="24"/>
          <w:szCs w:val="24"/>
          <w:lang w:val="zh-CN"/>
        </w:rPr>
        <w:t>公告</w:t>
      </w:r>
      <w:r>
        <w:rPr>
          <w:rFonts w:hint="eastAsia" w:ascii="宋体" w:hAnsi="宋体" w:eastAsia="宋体" w:cs="宋体"/>
          <w:color w:val="auto"/>
          <w:sz w:val="24"/>
          <w:szCs w:val="24"/>
        </w:rPr>
        <w:t>，投标人可自行下载。</w:t>
      </w:r>
    </w:p>
    <w:p w14:paraId="5A820092">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五、投标截止时间及开标信息</w:t>
      </w:r>
    </w:p>
    <w:p w14:paraId="6BC9F3FA">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5.1投标文件接收截止时间及开标时间：</w:t>
      </w:r>
      <w:r>
        <w:rPr>
          <w:rFonts w:hint="eastAsia" w:ascii="宋体" w:hAnsi="宋体" w:eastAsia="宋体" w:cs="宋体"/>
          <w:color w:val="auto"/>
          <w:sz w:val="24"/>
          <w:szCs w:val="24"/>
        </w:rPr>
        <w:t>2024年1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9:15</w:t>
      </w:r>
    </w:p>
    <w:p w14:paraId="05466F29">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5.2投标文件接收地点及开标地点：南京医科大学江宁校区德馨楼B201室</w:t>
      </w:r>
    </w:p>
    <w:p w14:paraId="16B5F511">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5.3投标文件接收要求：（1）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14:paraId="59ABC0AE">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电子版U盘1份</w:t>
      </w:r>
      <w:r>
        <w:rPr>
          <w:rFonts w:hint="eastAsia" w:ascii="宋体" w:hAnsi="宋体" w:eastAsia="宋体" w:cs="宋体"/>
          <w:color w:val="auto"/>
          <w:sz w:val="24"/>
          <w:szCs w:val="24"/>
        </w:rPr>
        <w:t>（须包含投标文件word格式和pdf格式，pdf格式须加盖公司公章）</w:t>
      </w:r>
    </w:p>
    <w:p w14:paraId="3C16F93B">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14:paraId="043807BE">
      <w:pPr>
        <w:spacing w:before="120" w:beforeLines="50" w:after="120" w:afterLines="5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逾期送达及未按要求密封的投标文件，采购人不予接收。</w:t>
      </w:r>
    </w:p>
    <w:p w14:paraId="5D47F54E">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5.4需要现场说明或者澄清的问题，投标商代表未到场确认的，后果自负。</w:t>
      </w:r>
    </w:p>
    <w:p w14:paraId="06AE7E9F">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六、投标保证金</w:t>
      </w:r>
    </w:p>
    <w:p w14:paraId="08BBF198">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本次招标项目</w:t>
      </w:r>
      <w:r>
        <w:rPr>
          <w:rFonts w:hint="eastAsia" w:ascii="宋体" w:hAnsi="宋体" w:eastAsia="宋体" w:cs="宋体"/>
          <w:b/>
          <w:bCs/>
          <w:color w:val="auto"/>
          <w:sz w:val="24"/>
          <w:szCs w:val="24"/>
        </w:rPr>
        <w:t>不收取</w:t>
      </w:r>
      <w:r>
        <w:rPr>
          <w:rFonts w:hint="eastAsia" w:ascii="宋体" w:hAnsi="宋体" w:eastAsia="宋体" w:cs="宋体"/>
          <w:color w:val="auto"/>
          <w:sz w:val="24"/>
          <w:szCs w:val="24"/>
        </w:rPr>
        <w:t>投标保证金。</w:t>
      </w:r>
    </w:p>
    <w:p w14:paraId="6C757A21">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七、项目联系信息</w:t>
      </w:r>
    </w:p>
    <w:p w14:paraId="45F6CDF1">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联系人：潘老师                   联系电话：86868605</w:t>
      </w:r>
    </w:p>
    <w:p w14:paraId="00B1B653">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联系地址：南京医科大学江宁校区邮政编码：211166               </w:t>
      </w:r>
      <w:r>
        <w:rPr>
          <w:rFonts w:hint="eastAsia" w:ascii="宋体" w:hAnsi="宋体" w:eastAsia="宋体" w:cs="宋体"/>
          <w:color w:val="auto"/>
          <w:sz w:val="24"/>
          <w:szCs w:val="24"/>
        </w:rPr>
        <w:t xml:space="preserve">   </w:t>
      </w:r>
    </w:p>
    <w:p w14:paraId="331FEDFA">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八、其他</w:t>
      </w:r>
    </w:p>
    <w:p w14:paraId="49CFA8A7">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p w14:paraId="4FE323D7">
      <w:pPr>
        <w:spacing w:after="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关注“智慧南医”公众号，进入系统，选择“综合服务”——“校园开放日预约”——填写基本信息提交审核。</w:t>
      </w:r>
      <w:r>
        <w:rPr>
          <w:rFonts w:hint="eastAsia" w:ascii="宋体" w:hAnsi="宋体" w:eastAsia="宋体" w:cs="宋体"/>
          <w:color w:val="auto"/>
          <w:sz w:val="24"/>
          <w:szCs w:val="24"/>
        </w:rPr>
        <w:t>如下图：</w:t>
      </w:r>
    </w:p>
    <w:p w14:paraId="4658D6E4">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681119BA">
      <w:pPr>
        <w:spacing w:after="0" w:line="360" w:lineRule="auto"/>
        <w:ind w:firstLine="480" w:firstLineChars="200"/>
        <w:rPr>
          <w:rFonts w:ascii="宋体" w:hAnsi="宋体" w:eastAsia="宋体" w:cs="宋体"/>
          <w:color w:val="auto"/>
          <w:sz w:val="24"/>
          <w:szCs w:val="24"/>
        </w:rPr>
      </w:pPr>
    </w:p>
    <w:bookmarkEnd w:id="8"/>
    <w:bookmarkEnd w:id="9"/>
    <w:bookmarkEnd w:id="10"/>
    <w:bookmarkEnd w:id="11"/>
    <w:bookmarkEnd w:id="12"/>
    <w:bookmarkEnd w:id="13"/>
    <w:bookmarkEnd w:id="14"/>
    <w:bookmarkEnd w:id="15"/>
    <w:bookmarkEnd w:id="16"/>
    <w:p w14:paraId="6AD5B62E">
      <w:pPr>
        <w:pStyle w:val="3"/>
        <w:pageBreakBefore/>
        <w:rPr>
          <w:rFonts w:asciiTheme="majorEastAsia" w:hAnsiTheme="majorEastAsia" w:eastAsiaTheme="majorEastAsia"/>
          <w:b/>
          <w:color w:val="auto"/>
          <w:sz w:val="32"/>
          <w:szCs w:val="32"/>
        </w:rPr>
      </w:pPr>
      <w:bookmarkStart w:id="20" w:name="_Toc28299"/>
      <w:r>
        <w:rPr>
          <w:rFonts w:hint="eastAsia" w:asciiTheme="majorEastAsia" w:hAnsiTheme="majorEastAsia" w:eastAsiaTheme="majorEastAsia"/>
          <w:b/>
          <w:color w:val="auto"/>
          <w:sz w:val="32"/>
          <w:szCs w:val="32"/>
        </w:rPr>
        <w:t xml:space="preserve">第二章  </w:t>
      </w:r>
      <w:bookmarkStart w:id="21" w:name="_Toc16938518"/>
      <w:bookmarkStart w:id="22" w:name="_Toc120614213"/>
      <w:bookmarkStart w:id="23" w:name="_Toc20823274"/>
      <w:bookmarkStart w:id="24" w:name="_Toc513029202"/>
      <w:r>
        <w:rPr>
          <w:rFonts w:hint="eastAsia" w:asciiTheme="majorEastAsia" w:hAnsiTheme="majorEastAsia" w:eastAsiaTheme="majorEastAsia"/>
          <w:b/>
          <w:color w:val="auto"/>
          <w:sz w:val="32"/>
          <w:szCs w:val="32"/>
        </w:rPr>
        <w:t>投标人须知</w:t>
      </w:r>
      <w:bookmarkEnd w:id="20"/>
      <w:bookmarkEnd w:id="21"/>
      <w:bookmarkEnd w:id="22"/>
      <w:bookmarkEnd w:id="23"/>
      <w:bookmarkEnd w:id="24"/>
    </w:p>
    <w:p w14:paraId="1E17241C">
      <w:pPr>
        <w:autoSpaceDE w:val="0"/>
        <w:autoSpaceDN w:val="0"/>
        <w:spacing w:line="360" w:lineRule="auto"/>
        <w:ind w:firstLine="482" w:firstLineChars="200"/>
        <w:rPr>
          <w:rFonts w:ascii="宋体" w:hAnsi="宋体" w:eastAsia="宋体" w:cs="宋体"/>
          <w:b/>
          <w:bCs/>
          <w:color w:val="auto"/>
          <w:sz w:val="24"/>
          <w:szCs w:val="24"/>
          <w:lang w:val="zh-CN"/>
        </w:rPr>
      </w:pPr>
      <w:bookmarkStart w:id="25" w:name="_Toc16938519"/>
      <w:bookmarkStart w:id="26" w:name="_Toc120614214"/>
      <w:bookmarkStart w:id="27" w:name="_Toc513029203"/>
      <w:bookmarkStart w:id="28" w:name="_Toc20823275"/>
      <w:r>
        <w:rPr>
          <w:rFonts w:hint="eastAsia" w:ascii="宋体" w:hAnsi="宋体" w:eastAsia="宋体" w:cs="宋体"/>
          <w:b/>
          <w:bCs/>
          <w:color w:val="auto"/>
          <w:sz w:val="24"/>
          <w:szCs w:val="24"/>
          <w:lang w:val="zh-CN"/>
        </w:rPr>
        <w:t>一、总则</w:t>
      </w:r>
    </w:p>
    <w:p w14:paraId="38DC40D7">
      <w:pPr>
        <w:spacing w:after="0"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1、适用法律</w:t>
      </w:r>
    </w:p>
    <w:p w14:paraId="7BB01E0E">
      <w:pPr>
        <w:spacing w:after="0" w:line="360" w:lineRule="auto"/>
        <w:ind w:firstLine="480" w:firstLineChars="200"/>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1.1 《中华人民共和国政府采购法》《中华人民共和国政府采购法实施条例》《政府采购货物和服务招标投标管理办法》等有关法律、规章和规定等。</w:t>
      </w:r>
    </w:p>
    <w:p w14:paraId="68505C4A">
      <w:pPr>
        <w:spacing w:after="0" w:line="360" w:lineRule="auto"/>
        <w:ind w:firstLine="482" w:firstLineChars="200"/>
        <w:rPr>
          <w:rFonts w:ascii="宋体" w:hAnsi="宋体" w:eastAsia="宋体" w:cs="宋体"/>
          <w:b/>
          <w:bCs/>
          <w:color w:val="auto"/>
          <w:sz w:val="24"/>
          <w:szCs w:val="24"/>
          <w:lang w:val="zh-CN"/>
        </w:rPr>
      </w:pPr>
      <w:bookmarkStart w:id="29" w:name="_Toc14852"/>
      <w:bookmarkStart w:id="30" w:name="_Toc25367"/>
      <w:r>
        <w:rPr>
          <w:rFonts w:hint="eastAsia" w:ascii="宋体" w:hAnsi="宋体" w:eastAsia="宋体" w:cs="宋体"/>
          <w:b/>
          <w:bCs/>
          <w:color w:val="auto"/>
          <w:sz w:val="24"/>
          <w:szCs w:val="24"/>
          <w:lang w:val="zh-CN"/>
        </w:rPr>
        <w:t>2、定义</w:t>
      </w:r>
      <w:bookmarkEnd w:id="29"/>
      <w:bookmarkEnd w:id="30"/>
    </w:p>
    <w:p w14:paraId="507451B1">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2.1 “</w:t>
      </w:r>
      <w:r>
        <w:rPr>
          <w:rFonts w:hint="eastAsia" w:ascii="宋体" w:hAnsi="宋体" w:eastAsia="宋体" w:cs="宋体"/>
          <w:bCs/>
          <w:color w:val="auto"/>
          <w:sz w:val="24"/>
          <w:szCs w:val="24"/>
        </w:rPr>
        <w:t>投标人</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是指参加投标竞争，并符合招标文件规定资格条件的法人、其他组织或者自然人。</w:t>
      </w:r>
    </w:p>
    <w:p w14:paraId="5B80F6C4">
      <w:pPr>
        <w:autoSpaceDE w:val="0"/>
        <w:autoSpaceDN w:val="0"/>
        <w:spacing w:line="360" w:lineRule="auto"/>
        <w:ind w:firstLine="480" w:firstLineChars="200"/>
        <w:rPr>
          <w:rFonts w:ascii="宋体" w:hAnsi="宋体" w:eastAsia="宋体" w:cs="宋体"/>
          <w:b/>
          <w:color w:val="auto"/>
          <w:sz w:val="24"/>
          <w:szCs w:val="24"/>
          <w:lang w:val="zh-CN"/>
        </w:rPr>
      </w:pPr>
      <w:r>
        <w:rPr>
          <w:rFonts w:hint="eastAsia" w:ascii="宋体" w:hAnsi="宋体" w:eastAsia="宋体" w:cs="宋体"/>
          <w:bCs/>
          <w:color w:val="auto"/>
          <w:sz w:val="24"/>
          <w:szCs w:val="24"/>
          <w:lang w:val="zh-CN"/>
        </w:rPr>
        <w:t>2.2 “产品”指本招标文件中所述产品</w:t>
      </w:r>
      <w:r>
        <w:rPr>
          <w:rFonts w:hint="eastAsia" w:ascii="宋体" w:hAnsi="宋体" w:eastAsia="宋体" w:cs="宋体"/>
          <w:color w:val="auto"/>
          <w:sz w:val="24"/>
          <w:szCs w:val="24"/>
          <w:lang w:val="zh-CN"/>
        </w:rPr>
        <w:t>及相关服务。</w:t>
      </w:r>
    </w:p>
    <w:p w14:paraId="6130B42E">
      <w:pPr>
        <w:autoSpaceDE w:val="0"/>
        <w:autoSpaceDN w:val="0"/>
        <w:spacing w:line="360" w:lineRule="auto"/>
        <w:ind w:firstLine="482" w:firstLineChars="20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w:t>
      </w:r>
    </w:p>
    <w:p w14:paraId="37F0C503">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3.1</w:t>
      </w:r>
      <w:r>
        <w:rPr>
          <w:rFonts w:hint="eastAsia" w:ascii="宋体" w:hAnsi="宋体" w:eastAsia="宋体" w:cs="宋体"/>
          <w:bCs/>
          <w:color w:val="auto"/>
          <w:sz w:val="24"/>
          <w:szCs w:val="24"/>
        </w:rPr>
        <w:t>相关</w:t>
      </w:r>
      <w:r>
        <w:rPr>
          <w:rFonts w:hint="eastAsia" w:ascii="宋体" w:hAnsi="宋体" w:eastAsia="宋体" w:cs="宋体"/>
          <w:bCs/>
          <w:color w:val="auto"/>
          <w:sz w:val="24"/>
          <w:szCs w:val="24"/>
          <w:lang w:val="zh-CN"/>
        </w:rPr>
        <w:t>政策</w:t>
      </w:r>
    </w:p>
    <w:p w14:paraId="489BF22C">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（1）参加投标的</w:t>
      </w:r>
      <w:r>
        <w:rPr>
          <w:rFonts w:hint="eastAsia" w:ascii="宋体" w:hAnsi="宋体" w:eastAsia="宋体" w:cs="宋体"/>
          <w:bCs/>
          <w:color w:val="auto"/>
          <w:sz w:val="24"/>
          <w:szCs w:val="24"/>
        </w:rPr>
        <w:t>中</w:t>
      </w:r>
      <w:r>
        <w:rPr>
          <w:rFonts w:hint="eastAsia" w:ascii="宋体" w:hAnsi="宋体" w:eastAsia="宋体" w:cs="宋体"/>
          <w:bCs/>
          <w:color w:val="auto"/>
          <w:sz w:val="24"/>
          <w:szCs w:val="24"/>
          <w:lang w:val="zh-CN"/>
        </w:rPr>
        <w:t>小企业，应当提供</w:t>
      </w:r>
      <w:r>
        <w:rPr>
          <w:rFonts w:hint="eastAsia" w:ascii="宋体" w:hAnsi="宋体" w:eastAsia="宋体" w:cs="宋体"/>
          <w:bCs/>
          <w:color w:val="auto"/>
          <w:sz w:val="24"/>
          <w:szCs w:val="24"/>
        </w:rPr>
        <w:t>规定的</w:t>
      </w:r>
      <w:r>
        <w:rPr>
          <w:rFonts w:hint="eastAsia" w:ascii="宋体" w:hAnsi="宋体" w:eastAsia="宋体" w:cs="宋体"/>
          <w:bCs/>
          <w:color w:val="auto"/>
          <w:sz w:val="24"/>
          <w:szCs w:val="24"/>
          <w:lang w:val="zh-CN"/>
        </w:rPr>
        <w:t>《中小企业声明函》，</w:t>
      </w:r>
      <w:r>
        <w:rPr>
          <w:rFonts w:ascii="宋体" w:hAnsi="宋体" w:eastAsia="宋体" w:cs="宋体"/>
          <w:color w:val="auto"/>
          <w:sz w:val="24"/>
          <w:szCs w:val="24"/>
        </w:rPr>
        <w:t>否则不得享受相关中小企业扶持政策。</w:t>
      </w:r>
    </w:p>
    <w:p w14:paraId="190CC5D9">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0C54FAA0">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（3）参加投标的残疾人福利性单位，应当提供 《残疾人福利性单位声明函》，残疾人福利性单位享受政府采购支持政策的要求详见财库〔2017〕141号。</w:t>
      </w:r>
    </w:p>
    <w:p w14:paraId="4ED9E51F">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zh-CN"/>
        </w:rPr>
        <w:t>）提供的产品属于信息安全产品的，投标人应当选择经国家认证的信息安全产品投标，并提供由中国信息安全认证中心按国家标准认证颁发的有效认证证书复印件。</w:t>
      </w:r>
    </w:p>
    <w:p w14:paraId="76A5E76C">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）提供的产品属于政府强制采购节能产品的，投标人应当选择经过认证的节能产品投标，并提供有效的节能产品认证证书复印件。</w:t>
      </w:r>
    </w:p>
    <w:p w14:paraId="4ABAC70A">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）提供的产品属于环境标志产品的,投标人应当选择经过认证的环境标志产品投标,并提供有效的环境标志产品认证证书复印件。</w:t>
      </w:r>
    </w:p>
    <w:p w14:paraId="74FE68AE">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3.2未按要求提供相关材料的，不享受相关政策。</w:t>
      </w:r>
    </w:p>
    <w:p w14:paraId="11035B12">
      <w:pPr>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二、招标文件</w:t>
      </w:r>
    </w:p>
    <w:p w14:paraId="7E5AFF34">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4、招标文件组成</w:t>
      </w:r>
    </w:p>
    <w:p w14:paraId="78CCDD8C">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4.1 招标文件组成：</w:t>
      </w:r>
      <w:r>
        <w:rPr>
          <w:rFonts w:hint="eastAsia" w:ascii="宋体" w:hAnsi="宋体" w:eastAsia="宋体" w:cs="宋体"/>
          <w:color w:val="auto"/>
          <w:sz w:val="24"/>
          <w:szCs w:val="24"/>
        </w:rPr>
        <w:t>招标公告</w:t>
      </w:r>
      <w:r>
        <w:rPr>
          <w:rFonts w:hint="eastAsia" w:ascii="宋体" w:hAnsi="宋体" w:eastAsia="宋体" w:cs="宋体"/>
          <w:color w:val="auto"/>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308A83BB">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4.2 招标的最小单位是</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包。招标服务数量及技术要求中未分包的，投标人对要求提供的服务不得部分投标；招标服务数量及技术要求中已经分包的，应当以包为单位投标。</w:t>
      </w:r>
    </w:p>
    <w:p w14:paraId="18C30C7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750FD3B">
      <w:pPr>
        <w:autoSpaceDE w:val="0"/>
        <w:autoSpaceDN w:val="0"/>
        <w:spacing w:line="360" w:lineRule="auto"/>
        <w:ind w:firstLine="420"/>
        <w:rPr>
          <w:rFonts w:ascii="宋体" w:hAnsi="宋体" w:eastAsia="宋体" w:cs="宋体"/>
          <w:b/>
          <w:color w:val="auto"/>
          <w:sz w:val="24"/>
          <w:szCs w:val="24"/>
          <w:lang w:val="zh-CN"/>
        </w:rPr>
      </w:pPr>
      <w:bookmarkStart w:id="31" w:name="_Toc30037"/>
      <w:bookmarkStart w:id="32" w:name="_Toc16293"/>
      <w:r>
        <w:rPr>
          <w:rFonts w:hint="eastAsia" w:ascii="宋体" w:hAnsi="宋体" w:eastAsia="宋体" w:cs="宋体"/>
          <w:b/>
          <w:color w:val="auto"/>
          <w:sz w:val="24"/>
          <w:szCs w:val="24"/>
          <w:lang w:val="zh-CN"/>
        </w:rPr>
        <w:t>5、招标文件的澄清、修改</w:t>
      </w:r>
      <w:bookmarkEnd w:id="31"/>
      <w:bookmarkEnd w:id="32"/>
    </w:p>
    <w:p w14:paraId="661CD48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5.1采购人可以对已发出的招标文件进行必要的澄清或者修改，在招标文件要求提交投标文件截止时间</w:t>
      </w:r>
      <w:r>
        <w:rPr>
          <w:rFonts w:hint="eastAsia" w:ascii="宋体" w:hAnsi="宋体" w:eastAsia="宋体" w:cs="宋体"/>
          <w:b/>
          <w:bCs/>
          <w:color w:val="auto"/>
          <w:sz w:val="24"/>
          <w:szCs w:val="24"/>
          <w:lang w:val="zh-CN"/>
        </w:rPr>
        <w:t>十五日</w:t>
      </w:r>
      <w:r>
        <w:rPr>
          <w:rFonts w:hint="eastAsia" w:ascii="宋体" w:hAnsi="宋体" w:eastAsia="宋体" w:cs="宋体"/>
          <w:color w:val="auto"/>
          <w:sz w:val="24"/>
          <w:szCs w:val="24"/>
          <w:lang w:val="zh-CN"/>
        </w:rPr>
        <w:t>前，在原招标公告媒体发布更正公告，不足15日的，采购人顺延提交投标文件的截止时间。澄清或者修改的内容为招标文件的组成部分。</w:t>
      </w:r>
    </w:p>
    <w:p w14:paraId="25D18ACC">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应在投标截止时间前关注</w:t>
      </w:r>
      <w:r>
        <w:rPr>
          <w:rFonts w:hint="eastAsia" w:ascii="宋体" w:hAnsi="宋体" w:eastAsia="宋体" w:cs="宋体"/>
          <w:color w:val="auto"/>
          <w:sz w:val="24"/>
          <w:szCs w:val="24"/>
        </w:rPr>
        <w:t>原招标信息发布媒体上</w:t>
      </w:r>
      <w:r>
        <w:rPr>
          <w:rFonts w:hint="eastAsia" w:ascii="宋体" w:hAnsi="宋体" w:eastAsia="宋体" w:cs="宋体"/>
          <w:color w:val="auto"/>
          <w:sz w:val="24"/>
          <w:szCs w:val="24"/>
          <w:lang w:val="zh-CN"/>
        </w:rPr>
        <w:t>有关本招标项目有无变更公告。</w:t>
      </w:r>
    </w:p>
    <w:p w14:paraId="65532C33">
      <w:pPr>
        <w:spacing w:line="360" w:lineRule="auto"/>
        <w:ind w:firstLine="472" w:firstLineChars="196"/>
        <w:rPr>
          <w:rFonts w:ascii="宋体" w:hAnsi="宋体" w:eastAsia="宋体" w:cs="宋体"/>
          <w:b/>
          <w:color w:val="auto"/>
          <w:sz w:val="24"/>
          <w:szCs w:val="24"/>
          <w:lang w:val="zh-CN"/>
        </w:rPr>
      </w:pPr>
      <w:bookmarkStart w:id="33" w:name="_Toc29531"/>
      <w:bookmarkStart w:id="34" w:name="_Toc1785"/>
      <w:r>
        <w:rPr>
          <w:rFonts w:hint="eastAsia" w:ascii="宋体" w:hAnsi="宋体" w:eastAsia="宋体" w:cs="宋体"/>
          <w:b/>
          <w:color w:val="auto"/>
          <w:sz w:val="24"/>
          <w:szCs w:val="24"/>
          <w:lang w:val="zh-CN"/>
        </w:rPr>
        <w:t>三、投标</w:t>
      </w:r>
      <w:bookmarkEnd w:id="33"/>
      <w:bookmarkEnd w:id="34"/>
    </w:p>
    <w:p w14:paraId="670DB9CD">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6、投标文件的语言、计量单位、货币和编制</w:t>
      </w:r>
    </w:p>
    <w:p w14:paraId="2208C5E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6.1 投标人提交的投标文件、技术文件和资料，包括图纸中的说明，以及投标人与</w:t>
      </w:r>
      <w:r>
        <w:rPr>
          <w:rFonts w:hint="eastAsia" w:ascii="宋体" w:hAnsi="宋体" w:eastAsia="宋体" w:cs="宋体"/>
          <w:color w:val="auto"/>
          <w:sz w:val="24"/>
          <w:szCs w:val="24"/>
        </w:rPr>
        <w:t>招标人</w:t>
      </w:r>
      <w:r>
        <w:rPr>
          <w:rFonts w:hint="eastAsia" w:ascii="宋体" w:hAnsi="宋体" w:eastAsia="宋体" w:cs="宋体"/>
          <w:color w:val="auto"/>
          <w:sz w:val="24"/>
          <w:szCs w:val="24"/>
          <w:lang w:val="zh-CN"/>
        </w:rPr>
        <w:t>就有关投标的所有来往函电均应使用</w:t>
      </w:r>
      <w:r>
        <w:rPr>
          <w:rFonts w:hint="eastAsia" w:ascii="宋体" w:hAnsi="宋体" w:eastAsia="宋体" w:cs="宋体"/>
          <w:b/>
          <w:bCs/>
          <w:color w:val="auto"/>
          <w:sz w:val="24"/>
          <w:szCs w:val="24"/>
          <w:lang w:val="zh-CN"/>
        </w:rPr>
        <w:t>中文</w:t>
      </w:r>
      <w:r>
        <w:rPr>
          <w:rFonts w:hint="eastAsia" w:ascii="宋体" w:hAnsi="宋体" w:eastAsia="宋体" w:cs="宋体"/>
          <w:color w:val="auto"/>
          <w:sz w:val="24"/>
          <w:szCs w:val="24"/>
          <w:lang w:val="zh-CN"/>
        </w:rPr>
        <w:t>。投标文件中若有英文或其他语言文字的资料，应提供相应的中文翻译资料。对不同文本投标文件的解释发生异议的，以中文文本为准。</w:t>
      </w:r>
    </w:p>
    <w:p w14:paraId="32E77F9F">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6.2 投标人所使用的计量单位应为国家法定计量单位。</w:t>
      </w:r>
    </w:p>
    <w:p w14:paraId="2C9B151B">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6.3 投标人应</w:t>
      </w:r>
      <w:r>
        <w:rPr>
          <w:rFonts w:hint="eastAsia" w:ascii="宋体" w:hAnsi="宋体" w:eastAsia="宋体" w:cs="宋体"/>
          <w:color w:val="auto"/>
          <w:sz w:val="24"/>
          <w:szCs w:val="24"/>
        </w:rPr>
        <w:t>使用</w:t>
      </w:r>
      <w:r>
        <w:rPr>
          <w:rFonts w:hint="eastAsia" w:ascii="宋体" w:hAnsi="宋体" w:eastAsia="宋体" w:cs="宋体"/>
          <w:color w:val="auto"/>
          <w:sz w:val="24"/>
          <w:szCs w:val="24"/>
          <w:lang w:val="zh-CN"/>
        </w:rPr>
        <w:t>人民币报价。</w:t>
      </w:r>
      <w:r>
        <w:rPr>
          <w:rFonts w:hint="eastAsia" w:ascii="宋体" w:hAnsi="宋体" w:eastAsia="宋体" w:cs="宋体"/>
          <w:b/>
          <w:color w:val="auto"/>
          <w:sz w:val="24"/>
          <w:szCs w:val="24"/>
          <w:lang w:val="zh-CN"/>
        </w:rPr>
        <w:t>报价产品如果是进口产品的，应以人民币进行报价，不接受其他币种报价。</w:t>
      </w:r>
    </w:p>
    <w:p w14:paraId="2A3476C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6.4 投标文件应字迹清楚、内容齐全、不得涂改。如有修改，修改处须有投标人公章和法定代表人或其授权的投标人代表签字。</w:t>
      </w:r>
    </w:p>
    <w:p w14:paraId="63B2BFF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6.5 投标文件应按照招标文件规定的顺序，统一用A4规格幅面打印、逐页编码、装订成册并编制目录，由于编排混乱导致投标文件被误读或查找不到，责任由投标人承担。</w:t>
      </w:r>
    </w:p>
    <w:p w14:paraId="221E839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投标人应自行承担所有与准备和参加投标有关的费用。</w:t>
      </w:r>
    </w:p>
    <w:p w14:paraId="21CB780F">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b/>
          <w:bCs/>
          <w:color w:val="auto"/>
          <w:sz w:val="24"/>
          <w:szCs w:val="24"/>
          <w:lang w:val="zh-CN"/>
        </w:rPr>
        <w:t>、投标文件组成</w:t>
      </w:r>
    </w:p>
    <w:p w14:paraId="669F104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 xml:space="preserve"> 投标文件由商务部分、技术部分、价格部分，以及其他部分组成。</w:t>
      </w:r>
    </w:p>
    <w:p w14:paraId="1B198792">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投标人应当根据招标文件要求编制投标文件，投标文件应对招标文件提出的要求和条件作出实质性响应并逐条标明满足与否。</w:t>
      </w:r>
    </w:p>
    <w:p w14:paraId="0B78D92C">
      <w:pPr>
        <w:spacing w:line="360" w:lineRule="auto"/>
        <w:ind w:firstLine="470" w:firstLineChars="196"/>
        <w:rPr>
          <w:rFonts w:ascii="宋体" w:hAnsi="宋体" w:eastAsia="宋体" w:cs="宋体"/>
          <w:b/>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投标人根据招标文件载明的标的采购项目实际情况，拟在中标后将中标项目的非主体、非关键性工作交由他人完成的，应当在投标文件中载明。</w:t>
      </w:r>
    </w:p>
    <w:p w14:paraId="5E737D6B">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8、投标文件的商务部分</w:t>
      </w:r>
    </w:p>
    <w:p w14:paraId="0204FBF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商务部分是证明投标人有资格参加投标和中标后有能力履行合同的文件，</w:t>
      </w:r>
      <w:r>
        <w:rPr>
          <w:rFonts w:hint="eastAsia" w:ascii="宋体" w:hAnsi="宋体" w:eastAsia="宋体" w:cs="宋体"/>
          <w:color w:val="auto"/>
          <w:sz w:val="24"/>
          <w:szCs w:val="24"/>
        </w:rPr>
        <w:t>这些文件应能满足招标的要求</w:t>
      </w:r>
      <w:r>
        <w:rPr>
          <w:rFonts w:hint="eastAsia" w:ascii="宋体" w:hAnsi="宋体" w:eastAsia="宋体" w:cs="宋体"/>
          <w:color w:val="auto"/>
          <w:sz w:val="24"/>
          <w:szCs w:val="24"/>
          <w:lang w:val="zh-CN"/>
        </w:rPr>
        <w:t>，包括但不限于下列文件：</w:t>
      </w:r>
    </w:p>
    <w:p w14:paraId="43F38E91">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（1）投标函；</w:t>
      </w:r>
    </w:p>
    <w:p w14:paraId="7E5EAFFC">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（2）营业执照、授权委托书；</w:t>
      </w:r>
    </w:p>
    <w:p w14:paraId="1B75D4E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（3）法定代表人及授权代表身份证明复印件； </w:t>
      </w:r>
    </w:p>
    <w:p w14:paraId="470D7BE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（4）资格条件证明文件、承诺书；   </w:t>
      </w:r>
    </w:p>
    <w:p w14:paraId="6E41CD4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（5）《开标一览表》、《商务条款偏离表》；</w:t>
      </w:r>
    </w:p>
    <w:p w14:paraId="2023B75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（6）投标人认为需要提供的其他资格证明文件和商务资料。</w:t>
      </w:r>
    </w:p>
    <w:p w14:paraId="77C2D545">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、投标文件的技术部分</w:t>
      </w:r>
    </w:p>
    <w:p w14:paraId="52DB367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技术部分是证明</w:t>
      </w:r>
      <w:r>
        <w:rPr>
          <w:rFonts w:hint="eastAsia" w:ascii="宋体" w:hAnsi="宋体" w:eastAsia="宋体" w:cs="宋体"/>
          <w:color w:val="auto"/>
          <w:sz w:val="24"/>
          <w:szCs w:val="24"/>
        </w:rPr>
        <w:t>投标人提供的产品和服务是合格的、并符合招标文件要求的证明文件，以及</w:t>
      </w:r>
      <w:r>
        <w:rPr>
          <w:rFonts w:hint="eastAsia" w:ascii="宋体" w:hAnsi="宋体" w:eastAsia="宋体" w:cs="宋体"/>
          <w:color w:val="auto"/>
          <w:sz w:val="24"/>
          <w:szCs w:val="24"/>
          <w:lang w:val="zh-CN"/>
        </w:rPr>
        <w:t>对投标报价表中的服务的详细说明，这些文件可以是文字资料、图纸和数据等。</w:t>
      </w:r>
    </w:p>
    <w:p w14:paraId="4DD778D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若技术性能无特殊说明，则按国家有关部门最新颁布的标准及规范为准；</w:t>
      </w:r>
    </w:p>
    <w:p w14:paraId="167F4C4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提供的服务如与招标文件要求有不符之处，应说明其差别之所在，并在《技术条款偏离表》中逐条予以说明。</w:t>
      </w:r>
    </w:p>
    <w:p w14:paraId="128144C1">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b/>
          <w:color w:val="auto"/>
          <w:sz w:val="24"/>
          <w:szCs w:val="24"/>
          <w:lang w:val="zh-CN"/>
        </w:rPr>
        <w:t>、投标文件的价格部分</w:t>
      </w:r>
    </w:p>
    <w:p w14:paraId="5822D34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.1价格部分是对投标服务价格构成的说明，每一项服务仅接受一个价格。</w:t>
      </w:r>
    </w:p>
    <w:p w14:paraId="62C0F6C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1F111DF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.3投标人的任何错漏、优惠、竞争性报价不得作为减轻责任、减少服务、增加收费、降低质量的理由。</w:t>
      </w:r>
    </w:p>
    <w:p w14:paraId="67235E4C">
      <w:pPr>
        <w:autoSpaceDE w:val="0"/>
        <w:autoSpaceDN w:val="0"/>
        <w:spacing w:line="360" w:lineRule="auto"/>
        <w:ind w:firstLine="420"/>
        <w:rPr>
          <w:color w:val="auto"/>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74C62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投标人应在《开标一览表》、《投标分项报价》等标明提供服务的单价、总价以及分项报价。</w:t>
      </w:r>
    </w:p>
    <w:p w14:paraId="5CF74F2D">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、投标有效期</w:t>
      </w:r>
    </w:p>
    <w:p w14:paraId="1827214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bCs/>
          <w:color w:val="auto"/>
          <w:sz w:val="24"/>
          <w:szCs w:val="24"/>
        </w:rPr>
        <w:t>投标有效期为</w:t>
      </w:r>
      <w:r>
        <w:rPr>
          <w:rFonts w:hint="eastAsia" w:ascii="宋体" w:hAnsi="宋体" w:eastAsia="宋体" w:cs="宋体"/>
          <w:b/>
          <w:bCs/>
          <w:color w:val="auto"/>
          <w:sz w:val="24"/>
          <w:szCs w:val="24"/>
          <w:lang w:val="zh-CN"/>
        </w:rPr>
        <w:t>90天</w:t>
      </w:r>
      <w:r>
        <w:rPr>
          <w:rFonts w:hint="eastAsia" w:ascii="宋体" w:hAnsi="宋体" w:eastAsia="宋体" w:cs="宋体"/>
          <w:color w:val="auto"/>
          <w:sz w:val="24"/>
          <w:szCs w:val="24"/>
          <w:lang w:val="zh-CN"/>
        </w:rPr>
        <w:t>，投标有效期从提交投标文件的截止之日起算。投标文件中承诺的投标有效期应当不少于招标文件中载明的投标有效期。</w:t>
      </w:r>
    </w:p>
    <w:p w14:paraId="4ABFAC22">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、投标文件的份数、签署</w:t>
      </w:r>
    </w:p>
    <w:p w14:paraId="68533638">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投标人应严格按照招标文件要求的份数准备投标文件，每份投标文件须清楚地标明“正本”或“副本”字样。一旦正本和副本不符，以正本为准。</w:t>
      </w:r>
    </w:p>
    <w:p w14:paraId="317BF984">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 投</w:t>
      </w:r>
      <w:r>
        <w:rPr>
          <w:rFonts w:hint="eastAsia" w:ascii="宋体" w:hAnsi="宋体" w:eastAsia="宋体" w:cs="宋体"/>
          <w:color w:val="auto"/>
          <w:sz w:val="24"/>
          <w:szCs w:val="24"/>
        </w:rPr>
        <w:t>标文件正本中，文字材料需打印或用不褪色墨水书写，投标文件的正本须经法定代表人或授权代表</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和加盖投标人公章。本招标文件所表述（指定）的公章是指法定名称章，不包括合同专用章、业务专用章等印章。</w:t>
      </w:r>
    </w:p>
    <w:p w14:paraId="55FA30AF">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.3 </w:t>
      </w:r>
      <w:r>
        <w:rPr>
          <w:rFonts w:hint="eastAsia" w:ascii="宋体" w:hAnsi="宋体" w:eastAsia="宋体" w:cs="宋体"/>
          <w:bCs/>
          <w:color w:val="auto"/>
          <w:sz w:val="24"/>
          <w:szCs w:val="24"/>
        </w:rPr>
        <w:t>除投标人对错处做必要修改外，投标文件不得行间插字、涂改或增删。如有修改错漏处，必须由投标文件签署人签字或盖章。</w:t>
      </w:r>
    </w:p>
    <w:p w14:paraId="0C9CD1FF">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、投标文件的密封和递交</w:t>
      </w:r>
    </w:p>
    <w:p w14:paraId="6E02C14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14:paraId="25C704EE">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（2）电子版U盘1份</w:t>
      </w:r>
      <w:r>
        <w:rPr>
          <w:rFonts w:hint="eastAsia" w:ascii="宋体" w:hAnsi="宋体" w:eastAsia="宋体" w:cs="宋体"/>
          <w:color w:val="auto"/>
          <w:sz w:val="24"/>
          <w:szCs w:val="24"/>
        </w:rPr>
        <w:t>（须包含投标文件word格式和pdf格式，pdf格式须加盖公司公章）</w:t>
      </w:r>
    </w:p>
    <w:p w14:paraId="72F50BF8">
      <w:p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（3）开标一览表必须加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14:paraId="7B29B2F4">
      <w:pPr>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13.2 逾期送达及未按要求密封的投标文件，采购人不予接收。</w:t>
      </w:r>
    </w:p>
    <w:p w14:paraId="69B6926E">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、投标文件的修改和撤回</w:t>
      </w:r>
    </w:p>
    <w:p w14:paraId="3F86A8E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投标人在投标截止时间前，可以对所递交的投标文件进行补充、修改或撤回，并书面通知</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。补充、修改的内容应当按照招标文件要求签署、盖章，并作为投标文件的组成部分。</w:t>
      </w:r>
    </w:p>
    <w:p w14:paraId="6F2E93F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.2 投标截止时间之后，投标文件不得撤回。 </w:t>
      </w:r>
    </w:p>
    <w:p w14:paraId="541B41A9">
      <w:pPr>
        <w:spacing w:line="360" w:lineRule="auto"/>
        <w:ind w:firstLine="472" w:firstLineChars="196"/>
        <w:rPr>
          <w:rFonts w:ascii="宋体" w:hAnsi="宋体" w:eastAsia="宋体" w:cs="宋体"/>
          <w:b/>
          <w:color w:val="auto"/>
          <w:sz w:val="24"/>
          <w:szCs w:val="24"/>
          <w:lang w:val="zh-CN"/>
        </w:rPr>
      </w:pPr>
      <w:bookmarkStart w:id="35" w:name="_Toc17243"/>
      <w:bookmarkStart w:id="36" w:name="_Toc21540"/>
      <w:r>
        <w:rPr>
          <w:rFonts w:hint="eastAsia" w:ascii="宋体" w:hAnsi="宋体" w:eastAsia="宋体" w:cs="宋体"/>
          <w:b/>
          <w:color w:val="auto"/>
          <w:sz w:val="24"/>
          <w:szCs w:val="24"/>
          <w:lang w:val="zh-CN"/>
        </w:rPr>
        <w:t>四、开标、评标与确定中标投标人</w:t>
      </w:r>
      <w:bookmarkEnd w:id="35"/>
      <w:bookmarkEnd w:id="36"/>
    </w:p>
    <w:p w14:paraId="100B9975">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、开标</w:t>
      </w:r>
    </w:p>
    <w:p w14:paraId="330F922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将在招标文件确定的时间和地点进行公开开标，</w:t>
      </w:r>
      <w:r>
        <w:rPr>
          <w:rFonts w:hint="eastAsia" w:ascii="宋体" w:hAnsi="宋体" w:eastAsia="宋体" w:cs="宋体"/>
          <w:color w:val="auto"/>
          <w:sz w:val="24"/>
          <w:szCs w:val="24"/>
        </w:rPr>
        <w:t>授权</w:t>
      </w:r>
      <w:r>
        <w:rPr>
          <w:rFonts w:hint="eastAsia" w:ascii="宋体" w:hAnsi="宋体" w:eastAsia="宋体" w:cs="宋体"/>
          <w:color w:val="auto"/>
          <w:sz w:val="24"/>
          <w:szCs w:val="24"/>
          <w:lang w:val="zh-CN"/>
        </w:rPr>
        <w:t>代表</w:t>
      </w:r>
      <w:r>
        <w:rPr>
          <w:rFonts w:hint="eastAsia" w:ascii="宋体" w:hAnsi="宋体" w:eastAsia="宋体" w:cs="宋体"/>
          <w:color w:val="auto"/>
          <w:sz w:val="24"/>
          <w:szCs w:val="24"/>
        </w:rPr>
        <w:t>应</w:t>
      </w:r>
      <w:r>
        <w:rPr>
          <w:rFonts w:hint="eastAsia" w:ascii="宋体" w:hAnsi="宋体" w:eastAsia="宋体" w:cs="宋体"/>
          <w:color w:val="auto"/>
          <w:sz w:val="24"/>
          <w:szCs w:val="24"/>
          <w:lang w:val="zh-CN"/>
        </w:rPr>
        <w:t>准时参加。</w:t>
      </w:r>
    </w:p>
    <w:p w14:paraId="3C8A56D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.2 开标时，</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将邀请投标人代表检查投标文件的密封情况，经确认无误后，由工作人员当众拆封，宣读投标人名称、投标价格</w:t>
      </w:r>
      <w:r>
        <w:rPr>
          <w:rFonts w:hint="eastAsia" w:ascii="宋体" w:hAnsi="宋体" w:eastAsia="宋体" w:cs="宋体"/>
          <w:color w:val="auto"/>
          <w:sz w:val="24"/>
          <w:szCs w:val="24"/>
        </w:rPr>
        <w:t>等</w:t>
      </w:r>
      <w:r>
        <w:rPr>
          <w:rFonts w:hint="eastAsia" w:ascii="宋体" w:hAnsi="宋体" w:eastAsia="宋体" w:cs="宋体"/>
          <w:color w:val="auto"/>
          <w:sz w:val="24"/>
          <w:szCs w:val="24"/>
          <w:lang w:val="zh-CN"/>
        </w:rPr>
        <w:t xml:space="preserve">主要内容。 </w:t>
      </w:r>
    </w:p>
    <w:p w14:paraId="7DBB808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开标时，《开标一览表》内容与投标文件中相应内容不一致的，以《开标一览表》为准。</w:t>
      </w:r>
    </w:p>
    <w:p w14:paraId="1E3B435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投标文件、《开标一览表》中报价的大写金额与小写金额不一致的，以大写金额为准。</w:t>
      </w:r>
    </w:p>
    <w:p w14:paraId="4202E96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单价金额小数点或者百分比有明显错位的，以《开标一览表》的总价为准，并修改单价；</w:t>
      </w:r>
    </w:p>
    <w:p w14:paraId="352F7C7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总价金额与按单价汇总金额不一致的，以单价金额计算结果为准；</w:t>
      </w:r>
    </w:p>
    <w:p w14:paraId="25DE4E2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对不同文字文本投标文件的解释发生异议的，以中文文本为准。</w:t>
      </w:r>
    </w:p>
    <w:p w14:paraId="586CB29B">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、评标</w:t>
      </w:r>
    </w:p>
    <w:p w14:paraId="65ED17D4">
      <w:pPr>
        <w:autoSpaceDE w:val="0"/>
        <w:autoSpaceDN w:val="0"/>
        <w:spacing w:line="360" w:lineRule="auto"/>
        <w:ind w:firstLine="420"/>
        <w:rPr>
          <w:rFonts w:ascii="宋体" w:hAnsi="宋体" w:eastAsia="宋体" w:cs="宋体"/>
          <w:b/>
          <w:bCs/>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.1</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评标组织</w:t>
      </w:r>
    </w:p>
    <w:p w14:paraId="687E654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评标工作由</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负责组织，具体评标事务由依法组建的评标委员会负责，评标委员会由采购人代表和有关技术、经济等方面的专家组成，独立开展评审工作。</w:t>
      </w:r>
    </w:p>
    <w:p w14:paraId="4CB8E00E">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 评标程序</w:t>
      </w:r>
    </w:p>
    <w:p w14:paraId="34A4B290">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.2.1 投标文件的资格审查</w:t>
      </w:r>
    </w:p>
    <w:p w14:paraId="60D6B648">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30E8ACF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投标文件有下列情况之一的，在资格性审查时按照无效投标处理： </w:t>
      </w:r>
    </w:p>
    <w:p w14:paraId="324F613C">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（1）不具备招标文件中规定资格条件的；</w:t>
      </w:r>
    </w:p>
    <w:p w14:paraId="58B7823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 投标人被“信用中国”网站（www.creditchina.gov.cn）、“中国政府采购网"(www.ccgp.gov.cn) 列入失信被执行人、重大税收违法失信主体、政府采购严重违法失信行为记录名单的 </w:t>
      </w:r>
    </w:p>
    <w:p w14:paraId="6656B4F8">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.2.2 投标文件的符合性审查</w:t>
      </w:r>
    </w:p>
    <w:p w14:paraId="16F067E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5C6041ED">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投标文件有下列情况之一的，在符合性审查时按照无效投标处理： </w:t>
      </w:r>
    </w:p>
    <w:p w14:paraId="00AD57AA">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（1）未按照招标文件规定要求密封、签署、盖章的； </w:t>
      </w:r>
    </w:p>
    <w:p w14:paraId="071107D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（2）投标总价超出采购预算金额或者最高限价的； </w:t>
      </w:r>
    </w:p>
    <w:p w14:paraId="74247E7C">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（3）不同投标人的投标文件由同一单位或者个人编制； </w:t>
      </w:r>
    </w:p>
    <w:p w14:paraId="35659DC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（4）不同投标人委托同一单位或者个人办理投标事宜； </w:t>
      </w:r>
    </w:p>
    <w:p w14:paraId="6B573A8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（5）不同投标人的投标文件载明的项目管理成员或者联系人员为同一人； </w:t>
      </w:r>
    </w:p>
    <w:p w14:paraId="4A07E763">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（6）不同投标人的投标文件异常一致或者投标报价呈规律性差异； </w:t>
      </w:r>
    </w:p>
    <w:p w14:paraId="53468CE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（7）不同投标人的投标文件相互混装； </w:t>
      </w:r>
    </w:p>
    <w:p w14:paraId="74EC0BF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（8）不同投标人的法定代表人或委托代理人有夫妻、直系血亲关系的； </w:t>
      </w:r>
    </w:p>
    <w:p w14:paraId="3BA7FAD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（9）不同投标人的负责人为同一人或者存在控股、管理关系的； </w:t>
      </w:r>
    </w:p>
    <w:p w14:paraId="64E5186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（10）没有逐一说明投标产品名称、品牌、规格型号、产地、技术参数和服务响应，而是直接拷贝招标文件技术要求的； </w:t>
      </w:r>
    </w:p>
    <w:p w14:paraId="0C52587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（11）不同投标人的委托代理人(或法定代表人、项目经理、项目总监、项目负责人等)在采购文件发布日上月至投标截止日当月在同一单位缴纳社会保险的；</w:t>
      </w:r>
    </w:p>
    <w:p w14:paraId="670F48E1">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（12）服务承诺和付款条件未响应招标要求的； </w:t>
      </w:r>
    </w:p>
    <w:p w14:paraId="060012D1">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（13）投标文件含有采购人不能接受的附加条件的； </w:t>
      </w:r>
    </w:p>
    <w:p w14:paraId="1904C30F">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5620D5ED">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（15）不符合法律、法规和招标文件规定的其他无效情形。</w:t>
      </w:r>
    </w:p>
    <w:p w14:paraId="67988141">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 xml:space="preserve"> 投标文件的</w:t>
      </w:r>
      <w:r>
        <w:rPr>
          <w:rFonts w:hint="eastAsia" w:ascii="宋体" w:hAnsi="宋体" w:eastAsia="宋体" w:cs="宋体"/>
          <w:b/>
          <w:bCs/>
          <w:color w:val="auto"/>
          <w:sz w:val="24"/>
          <w:szCs w:val="24"/>
        </w:rPr>
        <w:t>进一步评审</w:t>
      </w:r>
      <w:r>
        <w:rPr>
          <w:rFonts w:hint="eastAsia" w:ascii="宋体" w:hAnsi="宋体" w:eastAsia="宋体" w:cs="宋体"/>
          <w:color w:val="auto"/>
          <w:sz w:val="24"/>
          <w:szCs w:val="24"/>
        </w:rPr>
        <w:t xml:space="preserve"> </w:t>
      </w:r>
    </w:p>
    <w:p w14:paraId="2D254994">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681D0B5E">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324B49D2">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废标情形</w:t>
      </w:r>
    </w:p>
    <w:p w14:paraId="07A4891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有下列情形之一的予以废标： </w:t>
      </w:r>
    </w:p>
    <w:p w14:paraId="7267AF5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（1）符合资质条件的投标人或者对招标文件作实质性响应的投标人不足三家的； </w:t>
      </w:r>
    </w:p>
    <w:p w14:paraId="519C8A3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3F7CA10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（3）投标人的报价均超过了采购预算或最高限价的，采购人不能支付的； </w:t>
      </w:r>
    </w:p>
    <w:p w14:paraId="0145EE3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4FA5309B">
      <w:pPr>
        <w:autoSpaceDE w:val="0"/>
        <w:autoSpaceDN w:val="0"/>
        <w:spacing w:line="360" w:lineRule="auto"/>
        <w:ind w:firstLine="420"/>
        <w:rPr>
          <w:color w:val="auto"/>
        </w:rPr>
      </w:pPr>
      <w:r>
        <w:rPr>
          <w:rFonts w:hint="eastAsia" w:ascii="宋体" w:hAnsi="宋体" w:eastAsia="宋体" w:cs="宋体"/>
          <w:color w:val="auto"/>
          <w:sz w:val="24"/>
          <w:szCs w:val="24"/>
        </w:rPr>
        <w:t xml:space="preserve">（5）投标文件存在歧义、重大缺陷，或者招标文件内容违反国家有关强制性规定的。 </w:t>
      </w:r>
    </w:p>
    <w:p w14:paraId="0766D82C">
      <w:pPr>
        <w:autoSpaceDE w:val="0"/>
        <w:autoSpaceDN w:val="0"/>
        <w:spacing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、确定中标投标人</w:t>
      </w:r>
    </w:p>
    <w:p w14:paraId="27DC489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采用综合评分法，评标结果按评审后得分由高到低顺序排列。得分相同的，按投标报价由低到高顺序排列。得分且投标报价相同的并列</w:t>
      </w:r>
      <w:r>
        <w:rPr>
          <w:rFonts w:hint="eastAsia" w:ascii="宋体" w:hAnsi="宋体" w:cs="宋体"/>
          <w:color w:val="auto"/>
          <w:sz w:val="24"/>
          <w:szCs w:val="24"/>
        </w:rPr>
        <w:t>，</w:t>
      </w:r>
      <w:r>
        <w:rPr>
          <w:rFonts w:hint="eastAsia" w:ascii="宋体" w:hAnsi="宋体" w:eastAsia="宋体" w:cs="宋体"/>
          <w:color w:val="auto"/>
          <w:sz w:val="24"/>
          <w:szCs w:val="24"/>
        </w:rPr>
        <w:t>投标文件满足招标文件全部实质性要求，且按照评审因素的量化指标评审得分最高的投标人为排名第一的中标候选人。</w:t>
      </w:r>
    </w:p>
    <w:p w14:paraId="4B40E27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.2中标投标人确定之日起2个工作日内，将在</w:t>
      </w:r>
      <w:r>
        <w:rPr>
          <w:rFonts w:hint="eastAsia" w:ascii="宋体" w:hAnsi="宋体" w:eastAsia="宋体" w:cs="宋体"/>
          <w:color w:val="auto"/>
          <w:sz w:val="24"/>
          <w:szCs w:val="24"/>
        </w:rPr>
        <w:t>南京医科大学官方网站发布中标</w:t>
      </w:r>
      <w:r>
        <w:rPr>
          <w:rFonts w:hint="eastAsia" w:ascii="宋体" w:hAnsi="宋体" w:eastAsia="宋体" w:cs="宋体"/>
          <w:color w:val="auto"/>
          <w:sz w:val="24"/>
          <w:szCs w:val="24"/>
          <w:lang w:val="zh-CN"/>
        </w:rPr>
        <w:t>公告，中标人及时领取《中标通知书》。</w:t>
      </w:r>
    </w:p>
    <w:p w14:paraId="36956A1E">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3中标通知书发出后，中标投标人无正当理由不与采购人签订合同的；情节严重的，将其列入不良行为记录名单，在一至三年内禁止参加采购人组织的政府采购活动。</w:t>
      </w:r>
    </w:p>
    <w:p w14:paraId="5621CE7B">
      <w:pPr>
        <w:tabs>
          <w:tab w:val="left" w:pos="1260"/>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18.4采购人</w:t>
      </w:r>
      <w:r>
        <w:rPr>
          <w:rFonts w:hint="eastAsia" w:ascii="宋体" w:hAnsi="宋体" w:eastAsia="宋体" w:cs="宋体"/>
          <w:color w:val="auto"/>
          <w:sz w:val="24"/>
          <w:szCs w:val="24"/>
          <w:lang w:val="zh-CN"/>
        </w:rPr>
        <w:t>和评标委员会</w:t>
      </w:r>
      <w:r>
        <w:rPr>
          <w:rFonts w:hint="eastAsia" w:ascii="宋体" w:hAnsi="宋体" w:eastAsia="宋体" w:cs="宋体"/>
          <w:color w:val="auto"/>
          <w:sz w:val="24"/>
          <w:szCs w:val="24"/>
        </w:rPr>
        <w:t>对未中标的投标人不作未中标原因的解释。</w:t>
      </w:r>
    </w:p>
    <w:p w14:paraId="77D21E0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18.5所有投标文件都将作为档案保存，不论中标与否，采购人均不退回。</w:t>
      </w:r>
    </w:p>
    <w:p w14:paraId="5DF148EE">
      <w:pPr>
        <w:autoSpaceDE w:val="0"/>
        <w:autoSpaceDN w:val="0"/>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rPr>
        <w:t>编写评标报告</w:t>
      </w:r>
    </w:p>
    <w:p w14:paraId="2D61B4B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评标委员会根据全体评标成员签字的原始评标记录和评标结果编写评标报告。</w:t>
      </w:r>
    </w:p>
    <w:p w14:paraId="37E48457">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、评标过程的保密性</w:t>
      </w:r>
    </w:p>
    <w:p w14:paraId="06553CA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将采取必要措施，保证评标在严格保密的情况下进行。</w:t>
      </w:r>
    </w:p>
    <w:p w14:paraId="0854F7E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任何单位和个人不得非法干预、影响评标办法的确定，以及评标过程和结果。</w:t>
      </w:r>
    </w:p>
    <w:p w14:paraId="6370B37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.3 凡是与审查、澄清、评价和比较投标的有关资料等，均不向投标人及与评标无关的其他人员透露。</w:t>
      </w:r>
    </w:p>
    <w:p w14:paraId="5A78F7F3">
      <w:pPr>
        <w:pStyle w:val="33"/>
        <w:rPr>
          <w:rFonts w:ascii="宋体" w:hAnsi="宋体" w:cs="宋体"/>
          <w:b/>
          <w:color w:val="auto"/>
        </w:rPr>
      </w:pPr>
      <w:bookmarkStart w:id="37" w:name="_Toc513029237"/>
      <w:bookmarkStart w:id="38" w:name="_Toc16938553"/>
      <w:bookmarkStart w:id="39" w:name="_Toc20823309"/>
      <w:r>
        <w:rPr>
          <w:rFonts w:hint="eastAsia" w:ascii="宋体" w:hAnsi="宋体" w:cs="宋体"/>
          <w:b/>
          <w:color w:val="auto"/>
        </w:rPr>
        <w:t>21、样品</w:t>
      </w:r>
    </w:p>
    <w:p w14:paraId="3B0AAE2B">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项目要求提供样品的，中标人的样品由采购人负责保管、</w:t>
      </w:r>
      <w:r>
        <w:rPr>
          <w:rFonts w:hint="eastAsia" w:ascii="宋体" w:hAnsi="宋体" w:eastAsia="宋体" w:cs="宋体"/>
          <w:color w:val="auto"/>
          <w:sz w:val="24"/>
          <w:szCs w:val="24"/>
        </w:rPr>
        <w:t>封</w:t>
      </w:r>
      <w:r>
        <w:rPr>
          <w:rFonts w:hint="eastAsia" w:ascii="宋体" w:hAnsi="宋体" w:eastAsia="宋体" w:cs="宋体"/>
          <w:color w:val="auto"/>
          <w:sz w:val="24"/>
          <w:szCs w:val="24"/>
          <w:lang w:val="zh-CN"/>
        </w:rPr>
        <w:t>存，并作为履约验收的参考</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未中标人的样品将及时退还。</w:t>
      </w:r>
      <w:bookmarkEnd w:id="37"/>
      <w:bookmarkEnd w:id="38"/>
      <w:bookmarkEnd w:id="39"/>
    </w:p>
    <w:p w14:paraId="40E4548D">
      <w:pPr>
        <w:spacing w:line="360" w:lineRule="auto"/>
        <w:ind w:firstLine="472" w:firstLineChars="196"/>
        <w:rPr>
          <w:rFonts w:ascii="宋体" w:hAnsi="宋体" w:eastAsia="宋体" w:cs="宋体"/>
          <w:b/>
          <w:color w:val="auto"/>
          <w:sz w:val="24"/>
          <w:szCs w:val="24"/>
          <w:lang w:val="zh-CN"/>
        </w:rPr>
      </w:pPr>
      <w:bookmarkStart w:id="40" w:name="_Toc5321"/>
      <w:bookmarkStart w:id="41" w:name="_Toc10016"/>
      <w:r>
        <w:rPr>
          <w:rFonts w:hint="eastAsia" w:ascii="宋体" w:hAnsi="宋体" w:eastAsia="宋体" w:cs="宋体"/>
          <w:b/>
          <w:color w:val="auto"/>
          <w:sz w:val="24"/>
          <w:szCs w:val="24"/>
          <w:lang w:val="zh-CN"/>
        </w:rPr>
        <w:t>五、签订合同</w:t>
      </w:r>
      <w:bookmarkEnd w:id="40"/>
      <w:bookmarkEnd w:id="41"/>
    </w:p>
    <w:p w14:paraId="021A0DF3">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、签订合同</w:t>
      </w:r>
    </w:p>
    <w:p w14:paraId="11197B1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0DCA88F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采购人不得向中标人提出任何不合理的要求作为签订合同的条件，不得与中标人私下订立背离合同实质性内容的协议。</w:t>
      </w:r>
    </w:p>
    <w:p w14:paraId="12C74CF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53AC45F7">
      <w:pPr>
        <w:pStyle w:val="33"/>
        <w:rPr>
          <w:color w:val="auto"/>
          <w:lang w:val="zh-CN"/>
        </w:rPr>
      </w:pPr>
      <w:r>
        <w:rPr>
          <w:rFonts w:hint="eastAsia" w:ascii="宋体" w:hAnsi="宋体" w:cs="宋体"/>
          <w:color w:val="auto"/>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70611935">
      <w:pPr>
        <w:spacing w:line="360" w:lineRule="auto"/>
        <w:ind w:firstLine="472" w:firstLineChars="196"/>
        <w:rPr>
          <w:rFonts w:ascii="宋体" w:hAnsi="宋体" w:eastAsia="宋体" w:cs="宋体"/>
          <w:b/>
          <w:color w:val="auto"/>
          <w:sz w:val="24"/>
          <w:szCs w:val="24"/>
          <w:lang w:val="zh-CN"/>
        </w:rPr>
      </w:pPr>
      <w:bookmarkStart w:id="42" w:name="_Toc3868"/>
      <w:bookmarkStart w:id="43" w:name="_Toc241"/>
      <w:r>
        <w:rPr>
          <w:rFonts w:hint="eastAsia" w:ascii="宋体" w:hAnsi="宋体" w:eastAsia="宋体" w:cs="宋体"/>
          <w:b/>
          <w:color w:val="auto"/>
          <w:sz w:val="24"/>
          <w:szCs w:val="24"/>
          <w:lang w:val="zh-CN"/>
        </w:rPr>
        <w:t>六、质疑</w:t>
      </w:r>
      <w:r>
        <w:rPr>
          <w:rFonts w:hint="eastAsia" w:ascii="宋体" w:hAnsi="宋体" w:eastAsia="宋体" w:cs="宋体"/>
          <w:b/>
          <w:color w:val="auto"/>
          <w:sz w:val="24"/>
          <w:szCs w:val="24"/>
        </w:rPr>
        <w:t>和</w:t>
      </w:r>
      <w:r>
        <w:rPr>
          <w:rFonts w:hint="eastAsia" w:ascii="宋体" w:hAnsi="宋体" w:eastAsia="宋体" w:cs="宋体"/>
          <w:b/>
          <w:color w:val="auto"/>
          <w:sz w:val="24"/>
          <w:szCs w:val="24"/>
          <w:lang w:val="zh-CN"/>
        </w:rPr>
        <w:t>投诉</w:t>
      </w:r>
      <w:bookmarkEnd w:id="42"/>
      <w:bookmarkEnd w:id="43"/>
    </w:p>
    <w:p w14:paraId="317AC82E">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、质疑</w:t>
      </w:r>
    </w:p>
    <w:p w14:paraId="3EC657DB">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w:t>
      </w:r>
    </w:p>
    <w:p w14:paraId="0218C0E2">
      <w:pPr>
        <w:spacing w:line="360" w:lineRule="auto"/>
        <w:ind w:firstLine="468" w:firstLineChars="195"/>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质疑投标人是指直接参加本次投标活动的投标人，未参加投标活动的投标人或在投标活动中自身权益未受到损害的投标人所提出的质疑不予受理。</w:t>
      </w:r>
    </w:p>
    <w:p w14:paraId="55B6EB7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.3 质疑必须以参加投标投标人法定代表人或授权代表（投标文件中所确定的）原件送达的方式提交，否则，采购人有权不予受理。  </w:t>
      </w:r>
    </w:p>
    <w:p w14:paraId="77694E53">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3.4</w:t>
      </w:r>
      <w:r>
        <w:rPr>
          <w:rFonts w:hint="eastAsia" w:ascii="宋体" w:hAnsi="宋体" w:eastAsia="宋体" w:cs="宋体"/>
          <w:color w:val="auto"/>
          <w:sz w:val="24"/>
          <w:szCs w:val="24"/>
          <w:lang w:val="zh-CN"/>
        </w:rPr>
        <w:t xml:space="preserve"> 质疑文件应包括以下主要内容，并按照“谁主张、谁举证”的原则，附上相关证明材料。否则，采购人或采购人不予受理：</w:t>
      </w:r>
    </w:p>
    <w:p w14:paraId="0DEE5FFD">
      <w:pPr>
        <w:autoSpaceDE w:val="0"/>
        <w:autoSpaceDN w:val="0"/>
        <w:spacing w:line="360" w:lineRule="auto"/>
        <w:ind w:left="440" w:left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（1）质疑项目名称、项目编号、包号、招标公告发布时间、开标时间；</w:t>
      </w:r>
    </w:p>
    <w:p w14:paraId="1C3C906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（2）提起质疑的日期、具体的质疑事项及事实根据（具体条款）；</w:t>
      </w:r>
    </w:p>
    <w:p w14:paraId="262FDF6F">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（3）认为自己合法权益受到损害或可能受到损害的相关证据材料。质疑相关证明材料中如涉及到产品功能或技术指标的，应出具相关制造商的证明文件；</w:t>
      </w:r>
    </w:p>
    <w:p w14:paraId="77059D3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（4）质疑投标人名称、地址、邮编、联系人、联系电话；</w:t>
      </w:r>
    </w:p>
    <w:p w14:paraId="77F2231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（5）质疑文件应当署名，质疑人为自然人的，应当由本人签字并附有效身份证明；质疑人为法人或其他组织的，应当由法定代表人签字并加盖单位公章。</w:t>
      </w:r>
    </w:p>
    <w:p w14:paraId="7337822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在收到投标人的书面质疑后将及时组织调查核实，在七个工作日内作出答复，答复的内容不涉及商业秘密。</w:t>
      </w:r>
    </w:p>
    <w:p w14:paraId="1210859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、投诉</w:t>
      </w:r>
    </w:p>
    <w:p w14:paraId="3D8F154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质疑投标人对</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的答复不满意，或未在规定的时间内作出答复的，可以在答复期满后十五个工作日内向采购项目同级财政部门投诉。</w:t>
      </w:r>
    </w:p>
    <w:p w14:paraId="7BE9C539">
      <w:pPr>
        <w:pStyle w:val="33"/>
        <w:rPr>
          <w:rFonts w:ascii="宋体" w:hAnsi="宋体" w:cs="宋体"/>
          <w:color w:val="auto"/>
          <w:lang w:val="zh-CN"/>
        </w:rPr>
      </w:pPr>
    </w:p>
    <w:p w14:paraId="6EBAA028">
      <w:pPr>
        <w:pStyle w:val="33"/>
        <w:rPr>
          <w:rFonts w:ascii="宋体" w:hAnsi="宋体" w:cs="宋体"/>
          <w:color w:val="auto"/>
          <w:lang w:val="zh-CN"/>
        </w:rPr>
      </w:pPr>
    </w:p>
    <w:bookmarkEnd w:id="25"/>
    <w:bookmarkEnd w:id="26"/>
    <w:bookmarkEnd w:id="27"/>
    <w:bookmarkEnd w:id="28"/>
    <w:p w14:paraId="2A56773F">
      <w:pPr>
        <w:pStyle w:val="3"/>
        <w:pageBreakBefore/>
        <w:rPr>
          <w:rFonts w:asciiTheme="majorEastAsia" w:hAnsiTheme="majorEastAsia" w:eastAsiaTheme="majorEastAsia"/>
          <w:b/>
          <w:color w:val="auto"/>
          <w:sz w:val="32"/>
          <w:szCs w:val="32"/>
        </w:rPr>
      </w:pPr>
      <w:bookmarkStart w:id="44" w:name="_Toc23761"/>
      <w:r>
        <w:rPr>
          <w:rFonts w:hint="eastAsia" w:asciiTheme="majorEastAsia" w:hAnsiTheme="majorEastAsia" w:eastAsiaTheme="majorEastAsia"/>
          <w:b/>
          <w:color w:val="auto"/>
          <w:sz w:val="32"/>
          <w:szCs w:val="32"/>
        </w:rPr>
        <w:t>第三章  项目需求</w:t>
      </w:r>
      <w:bookmarkEnd w:id="44"/>
    </w:p>
    <w:p w14:paraId="3C5B78FD">
      <w:pPr>
        <w:rPr>
          <w:color w:val="auto"/>
        </w:rPr>
      </w:pPr>
    </w:p>
    <w:p w14:paraId="3961F15A">
      <w:pPr>
        <w:pStyle w:val="39"/>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一、项目基本情况及采购项目清单</w:t>
      </w:r>
    </w:p>
    <w:p w14:paraId="233EFE4C">
      <w:pPr>
        <w:pStyle w:val="3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（一）项目背景</w:t>
      </w:r>
    </w:p>
    <w:p w14:paraId="29FCC73E">
      <w:pPr>
        <w:pStyle w:val="39"/>
        <w:spacing w:line="360" w:lineRule="auto"/>
        <w:ind w:firstLine="480"/>
        <w:rPr>
          <w:rFonts w:ascii="宋体" w:hAnsi="宋体" w:eastAsia="宋体" w:cs="宋体"/>
          <w:color w:val="auto"/>
          <w:sz w:val="24"/>
          <w:szCs w:val="24"/>
        </w:rPr>
      </w:pPr>
      <w:r>
        <w:rPr>
          <w:rFonts w:ascii="宋体" w:hAnsi="宋体" w:eastAsia="宋体" w:cs="宋体"/>
          <w:color w:val="auto"/>
          <w:sz w:val="24"/>
          <w:szCs w:val="24"/>
        </w:rPr>
        <w:t>为贯彻落实国家《信息安全等级保护管理办法》（公通字[2007]43号）、教育部、公安部《关于全面推进教育行业信息安全等级保护工作的通知》（教技[2015]2号）、教育部办公厅《关于组织开展部属单位信息安全等级保护工作的通知》（教技厅函[2015]68号）、江苏省教育厅《关于认真落实教育部公安部全面推进教育行业信息安全等级保护工作要求的通知》（苏教办电[2015]4号）等文件的相关要求，我校积极推进学院网络信息安全等级保护（下称“等保”）工作。</w:t>
      </w:r>
    </w:p>
    <w:p w14:paraId="592FFFC8">
      <w:pPr>
        <w:pStyle w:val="39"/>
        <w:numPr>
          <w:ilvl w:val="0"/>
          <w:numId w:val="3"/>
        </w:numPr>
        <w:spacing w:line="360" w:lineRule="auto"/>
        <w:ind w:firstLine="482" w:firstLineChars="0"/>
        <w:rPr>
          <w:rFonts w:ascii="宋体" w:hAnsi="宋体" w:eastAsia="宋体" w:cs="宋体"/>
          <w:color w:val="auto"/>
          <w:sz w:val="24"/>
          <w:szCs w:val="24"/>
        </w:rPr>
      </w:pPr>
      <w:r>
        <w:rPr>
          <w:rFonts w:hint="eastAsia" w:ascii="宋体" w:hAnsi="宋体" w:eastAsia="宋体" w:cs="宋体"/>
          <w:color w:val="auto"/>
          <w:sz w:val="24"/>
          <w:szCs w:val="24"/>
        </w:rPr>
        <w:t>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528"/>
        <w:gridCol w:w="1704"/>
        <w:gridCol w:w="1705"/>
        <w:gridCol w:w="1705"/>
      </w:tblGrid>
      <w:tr w14:paraId="1B59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880" w:type="dxa"/>
            <w:vAlign w:val="center"/>
          </w:tcPr>
          <w:p w14:paraId="385CF2FC">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528" w:type="dxa"/>
            <w:vAlign w:val="center"/>
          </w:tcPr>
          <w:p w14:paraId="11528918">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产品名称</w:t>
            </w:r>
          </w:p>
        </w:tc>
        <w:tc>
          <w:tcPr>
            <w:tcW w:w="1704" w:type="dxa"/>
            <w:vAlign w:val="center"/>
          </w:tcPr>
          <w:p w14:paraId="637B2FA5">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705" w:type="dxa"/>
            <w:vAlign w:val="center"/>
          </w:tcPr>
          <w:p w14:paraId="38EFEFCE">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1705" w:type="dxa"/>
            <w:vAlign w:val="center"/>
          </w:tcPr>
          <w:p w14:paraId="33DA1327">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最高限价</w:t>
            </w:r>
          </w:p>
        </w:tc>
      </w:tr>
      <w:tr w14:paraId="20A2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C0067FF">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528" w:type="dxa"/>
            <w:vAlign w:val="center"/>
          </w:tcPr>
          <w:p w14:paraId="0844ED80">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门户网站系统</w:t>
            </w:r>
          </w:p>
        </w:tc>
        <w:tc>
          <w:tcPr>
            <w:tcW w:w="1704" w:type="dxa"/>
            <w:vAlign w:val="center"/>
          </w:tcPr>
          <w:p w14:paraId="0BB595D5">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705" w:type="dxa"/>
            <w:vAlign w:val="center"/>
          </w:tcPr>
          <w:p w14:paraId="330AD97D">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05" w:type="dxa"/>
            <w:vAlign w:val="center"/>
          </w:tcPr>
          <w:p w14:paraId="42369A0C">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8万元</w:t>
            </w:r>
          </w:p>
        </w:tc>
      </w:tr>
      <w:tr w14:paraId="7DD4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0" w:type="dxa"/>
            <w:vAlign w:val="center"/>
          </w:tcPr>
          <w:p w14:paraId="588A49CA">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528" w:type="dxa"/>
            <w:vAlign w:val="center"/>
          </w:tcPr>
          <w:p w14:paraId="48371031">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校园支付系统</w:t>
            </w:r>
          </w:p>
        </w:tc>
        <w:tc>
          <w:tcPr>
            <w:tcW w:w="1704" w:type="dxa"/>
            <w:vAlign w:val="center"/>
          </w:tcPr>
          <w:p w14:paraId="219A548A">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705" w:type="dxa"/>
            <w:vAlign w:val="center"/>
          </w:tcPr>
          <w:p w14:paraId="758F9A82">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05" w:type="dxa"/>
            <w:vAlign w:val="center"/>
          </w:tcPr>
          <w:p w14:paraId="211B7C16">
            <w:pPr>
              <w:pStyle w:val="39"/>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5万元</w:t>
            </w:r>
          </w:p>
        </w:tc>
      </w:tr>
    </w:tbl>
    <w:p w14:paraId="1BA9170E">
      <w:pPr>
        <w:pStyle w:val="39"/>
        <w:spacing w:line="360" w:lineRule="auto"/>
        <w:ind w:firstLine="0" w:firstLineChars="0"/>
        <w:rPr>
          <w:rFonts w:ascii="宋体" w:hAnsi="宋体" w:eastAsia="宋体" w:cs="宋体"/>
          <w:b/>
          <w:bCs/>
          <w:color w:val="auto"/>
          <w:sz w:val="24"/>
          <w:szCs w:val="24"/>
        </w:rPr>
      </w:pPr>
    </w:p>
    <w:p w14:paraId="032DB261">
      <w:pPr>
        <w:pStyle w:val="39"/>
        <w:numPr>
          <w:ilvl w:val="0"/>
          <w:numId w:val="4"/>
        </w:numPr>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技术要求</w:t>
      </w:r>
    </w:p>
    <w:p w14:paraId="1FC0DF10">
      <w:pPr>
        <w:pStyle w:val="3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根据国家和政府对信息系统安全保障能力的要求，对我校“门户网站系统”及“校园支付系统”实施定级及等级保护测评，通过与标准进行比较，找出存在不足和缺失的地方，为安全建设整改提供参考依据，减少安全改造对现有系统可能产生的负面影响，为系统稳定运行提供更好的保障，使系统更好的为用户服务，并使安全投入性价比最大化。</w:t>
      </w:r>
    </w:p>
    <w:p w14:paraId="18CFE849">
      <w:pPr>
        <w:pStyle w:val="3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识别信息安全风险。通过对我校“门户网站系统”及“校园支付系统”在安全技术和安全管理方面的测评，发现信息系统在安全技术和安全管理方面与相应安全等级保护要求之间的差距，并进行风险分析，明确信息系统面临的风险。</w:t>
      </w:r>
    </w:p>
    <w:p w14:paraId="4F23E2F0">
      <w:pPr>
        <w:pStyle w:val="3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（2）增强安全技术防护能力。依据安全技术等级测评结果，并结合我校的实际情况，区分轻重缓急，制定针对性的安全技术建设整改计划，通过安全技术整改不断提高信息系统的整体安全保护水平。</w:t>
      </w:r>
    </w:p>
    <w:p w14:paraId="427E7082">
      <w:pPr>
        <w:pStyle w:val="3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提高信息安全管理水平。依据安全管理等级测评结果，建立健全各项管理制度、安全策略、操作规程，落实各项管理措施，完善安全事件处置和应急预案管理，通过安全管理手段与安全技术手段相结合，进一步保证信息系统的安全性和连续性。</w:t>
      </w:r>
    </w:p>
    <w:p w14:paraId="3DAEFD62">
      <w:pPr>
        <w:pStyle w:val="3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（4）最终目标是使“门户网站系统”及“校园支付系统”通过国家规定的信息系统等级保护测评。</w:t>
      </w:r>
    </w:p>
    <w:p w14:paraId="11AF5E16">
      <w:pPr>
        <w:pStyle w:val="39"/>
        <w:spacing w:line="360" w:lineRule="auto"/>
        <w:ind w:firstLine="0" w:firstLineChars="0"/>
        <w:rPr>
          <w:rFonts w:ascii="宋体" w:hAnsi="宋体" w:eastAsia="宋体" w:cs="宋体"/>
          <w:b/>
          <w:bCs/>
          <w:color w:val="auto"/>
          <w:sz w:val="24"/>
          <w:szCs w:val="24"/>
        </w:rPr>
      </w:pPr>
    </w:p>
    <w:p w14:paraId="611BF7D8">
      <w:pPr>
        <w:autoSpaceDE w:val="0"/>
        <w:autoSpaceDN w:val="0"/>
        <w:spacing w:line="360" w:lineRule="auto"/>
        <w:ind w:firstLine="420"/>
        <w:rPr>
          <w:rFonts w:ascii="宋体" w:hAnsi="宋体" w:eastAsia="宋体" w:cs="宋体"/>
          <w:b/>
          <w:bCs/>
          <w:color w:val="auto"/>
          <w:sz w:val="24"/>
          <w:szCs w:val="24"/>
          <w:lang w:val="zh-CN"/>
        </w:rPr>
      </w:pPr>
      <w:bookmarkStart w:id="45" w:name="_Toc9546"/>
      <w:bookmarkStart w:id="46" w:name="_Toc13108"/>
      <w:bookmarkStart w:id="47" w:name="_Toc8837"/>
      <w:r>
        <w:rPr>
          <w:rFonts w:hint="eastAsia" w:ascii="宋体" w:hAnsi="宋体" w:eastAsia="宋体" w:cs="宋体"/>
          <w:b/>
          <w:bCs/>
          <w:color w:val="auto"/>
          <w:sz w:val="24"/>
          <w:szCs w:val="24"/>
          <w:lang w:val="zh-CN"/>
        </w:rPr>
        <w:t>三、服务要求</w:t>
      </w:r>
      <w:bookmarkEnd w:id="45"/>
      <w:bookmarkEnd w:id="46"/>
    </w:p>
    <w:p w14:paraId="06070326">
      <w:pPr>
        <w:spacing w:line="360" w:lineRule="auto"/>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（1）通过本次测评，完成“门户网站系统”及“校园支付系统”测评前的所有文档的建立及系统完善工作，以使其能满足国家规定的信息系统定级的测评基本要求。</w:t>
      </w:r>
    </w:p>
    <w:p w14:paraId="14945F1F">
      <w:pPr>
        <w:spacing w:line="360" w:lineRule="auto"/>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（2）对在“门户网站系统”及“校园支付系统”等级保护测评中发现的各种问题提出安全整改建议，并协助校方做好整改工作，最终达到定级标准要求。</w:t>
      </w:r>
    </w:p>
    <w:p w14:paraId="20071998">
      <w:pPr>
        <w:spacing w:line="360" w:lineRule="auto"/>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确保定级测评工作的安全、规范，确保被测系统的安全。所使用的工具、方法和过程要在双方认可的情况下使用。等级保护测评工具应经过严格测试和检验，确保不对被测评系统造成损失，工作结束后不驻留任何程序并销毁不需要的文档和资料；在对学院的信息系统进行测评中发现的漏洞及安全问题等情况严格执行相关保密制度；对测评设备、介质进行严格的保密管理；工作过程中对公司人员实施封闭式集中管理；公司项目组进场人员必须遵守学校的相关管理规定。</w:t>
      </w:r>
    </w:p>
    <w:p w14:paraId="1372B5AE">
      <w:pPr>
        <w:spacing w:line="360" w:lineRule="auto"/>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（4）在工作过程中对涉及的各类数据严格保密，在测评工作结束后，不可将工作中的数据用于任何有损校方利益的用途，双方签署保密协议。</w:t>
      </w:r>
    </w:p>
    <w:p w14:paraId="6076C470">
      <w:pPr>
        <w:spacing w:line="360" w:lineRule="auto"/>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（5）测评工作虽然不能完全摆脱个人主张或判断，但测评人员应当在没有偏见和最小主观判断情形下，按照测评双方相互认可的测评方案，基于明确定义的测评方法和过程，实施测评活动。</w:t>
      </w:r>
    </w:p>
    <w:p w14:paraId="4C8D7CAE">
      <w:pPr>
        <w:spacing w:line="360" w:lineRule="auto"/>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（6）服务期内为校方提供等保建设相关安全咨询服务。</w:t>
      </w:r>
    </w:p>
    <w:p w14:paraId="70B30973">
      <w:pPr>
        <w:spacing w:line="360" w:lineRule="auto"/>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（7）等保测评工作完成后，供应商须提交下列材料（包括但不限于）：</w:t>
      </w:r>
    </w:p>
    <w:p w14:paraId="12BBDC49">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《网络安全等级保护安全整改设计方案》</w:t>
      </w:r>
    </w:p>
    <w:p w14:paraId="39994A67">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《信息系统网络安全等级保护测评报告》</w:t>
      </w:r>
    </w:p>
    <w:p w14:paraId="599153B8">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《测评方案确认单》</w:t>
      </w:r>
    </w:p>
    <w:p w14:paraId="773F224E">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《测评授权书》</w:t>
      </w:r>
    </w:p>
    <w:p w14:paraId="4AEAC8CC">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《系统状态确认书》</w:t>
      </w:r>
    </w:p>
    <w:p w14:paraId="6748229A">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《测评结果记录表》</w:t>
      </w:r>
    </w:p>
    <w:p w14:paraId="78D49FB1">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《现场测评结果确认单》</w:t>
      </w:r>
    </w:p>
    <w:p w14:paraId="486B2D8C">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《安全测试报告》</w:t>
      </w:r>
    </w:p>
    <w:p w14:paraId="186A9935">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《首/末次会议签到表》</w:t>
      </w:r>
    </w:p>
    <w:p w14:paraId="4B4DBDD4">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《网络安全等级保护测评活动监督表》</w:t>
      </w:r>
    </w:p>
    <w:p w14:paraId="6B3492BB">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《网络安全等级保护测评服务情况评价表》</w:t>
      </w:r>
    </w:p>
    <w:p w14:paraId="48138671">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《项目验收报告》</w:t>
      </w:r>
    </w:p>
    <w:p w14:paraId="6156B71E">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其他需要补充的材料。</w:t>
      </w:r>
    </w:p>
    <w:p w14:paraId="7C22AD30">
      <w:pPr>
        <w:ind w:firstLine="42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装订成册提交校方后方可申请验收。</w:t>
      </w:r>
    </w:p>
    <w:p w14:paraId="5F38802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四、安装要求</w:t>
      </w:r>
      <w:bookmarkEnd w:id="47"/>
    </w:p>
    <w:p w14:paraId="44E15F8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本次等保测评项目的主要依据如下：</w:t>
      </w:r>
    </w:p>
    <w:p w14:paraId="711B37B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《中华人民共和国网络安全法》</w:t>
      </w:r>
    </w:p>
    <w:p w14:paraId="0E249B2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《信息安全等级保护管理办法》（公通字[2007]43号）</w:t>
      </w:r>
    </w:p>
    <w:p w14:paraId="0187418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《信息安全技术 网络安全等级保护基本要求》B/T22239-2019）</w:t>
      </w:r>
    </w:p>
    <w:p w14:paraId="40B3362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《信息安全技术 网络安全等级保护安全设计技术要求》(GB/T25070-2019)</w:t>
      </w:r>
    </w:p>
    <w:p w14:paraId="1F66425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《信息安全技术网络安全等级保护测评要求》(GB/T28448-2019)</w:t>
      </w:r>
    </w:p>
    <w:p w14:paraId="15F56AE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其他相关法规与技术标准。</w:t>
      </w:r>
    </w:p>
    <w:p w14:paraId="337459BF">
      <w:pPr>
        <w:autoSpaceDE w:val="0"/>
        <w:autoSpaceDN w:val="0"/>
        <w:spacing w:line="360" w:lineRule="auto"/>
        <w:ind w:firstLine="420"/>
        <w:rPr>
          <w:rFonts w:ascii="宋体" w:hAnsi="宋体" w:eastAsia="宋体" w:cs="宋体"/>
          <w:color w:val="auto"/>
          <w:sz w:val="24"/>
          <w:szCs w:val="24"/>
          <w:lang w:val="zh-CN"/>
        </w:rPr>
      </w:pPr>
      <w:bookmarkStart w:id="48" w:name="_Toc11610"/>
      <w:r>
        <w:rPr>
          <w:rFonts w:hint="eastAsia" w:ascii="宋体" w:hAnsi="宋体" w:eastAsia="宋体" w:cs="宋体"/>
          <w:b/>
          <w:bCs/>
          <w:color w:val="auto"/>
          <w:sz w:val="24"/>
          <w:szCs w:val="24"/>
          <w:lang w:val="zh-CN"/>
        </w:rPr>
        <w:t>五、交货期、交货方式及交货地点</w:t>
      </w:r>
      <w:bookmarkEnd w:id="48"/>
    </w:p>
    <w:p w14:paraId="41568C1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zh-CN"/>
        </w:rPr>
        <w:t>. 交货期：</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0个工作日(甲方于项目开始前5个工作日通知乙方)。</w:t>
      </w:r>
    </w:p>
    <w:p w14:paraId="72A14B1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 交货方式：中标人在买方指定地点交货。</w:t>
      </w:r>
    </w:p>
    <w:p w14:paraId="401A956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 交货地点：南京医科大学</w:t>
      </w:r>
      <w:r>
        <w:rPr>
          <w:rFonts w:hint="eastAsia" w:ascii="宋体" w:hAnsi="宋体" w:eastAsia="宋体" w:cs="宋体"/>
          <w:color w:val="auto"/>
          <w:sz w:val="24"/>
          <w:szCs w:val="24"/>
        </w:rPr>
        <w:t>指定地点</w:t>
      </w:r>
      <w:r>
        <w:rPr>
          <w:rFonts w:hint="eastAsia" w:ascii="宋体" w:hAnsi="宋体" w:eastAsia="宋体" w:cs="宋体"/>
          <w:color w:val="auto"/>
          <w:sz w:val="24"/>
          <w:szCs w:val="24"/>
          <w:lang w:val="zh-CN"/>
        </w:rPr>
        <w:t>。</w:t>
      </w:r>
    </w:p>
    <w:p w14:paraId="44A96E4D">
      <w:pPr>
        <w:autoSpaceDE w:val="0"/>
        <w:autoSpaceDN w:val="0"/>
        <w:spacing w:line="360" w:lineRule="auto"/>
        <w:ind w:firstLine="420"/>
        <w:rPr>
          <w:rFonts w:ascii="宋体" w:hAnsi="宋体" w:eastAsia="宋体" w:cs="宋体"/>
          <w:b/>
          <w:bCs/>
          <w:color w:val="auto"/>
          <w:sz w:val="24"/>
          <w:szCs w:val="24"/>
          <w:lang w:val="zh-CN"/>
        </w:rPr>
      </w:pPr>
      <w:bookmarkStart w:id="49" w:name="_Toc18026"/>
      <w:r>
        <w:rPr>
          <w:rFonts w:hint="eastAsia" w:ascii="宋体" w:hAnsi="宋体" w:eastAsia="宋体" w:cs="宋体"/>
          <w:b/>
          <w:bCs/>
          <w:color w:val="auto"/>
          <w:sz w:val="24"/>
          <w:szCs w:val="24"/>
          <w:lang w:val="zh-CN"/>
        </w:rPr>
        <w:t>六、其他技术服务需求</w:t>
      </w:r>
      <w:bookmarkEnd w:id="49"/>
    </w:p>
    <w:p w14:paraId="0848FAA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无。</w:t>
      </w:r>
    </w:p>
    <w:p w14:paraId="25B59744">
      <w:pPr>
        <w:autoSpaceDE w:val="0"/>
        <w:autoSpaceDN w:val="0"/>
        <w:spacing w:line="360" w:lineRule="auto"/>
        <w:ind w:firstLine="420"/>
        <w:rPr>
          <w:rFonts w:ascii="宋体" w:hAnsi="宋体" w:eastAsia="宋体" w:cs="宋体"/>
          <w:b/>
          <w:bCs/>
          <w:color w:val="auto"/>
          <w:sz w:val="24"/>
          <w:szCs w:val="24"/>
          <w:lang w:val="zh-CN"/>
        </w:rPr>
      </w:pPr>
      <w:bookmarkStart w:id="50" w:name="_Toc16384"/>
      <w:r>
        <w:rPr>
          <w:rFonts w:hint="eastAsia" w:ascii="宋体" w:hAnsi="宋体" w:eastAsia="宋体" w:cs="宋体"/>
          <w:b/>
          <w:bCs/>
          <w:color w:val="auto"/>
          <w:sz w:val="24"/>
          <w:szCs w:val="24"/>
          <w:lang w:val="zh-CN"/>
        </w:rPr>
        <w:t>七、货款支付</w:t>
      </w:r>
      <w:bookmarkEnd w:id="50"/>
    </w:p>
    <w:p w14:paraId="4AD18698">
      <w:pPr>
        <w:pStyle w:val="14"/>
        <w:snapToGrid w:val="0"/>
        <w:spacing w:before="120" w:after="120" w:line="360" w:lineRule="auto"/>
        <w:ind w:firstLine="480" w:firstLineChars="200"/>
        <w:rPr>
          <w:rFonts w:hAnsi="宋体" w:eastAsia="宋体"/>
          <w:color w:val="auto"/>
          <w:sz w:val="24"/>
          <w:szCs w:val="28"/>
        </w:rPr>
      </w:pPr>
      <w:bookmarkStart w:id="51" w:name="_Toc401414769"/>
      <w:r>
        <w:rPr>
          <w:rFonts w:hint="eastAsia" w:hAnsi="宋体" w:eastAsia="宋体"/>
          <w:color w:val="auto"/>
          <w:sz w:val="24"/>
          <w:szCs w:val="28"/>
        </w:rPr>
        <w:t>服务交付且安装、调试后，并通过验收合格后一周内甲方支付合同总金额的100%，付款之前需收到乙方开具的合法有效的相应全额发票。</w:t>
      </w:r>
    </w:p>
    <w:p w14:paraId="0AAD88E9">
      <w:pPr>
        <w:pStyle w:val="3"/>
        <w:pageBreakBefore/>
        <w:rPr>
          <w:rFonts w:asciiTheme="majorEastAsia" w:hAnsiTheme="majorEastAsia" w:eastAsiaTheme="majorEastAsia"/>
          <w:b/>
          <w:color w:val="auto"/>
          <w:sz w:val="32"/>
          <w:szCs w:val="32"/>
        </w:rPr>
      </w:pPr>
      <w:bookmarkStart w:id="52" w:name="_Toc23581"/>
      <w:r>
        <w:rPr>
          <w:rFonts w:hint="eastAsia" w:asciiTheme="majorEastAsia" w:hAnsiTheme="majorEastAsia" w:eastAsiaTheme="majorEastAsia"/>
          <w:b/>
          <w:color w:val="auto"/>
          <w:sz w:val="32"/>
          <w:szCs w:val="32"/>
        </w:rPr>
        <w:t>第四章  评标方法与评标标准</w:t>
      </w:r>
      <w:bookmarkEnd w:id="52"/>
    </w:p>
    <w:p w14:paraId="39271B3F">
      <w:pPr>
        <w:rPr>
          <w:color w:val="auto"/>
        </w:rPr>
      </w:pPr>
    </w:p>
    <w:p w14:paraId="43300F75">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一、评标方法</w:t>
      </w:r>
    </w:p>
    <w:p w14:paraId="431B6C0E">
      <w:pPr>
        <w:pStyle w:val="33"/>
        <w:ind w:firstLineChars="200"/>
        <w:rPr>
          <w:rFonts w:cs="Arial"/>
          <w:color w:val="auto"/>
        </w:rPr>
      </w:pPr>
      <w:r>
        <w:rPr>
          <w:rFonts w:hint="eastAsia" w:cs="Arial"/>
          <w:color w:val="auto"/>
        </w:rPr>
        <w:t>本项目采用综合评分法，评分统计方法采用百分制（满分</w:t>
      </w:r>
      <w:r>
        <w:rPr>
          <w:rFonts w:cs="Arial"/>
          <w:color w:val="auto"/>
        </w:rPr>
        <w:t>100</w:t>
      </w:r>
      <w:r>
        <w:rPr>
          <w:rFonts w:hint="eastAsia" w:cs="Arial"/>
          <w:color w:val="auto"/>
        </w:rPr>
        <w:t>分），将全部评委评分直接进行算术平均，小数点后保留</w:t>
      </w:r>
      <w:r>
        <w:rPr>
          <w:rFonts w:cs="Arial"/>
          <w:color w:val="auto"/>
        </w:rPr>
        <w:t>2</w:t>
      </w:r>
      <w:r>
        <w:rPr>
          <w:rFonts w:hint="eastAsia" w:cs="Arial"/>
          <w:color w:val="auto"/>
        </w:rPr>
        <w:t>位。</w:t>
      </w:r>
    </w:p>
    <w:p w14:paraId="1BF4CAFC">
      <w:pPr>
        <w:pStyle w:val="33"/>
        <w:rPr>
          <w:rFonts w:ascii="宋体" w:hAnsi="宋体" w:cs="宋体"/>
          <w:color w:val="auto"/>
        </w:rPr>
      </w:pPr>
      <w:r>
        <w:rPr>
          <w:rFonts w:hint="eastAsia" w:ascii="宋体" w:hAnsi="宋体" w:cs="宋体"/>
          <w:bCs/>
          <w:color w:val="auto"/>
        </w:rPr>
        <w:t>评委会将对确定为实质性响应招标文件要求的投标文件进行评价和比较，</w:t>
      </w:r>
      <w:r>
        <w:rPr>
          <w:rFonts w:hint="eastAsia" w:ascii="宋体" w:hAnsi="宋体" w:cs="宋体"/>
          <w:color w:val="auto"/>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tbl>
      <w:tblPr>
        <w:tblStyle w:val="23"/>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715"/>
        <w:gridCol w:w="4985"/>
        <w:gridCol w:w="1003"/>
        <w:gridCol w:w="1212"/>
      </w:tblGrid>
      <w:tr w14:paraId="3822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2485A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b/>
                <w:color w:val="auto"/>
                <w:sz w:val="21"/>
                <w:szCs w:val="21"/>
              </w:rPr>
            </w:pPr>
            <w:r>
              <w:rPr>
                <w:rFonts w:hint="eastAsia" w:ascii="宋体" w:hAnsi="宋体" w:eastAsia="宋体" w:cs="宋体"/>
                <w:b/>
                <w:color w:val="auto"/>
                <w:sz w:val="21"/>
                <w:szCs w:val="21"/>
              </w:rPr>
              <w:t>评分项</w:t>
            </w:r>
          </w:p>
        </w:tc>
        <w:tc>
          <w:tcPr>
            <w:tcW w:w="6700" w:type="dxa"/>
            <w:gridSpan w:val="2"/>
            <w:tcBorders>
              <w:top w:val="single" w:color="auto" w:sz="4" w:space="0"/>
              <w:left w:val="single" w:color="auto" w:sz="4" w:space="0"/>
              <w:bottom w:val="single" w:color="auto" w:sz="4" w:space="0"/>
              <w:right w:val="single" w:color="auto" w:sz="4" w:space="0"/>
            </w:tcBorders>
            <w:vAlign w:val="center"/>
          </w:tcPr>
          <w:p w14:paraId="4CBC4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1003" w:type="dxa"/>
            <w:tcBorders>
              <w:top w:val="single" w:color="auto" w:sz="4" w:space="0"/>
              <w:left w:val="single" w:color="auto" w:sz="4" w:space="0"/>
              <w:bottom w:val="single" w:color="auto" w:sz="4" w:space="0"/>
              <w:right w:val="single" w:color="auto" w:sz="4" w:space="0"/>
            </w:tcBorders>
            <w:vAlign w:val="center"/>
          </w:tcPr>
          <w:p w14:paraId="7F93D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c>
          <w:tcPr>
            <w:tcW w:w="1212" w:type="dxa"/>
            <w:tcBorders>
              <w:top w:val="single" w:color="auto" w:sz="4" w:space="0"/>
              <w:left w:val="single" w:color="auto" w:sz="4" w:space="0"/>
              <w:bottom w:val="single" w:color="auto" w:sz="4" w:space="0"/>
              <w:right w:val="single" w:color="auto" w:sz="4" w:space="0"/>
            </w:tcBorders>
            <w:vAlign w:val="center"/>
          </w:tcPr>
          <w:p w14:paraId="7AD8C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b/>
                <w:color w:val="auto"/>
                <w:sz w:val="21"/>
                <w:szCs w:val="21"/>
              </w:rPr>
            </w:pPr>
            <w:r>
              <w:rPr>
                <w:rFonts w:hint="eastAsia" w:ascii="宋体" w:hAnsi="宋体" w:eastAsia="宋体" w:cs="宋体"/>
                <w:b/>
                <w:color w:val="auto"/>
                <w:sz w:val="21"/>
                <w:szCs w:val="21"/>
              </w:rPr>
              <w:t>备注</w:t>
            </w:r>
          </w:p>
        </w:tc>
      </w:tr>
      <w:tr w14:paraId="2289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14:paraId="1382C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b/>
                <w:color w:val="auto"/>
                <w:sz w:val="21"/>
                <w:szCs w:val="21"/>
              </w:rPr>
            </w:pPr>
            <w:r>
              <w:rPr>
                <w:rFonts w:hint="eastAsia" w:ascii="宋体" w:hAnsi="宋体" w:eastAsia="宋体" w:cs="宋体"/>
                <w:b/>
                <w:color w:val="auto"/>
                <w:sz w:val="21"/>
                <w:szCs w:val="21"/>
              </w:rPr>
              <w:t>一、报价部分（30分）</w:t>
            </w:r>
          </w:p>
        </w:tc>
      </w:tr>
      <w:tr w14:paraId="7CFF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4831A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color w:val="auto"/>
                <w:sz w:val="21"/>
                <w:szCs w:val="21"/>
              </w:rPr>
            </w:pPr>
            <w:r>
              <w:rPr>
                <w:rFonts w:hint="eastAsia" w:ascii="宋体" w:hAnsi="宋体" w:eastAsia="宋体" w:cs="宋体"/>
                <w:color w:val="auto"/>
                <w:sz w:val="21"/>
                <w:szCs w:val="21"/>
              </w:rPr>
              <w:t>服务价格</w:t>
            </w:r>
          </w:p>
          <w:p w14:paraId="20F41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color w:val="auto"/>
                <w:sz w:val="21"/>
                <w:szCs w:val="21"/>
              </w:rPr>
            </w:pPr>
            <w:r>
              <w:rPr>
                <w:rFonts w:hint="eastAsia" w:ascii="宋体" w:hAnsi="宋体" w:eastAsia="宋体" w:cs="宋体"/>
                <w:color w:val="auto"/>
                <w:sz w:val="21"/>
                <w:szCs w:val="21"/>
              </w:rPr>
              <w:t>（30分）</w:t>
            </w:r>
          </w:p>
        </w:tc>
        <w:tc>
          <w:tcPr>
            <w:tcW w:w="6700" w:type="dxa"/>
            <w:gridSpan w:val="2"/>
            <w:tcBorders>
              <w:top w:val="single" w:color="auto" w:sz="4" w:space="0"/>
              <w:left w:val="single" w:color="auto" w:sz="4" w:space="0"/>
              <w:bottom w:val="single" w:color="auto" w:sz="4" w:space="0"/>
              <w:right w:val="single" w:color="auto" w:sz="4" w:space="0"/>
            </w:tcBorders>
            <w:vAlign w:val="center"/>
          </w:tcPr>
          <w:p w14:paraId="7457B728">
            <w:pPr>
              <w:rPr>
                <w:rFonts w:ascii="宋体" w:hAnsi="宋体" w:eastAsia="宋体" w:cs="宋体"/>
                <w:color w:val="auto"/>
                <w:sz w:val="21"/>
                <w:szCs w:val="21"/>
              </w:rPr>
            </w:pPr>
            <w:r>
              <w:rPr>
                <w:rFonts w:hint="eastAsia" w:ascii="宋体" w:hAnsi="宋体" w:eastAsia="宋体" w:cs="宋体"/>
                <w:color w:val="auto"/>
                <w:sz w:val="21"/>
                <w:szCs w:val="21"/>
              </w:rPr>
              <w:t>本次招标以进入详细评审的各投标人投标报价的最低值为A值，A值为价格分的满分，即30分。</w:t>
            </w:r>
          </w:p>
          <w:p w14:paraId="366DD0E4">
            <w:pPr>
              <w:rPr>
                <w:rFonts w:ascii="宋体" w:hAnsi="宋体" w:eastAsia="宋体" w:cs="宋体"/>
                <w:color w:val="auto"/>
                <w:sz w:val="21"/>
                <w:szCs w:val="21"/>
              </w:rPr>
            </w:pPr>
            <w:r>
              <w:rPr>
                <w:rFonts w:hint="eastAsia" w:ascii="宋体" w:hAnsi="宋体" w:eastAsia="宋体" w:cs="宋体"/>
                <w:color w:val="auto"/>
                <w:sz w:val="21"/>
                <w:szCs w:val="21"/>
              </w:rPr>
              <w:t>其他投标人的价格分统一按照以下公式计算：</w:t>
            </w:r>
          </w:p>
          <w:p w14:paraId="67BEAF7B">
            <w:pPr>
              <w:rPr>
                <w:rFonts w:ascii="宋体" w:hAnsi="宋体" w:eastAsia="宋体" w:cs="宋体"/>
                <w:color w:val="auto"/>
                <w:sz w:val="21"/>
                <w:szCs w:val="21"/>
              </w:rPr>
            </w:pPr>
            <w:r>
              <w:rPr>
                <w:rFonts w:hint="eastAsia" w:ascii="宋体" w:hAnsi="宋体" w:eastAsia="宋体" w:cs="宋体"/>
                <w:color w:val="auto"/>
                <w:sz w:val="21"/>
                <w:szCs w:val="21"/>
              </w:rPr>
              <w:t>投标人价格得分=（A／投标报价）×30。（保留小数点后两位）</w:t>
            </w:r>
          </w:p>
        </w:tc>
        <w:tc>
          <w:tcPr>
            <w:tcW w:w="1003" w:type="dxa"/>
            <w:tcBorders>
              <w:top w:val="single" w:color="auto" w:sz="4" w:space="0"/>
              <w:left w:val="single" w:color="auto" w:sz="4" w:space="0"/>
              <w:bottom w:val="single" w:color="auto" w:sz="4" w:space="0"/>
              <w:right w:val="single" w:color="auto" w:sz="4" w:space="0"/>
            </w:tcBorders>
            <w:vAlign w:val="center"/>
          </w:tcPr>
          <w:p w14:paraId="52CFE12A">
            <w:pPr>
              <w:jc w:val="center"/>
              <w:rPr>
                <w:rFonts w:ascii="宋体" w:hAnsi="宋体" w:eastAsia="宋体" w:cs="宋体"/>
                <w:color w:val="auto"/>
                <w:sz w:val="21"/>
                <w:szCs w:val="21"/>
              </w:rPr>
            </w:pPr>
            <w:r>
              <w:rPr>
                <w:rFonts w:hint="eastAsia" w:ascii="宋体" w:hAnsi="宋体" w:eastAsia="宋体" w:cs="宋体"/>
                <w:color w:val="auto"/>
                <w:sz w:val="21"/>
                <w:szCs w:val="21"/>
              </w:rPr>
              <w:t>30分</w:t>
            </w:r>
          </w:p>
        </w:tc>
        <w:tc>
          <w:tcPr>
            <w:tcW w:w="1212" w:type="dxa"/>
            <w:tcBorders>
              <w:top w:val="single" w:color="auto" w:sz="4" w:space="0"/>
              <w:left w:val="single" w:color="auto" w:sz="4" w:space="0"/>
              <w:bottom w:val="single" w:color="auto" w:sz="4" w:space="0"/>
              <w:right w:val="single" w:color="auto" w:sz="4" w:space="0"/>
            </w:tcBorders>
            <w:vAlign w:val="center"/>
          </w:tcPr>
          <w:p w14:paraId="191C3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b/>
                <w:color w:val="auto"/>
                <w:sz w:val="21"/>
                <w:szCs w:val="21"/>
              </w:rPr>
            </w:pPr>
            <w:r>
              <w:rPr>
                <w:rFonts w:hint="eastAsia" w:ascii="宋体" w:hAnsi="宋体" w:eastAsia="宋体" w:cs="宋体"/>
                <w:color w:val="auto"/>
                <w:sz w:val="21"/>
                <w:szCs w:val="21"/>
              </w:rPr>
              <w:t>投标人需满足招标文件要求</w:t>
            </w:r>
          </w:p>
        </w:tc>
      </w:tr>
      <w:tr w14:paraId="1A94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14:paraId="6751C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b/>
                <w:color w:val="auto"/>
                <w:sz w:val="21"/>
                <w:szCs w:val="21"/>
              </w:rPr>
            </w:pPr>
            <w:r>
              <w:rPr>
                <w:rFonts w:hint="eastAsia" w:ascii="宋体" w:hAnsi="宋体" w:eastAsia="宋体" w:cs="宋体"/>
                <w:b/>
                <w:color w:val="auto"/>
                <w:sz w:val="21"/>
                <w:szCs w:val="21"/>
              </w:rPr>
              <w:t>二、商务部分（40分）</w:t>
            </w:r>
          </w:p>
        </w:tc>
      </w:tr>
      <w:tr w14:paraId="012E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344" w:type="dxa"/>
            <w:tcBorders>
              <w:top w:val="single" w:color="auto" w:sz="4" w:space="0"/>
              <w:left w:val="single" w:color="auto" w:sz="4" w:space="0"/>
              <w:right w:val="single" w:color="auto" w:sz="4" w:space="0"/>
            </w:tcBorders>
            <w:vAlign w:val="center"/>
          </w:tcPr>
          <w:p w14:paraId="366753EB">
            <w:pPr>
              <w:rPr>
                <w:rFonts w:ascii="宋体" w:hAnsi="宋体" w:eastAsia="宋体" w:cs="宋体"/>
                <w:color w:val="auto"/>
                <w:sz w:val="21"/>
                <w:szCs w:val="21"/>
              </w:rPr>
            </w:pPr>
            <w:r>
              <w:rPr>
                <w:rFonts w:hint="eastAsia" w:ascii="宋体" w:hAnsi="宋体" w:eastAsia="宋体" w:cs="宋体"/>
                <w:color w:val="auto"/>
                <w:sz w:val="21"/>
                <w:szCs w:val="21"/>
              </w:rPr>
              <w:t>综合服务水平（12分）</w:t>
            </w:r>
          </w:p>
        </w:tc>
        <w:tc>
          <w:tcPr>
            <w:tcW w:w="6700" w:type="dxa"/>
            <w:gridSpan w:val="2"/>
            <w:tcBorders>
              <w:top w:val="single" w:color="auto" w:sz="4" w:space="0"/>
              <w:left w:val="single" w:color="auto" w:sz="4" w:space="0"/>
              <w:bottom w:val="single" w:color="auto" w:sz="4" w:space="0"/>
              <w:right w:val="single" w:color="auto" w:sz="4" w:space="0"/>
            </w:tcBorders>
            <w:vAlign w:val="center"/>
          </w:tcPr>
          <w:p w14:paraId="3FD227DC">
            <w:pPr>
              <w:rPr>
                <w:rFonts w:ascii="宋体" w:hAnsi="宋体" w:eastAsia="宋体" w:cs="宋体"/>
                <w:color w:val="auto"/>
                <w:sz w:val="21"/>
                <w:szCs w:val="21"/>
              </w:rPr>
            </w:pPr>
            <w:r>
              <w:rPr>
                <w:rFonts w:hint="eastAsia" w:ascii="宋体" w:hAnsi="宋体" w:eastAsia="宋体" w:cs="宋体"/>
                <w:color w:val="auto"/>
                <w:sz w:val="21"/>
                <w:szCs w:val="21"/>
              </w:rPr>
              <w:t>1、投标人具有由中国信息安全测评中心颁发的信息安全服务资质证书（风险评估二级），得4分；</w:t>
            </w:r>
          </w:p>
          <w:p w14:paraId="74FC3AB1">
            <w:pPr>
              <w:rPr>
                <w:rFonts w:ascii="宋体" w:hAnsi="宋体" w:eastAsia="宋体" w:cs="宋体"/>
                <w:color w:val="auto"/>
                <w:sz w:val="21"/>
                <w:szCs w:val="21"/>
              </w:rPr>
            </w:pPr>
            <w:r>
              <w:rPr>
                <w:rFonts w:hint="eastAsia" w:ascii="宋体" w:hAnsi="宋体" w:eastAsia="宋体" w:cs="宋体"/>
                <w:color w:val="auto"/>
                <w:sz w:val="21"/>
                <w:szCs w:val="21"/>
              </w:rPr>
              <w:t>2、投标人具有由中国信息安全测评中心颁发的信息安全服务资质证书（安全工程类一级），得4分；</w:t>
            </w:r>
          </w:p>
          <w:p w14:paraId="58DE1FA8">
            <w:pPr>
              <w:pStyle w:val="2"/>
              <w:ind w:left="0" w:leftChars="0"/>
              <w:rPr>
                <w:rFonts w:eastAsia="宋体"/>
                <w:color w:val="auto"/>
              </w:rPr>
            </w:pPr>
            <w:r>
              <w:rPr>
                <w:rFonts w:hint="eastAsia" w:ascii="宋体" w:hAnsi="宋体" w:eastAsia="宋体" w:cs="宋体"/>
                <w:color w:val="auto"/>
                <w:sz w:val="21"/>
                <w:szCs w:val="21"/>
              </w:rPr>
              <w:t>3、投标人具有由中国信息安全测评中心颁发的信息安全服务资质证书（安全运营类一级），得4分。</w:t>
            </w:r>
          </w:p>
        </w:tc>
        <w:tc>
          <w:tcPr>
            <w:tcW w:w="1003" w:type="dxa"/>
            <w:tcBorders>
              <w:top w:val="single" w:color="auto" w:sz="4" w:space="0"/>
              <w:left w:val="single" w:color="auto" w:sz="4" w:space="0"/>
              <w:bottom w:val="single" w:color="auto" w:sz="4" w:space="0"/>
              <w:right w:val="single" w:color="auto" w:sz="4" w:space="0"/>
            </w:tcBorders>
            <w:vAlign w:val="center"/>
          </w:tcPr>
          <w:p w14:paraId="0B028F27">
            <w:pPr>
              <w:jc w:val="center"/>
              <w:rPr>
                <w:rFonts w:ascii="宋体" w:hAnsi="宋体" w:eastAsia="宋体" w:cs="宋体"/>
                <w:color w:val="auto"/>
                <w:sz w:val="21"/>
                <w:szCs w:val="21"/>
              </w:rPr>
            </w:pPr>
            <w:r>
              <w:rPr>
                <w:rFonts w:hint="eastAsia" w:ascii="宋体" w:hAnsi="宋体" w:eastAsia="宋体" w:cs="宋体"/>
                <w:color w:val="auto"/>
                <w:sz w:val="21"/>
                <w:szCs w:val="21"/>
              </w:rPr>
              <w:t>12分</w:t>
            </w:r>
          </w:p>
        </w:tc>
        <w:tc>
          <w:tcPr>
            <w:tcW w:w="1212" w:type="dxa"/>
            <w:tcBorders>
              <w:top w:val="single" w:color="auto" w:sz="4" w:space="0"/>
              <w:left w:val="single" w:color="auto" w:sz="4" w:space="0"/>
              <w:right w:val="single" w:color="auto" w:sz="4" w:space="0"/>
            </w:tcBorders>
            <w:vAlign w:val="center"/>
          </w:tcPr>
          <w:p w14:paraId="74E5DF11">
            <w:pPr>
              <w:rPr>
                <w:rFonts w:ascii="宋体" w:hAnsi="宋体" w:eastAsia="宋体" w:cs="宋体"/>
                <w:color w:val="auto"/>
                <w:sz w:val="21"/>
                <w:szCs w:val="21"/>
              </w:rPr>
            </w:pPr>
            <w:r>
              <w:rPr>
                <w:rFonts w:hint="eastAsia" w:ascii="宋体" w:hAnsi="宋体" w:eastAsia="宋体" w:cs="宋体"/>
                <w:color w:val="auto"/>
                <w:sz w:val="21"/>
                <w:szCs w:val="21"/>
              </w:rPr>
              <w:t>须提供“证书”复印件并加盖公司公章，原件备查。</w:t>
            </w:r>
          </w:p>
        </w:tc>
      </w:tr>
      <w:tr w14:paraId="24A0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344" w:type="dxa"/>
            <w:vMerge w:val="restart"/>
            <w:tcBorders>
              <w:left w:val="single" w:color="auto" w:sz="4" w:space="0"/>
              <w:right w:val="single" w:color="auto" w:sz="4" w:space="0"/>
            </w:tcBorders>
            <w:vAlign w:val="center"/>
          </w:tcPr>
          <w:p w14:paraId="1628ADE6">
            <w:pPr>
              <w:rPr>
                <w:rFonts w:ascii="宋体" w:hAnsi="宋体" w:eastAsia="宋体" w:cs="宋体"/>
                <w:color w:val="auto"/>
                <w:sz w:val="21"/>
                <w:szCs w:val="21"/>
              </w:rPr>
            </w:pPr>
            <w:r>
              <w:rPr>
                <w:rFonts w:hint="eastAsia" w:ascii="宋体" w:hAnsi="宋体" w:eastAsia="宋体" w:cs="宋体"/>
                <w:color w:val="auto"/>
                <w:sz w:val="21"/>
                <w:szCs w:val="21"/>
              </w:rPr>
              <w:t>拟派人员资质</w:t>
            </w:r>
          </w:p>
          <w:p w14:paraId="171FCBC5">
            <w:pPr>
              <w:rPr>
                <w:rFonts w:ascii="宋体" w:hAnsi="宋体" w:eastAsia="宋体" w:cs="宋体"/>
                <w:color w:val="auto"/>
                <w:sz w:val="21"/>
                <w:szCs w:val="21"/>
              </w:rPr>
            </w:pPr>
            <w:r>
              <w:rPr>
                <w:rFonts w:hint="eastAsia" w:ascii="宋体" w:hAnsi="宋体" w:eastAsia="宋体" w:cs="宋体"/>
                <w:color w:val="auto"/>
                <w:sz w:val="21"/>
                <w:szCs w:val="21"/>
              </w:rPr>
              <w:t>（20分）</w:t>
            </w:r>
          </w:p>
        </w:tc>
        <w:tc>
          <w:tcPr>
            <w:tcW w:w="1715" w:type="dxa"/>
            <w:tcBorders>
              <w:left w:val="single" w:color="auto" w:sz="4" w:space="0"/>
              <w:right w:val="single" w:color="auto" w:sz="4" w:space="0"/>
            </w:tcBorders>
            <w:vAlign w:val="center"/>
          </w:tcPr>
          <w:p w14:paraId="3E172899">
            <w:pPr>
              <w:jc w:val="both"/>
              <w:rPr>
                <w:rFonts w:ascii="宋体" w:hAnsi="宋体" w:eastAsia="宋体" w:cs="宋体"/>
                <w:color w:val="auto"/>
                <w:sz w:val="21"/>
                <w:szCs w:val="21"/>
              </w:rPr>
            </w:pPr>
            <w:r>
              <w:rPr>
                <w:rFonts w:hint="eastAsia" w:ascii="宋体" w:hAnsi="宋体" w:eastAsia="宋体" w:cs="宋体"/>
                <w:color w:val="auto"/>
                <w:sz w:val="21"/>
                <w:szCs w:val="21"/>
              </w:rPr>
              <w:t>项目经理服务能力（10分）</w:t>
            </w:r>
          </w:p>
        </w:tc>
        <w:tc>
          <w:tcPr>
            <w:tcW w:w="4985" w:type="dxa"/>
            <w:tcBorders>
              <w:top w:val="single" w:color="auto" w:sz="4" w:space="0"/>
              <w:left w:val="single" w:color="auto" w:sz="4" w:space="0"/>
              <w:bottom w:val="single" w:color="auto" w:sz="4" w:space="0"/>
              <w:right w:val="single" w:color="auto" w:sz="4" w:space="0"/>
            </w:tcBorders>
            <w:vAlign w:val="center"/>
          </w:tcPr>
          <w:p w14:paraId="00B44AED">
            <w:pPr>
              <w:jc w:val="both"/>
              <w:rPr>
                <w:rFonts w:ascii="宋体" w:hAnsi="宋体" w:eastAsia="宋体" w:cs="宋体"/>
                <w:color w:val="auto"/>
                <w:sz w:val="21"/>
                <w:szCs w:val="21"/>
              </w:rPr>
            </w:pPr>
            <w:r>
              <w:rPr>
                <w:rFonts w:hint="eastAsia" w:ascii="宋体" w:hAnsi="宋体" w:eastAsia="宋体" w:cs="宋体"/>
                <w:color w:val="auto"/>
                <w:sz w:val="21"/>
                <w:szCs w:val="21"/>
              </w:rPr>
              <w:t>项目经理具有高级信息（网络）安全等级测评师证书的基础上具有ITSS服务项目经理证书、CISP证书、CIIP-T证书、CCSC网络安全能力认证证书、（ISTQB）软件测试工程师，每提供一个证书得2分，最高得10分。</w:t>
            </w:r>
          </w:p>
        </w:tc>
        <w:tc>
          <w:tcPr>
            <w:tcW w:w="1003" w:type="dxa"/>
            <w:tcBorders>
              <w:top w:val="single" w:color="auto" w:sz="4" w:space="0"/>
              <w:left w:val="single" w:color="auto" w:sz="4" w:space="0"/>
              <w:bottom w:val="single" w:color="auto" w:sz="4" w:space="0"/>
              <w:right w:val="single" w:color="auto" w:sz="4" w:space="0"/>
            </w:tcBorders>
            <w:vAlign w:val="center"/>
          </w:tcPr>
          <w:p w14:paraId="101940F1">
            <w:pPr>
              <w:jc w:val="center"/>
              <w:rPr>
                <w:rFonts w:ascii="宋体" w:hAnsi="宋体" w:eastAsia="宋体" w:cs="宋体"/>
                <w:color w:val="auto"/>
                <w:sz w:val="21"/>
                <w:szCs w:val="21"/>
              </w:rPr>
            </w:pPr>
            <w:r>
              <w:rPr>
                <w:rFonts w:hint="eastAsia" w:ascii="宋体" w:hAnsi="宋体" w:eastAsia="宋体" w:cs="宋体"/>
                <w:color w:val="auto"/>
                <w:sz w:val="21"/>
                <w:szCs w:val="21"/>
              </w:rPr>
              <w:t>10分</w:t>
            </w:r>
          </w:p>
        </w:tc>
        <w:tc>
          <w:tcPr>
            <w:tcW w:w="1212" w:type="dxa"/>
            <w:tcBorders>
              <w:left w:val="single" w:color="auto" w:sz="4" w:space="0"/>
              <w:right w:val="single" w:color="auto" w:sz="4" w:space="0"/>
            </w:tcBorders>
            <w:vAlign w:val="center"/>
          </w:tcPr>
          <w:p w14:paraId="50D9CBC7">
            <w:pPr>
              <w:rPr>
                <w:rFonts w:ascii="宋体" w:hAnsi="宋体" w:eastAsia="宋体" w:cs="宋体"/>
                <w:color w:val="auto"/>
                <w:sz w:val="21"/>
                <w:szCs w:val="21"/>
              </w:rPr>
            </w:pPr>
            <w:r>
              <w:rPr>
                <w:rFonts w:hint="eastAsia" w:ascii="宋体" w:hAnsi="宋体" w:eastAsia="宋体" w:cs="宋体"/>
                <w:color w:val="auto"/>
                <w:sz w:val="21"/>
                <w:szCs w:val="21"/>
              </w:rPr>
              <w:t>须提供相应证书复印件并加盖公司公章，原件备查。</w:t>
            </w:r>
          </w:p>
        </w:tc>
      </w:tr>
      <w:tr w14:paraId="4164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44" w:type="dxa"/>
            <w:vMerge w:val="continue"/>
            <w:tcBorders>
              <w:left w:val="single" w:color="auto" w:sz="4" w:space="0"/>
              <w:right w:val="single" w:color="auto" w:sz="4" w:space="0"/>
            </w:tcBorders>
            <w:vAlign w:val="center"/>
          </w:tcPr>
          <w:p w14:paraId="66C897C0">
            <w:pPr>
              <w:rPr>
                <w:rFonts w:ascii="宋体" w:hAnsi="宋体" w:eastAsia="宋体" w:cs="宋体"/>
                <w:color w:val="auto"/>
                <w:sz w:val="21"/>
                <w:szCs w:val="21"/>
              </w:rPr>
            </w:pPr>
          </w:p>
        </w:tc>
        <w:tc>
          <w:tcPr>
            <w:tcW w:w="1715" w:type="dxa"/>
            <w:tcBorders>
              <w:left w:val="single" w:color="auto" w:sz="4" w:space="0"/>
              <w:bottom w:val="single" w:color="auto" w:sz="4" w:space="0"/>
              <w:right w:val="single" w:color="auto" w:sz="4" w:space="0"/>
            </w:tcBorders>
            <w:vAlign w:val="center"/>
          </w:tcPr>
          <w:p w14:paraId="0D327FF9">
            <w:pPr>
              <w:jc w:val="center"/>
              <w:rPr>
                <w:rFonts w:ascii="宋体" w:hAnsi="宋体" w:eastAsia="宋体" w:cs="宋体"/>
                <w:color w:val="auto"/>
                <w:sz w:val="21"/>
                <w:szCs w:val="21"/>
              </w:rPr>
            </w:pPr>
            <w:r>
              <w:rPr>
                <w:rFonts w:hint="eastAsia" w:ascii="宋体" w:hAnsi="宋体" w:eastAsia="宋体" w:cs="宋体"/>
                <w:color w:val="auto"/>
                <w:sz w:val="21"/>
                <w:szCs w:val="21"/>
              </w:rPr>
              <w:t>项目组其他成员服务能力（10分）</w:t>
            </w:r>
          </w:p>
        </w:tc>
        <w:tc>
          <w:tcPr>
            <w:tcW w:w="4985" w:type="dxa"/>
            <w:tcBorders>
              <w:top w:val="single" w:color="auto" w:sz="4" w:space="0"/>
              <w:left w:val="single" w:color="auto" w:sz="4" w:space="0"/>
              <w:bottom w:val="single" w:color="auto" w:sz="4" w:space="0"/>
              <w:right w:val="single" w:color="auto" w:sz="4" w:space="0"/>
            </w:tcBorders>
            <w:vAlign w:val="center"/>
          </w:tcPr>
          <w:p w14:paraId="78F215F6">
            <w:pPr>
              <w:rPr>
                <w:rFonts w:ascii="宋体" w:hAnsi="宋体" w:eastAsia="宋体" w:cs="宋体"/>
                <w:color w:val="auto"/>
                <w:sz w:val="21"/>
                <w:szCs w:val="21"/>
              </w:rPr>
            </w:pPr>
            <w:r>
              <w:rPr>
                <w:rFonts w:hint="eastAsia" w:ascii="宋体" w:hAnsi="宋体" w:eastAsia="宋体" w:cs="宋体"/>
                <w:color w:val="auto"/>
                <w:sz w:val="21"/>
                <w:szCs w:val="21"/>
              </w:rPr>
              <w:t>项目组成员中：</w:t>
            </w:r>
          </w:p>
          <w:p w14:paraId="4EBD0B72">
            <w:pPr>
              <w:rPr>
                <w:rFonts w:ascii="宋体" w:hAnsi="宋体" w:eastAsia="宋体" w:cs="宋体"/>
                <w:color w:val="auto"/>
                <w:sz w:val="21"/>
                <w:szCs w:val="21"/>
              </w:rPr>
            </w:pPr>
            <w:r>
              <w:rPr>
                <w:rFonts w:hint="eastAsia" w:ascii="宋体" w:hAnsi="宋体" w:eastAsia="宋体" w:cs="宋体"/>
                <w:color w:val="auto"/>
                <w:sz w:val="21"/>
                <w:szCs w:val="21"/>
              </w:rPr>
              <w:t>具有1名高级测评师得4分；</w:t>
            </w:r>
          </w:p>
          <w:p w14:paraId="7201BF9E">
            <w:pPr>
              <w:rPr>
                <w:rFonts w:ascii="宋体" w:hAnsi="宋体" w:eastAsia="宋体" w:cs="宋体"/>
                <w:color w:val="auto"/>
                <w:sz w:val="21"/>
                <w:szCs w:val="21"/>
              </w:rPr>
            </w:pPr>
            <w:r>
              <w:rPr>
                <w:rFonts w:hint="eastAsia" w:ascii="宋体" w:hAnsi="宋体" w:eastAsia="宋体" w:cs="宋体"/>
                <w:color w:val="auto"/>
                <w:sz w:val="21"/>
                <w:szCs w:val="21"/>
              </w:rPr>
              <w:t>每具有1名中级测评师得2分。</w:t>
            </w:r>
          </w:p>
          <w:p w14:paraId="0DB9EBD2">
            <w:pPr>
              <w:rPr>
                <w:rFonts w:ascii="宋体" w:hAnsi="宋体" w:eastAsia="宋体" w:cs="宋体"/>
                <w:color w:val="auto"/>
                <w:sz w:val="21"/>
                <w:szCs w:val="21"/>
              </w:rPr>
            </w:pPr>
            <w:r>
              <w:rPr>
                <w:rFonts w:hint="eastAsia" w:ascii="宋体" w:hAnsi="宋体" w:eastAsia="宋体" w:cs="宋体"/>
                <w:color w:val="auto"/>
                <w:sz w:val="21"/>
                <w:szCs w:val="21"/>
              </w:rPr>
              <w:t>本项最高得10分。</w:t>
            </w:r>
          </w:p>
        </w:tc>
        <w:tc>
          <w:tcPr>
            <w:tcW w:w="1003" w:type="dxa"/>
            <w:tcBorders>
              <w:top w:val="single" w:color="auto" w:sz="4" w:space="0"/>
              <w:left w:val="single" w:color="auto" w:sz="4" w:space="0"/>
              <w:bottom w:val="single" w:color="auto" w:sz="4" w:space="0"/>
              <w:right w:val="single" w:color="auto" w:sz="4" w:space="0"/>
            </w:tcBorders>
            <w:vAlign w:val="center"/>
          </w:tcPr>
          <w:p w14:paraId="1FC2534B">
            <w:pPr>
              <w:jc w:val="center"/>
              <w:rPr>
                <w:rFonts w:ascii="宋体" w:hAnsi="宋体" w:eastAsia="宋体" w:cs="宋体"/>
                <w:color w:val="auto"/>
                <w:sz w:val="21"/>
                <w:szCs w:val="21"/>
              </w:rPr>
            </w:pPr>
            <w:r>
              <w:rPr>
                <w:rFonts w:hint="eastAsia" w:ascii="宋体" w:hAnsi="宋体" w:eastAsia="宋体" w:cs="宋体"/>
                <w:color w:val="auto"/>
                <w:sz w:val="21"/>
                <w:szCs w:val="21"/>
              </w:rPr>
              <w:t>10分</w:t>
            </w:r>
          </w:p>
        </w:tc>
        <w:tc>
          <w:tcPr>
            <w:tcW w:w="1212" w:type="dxa"/>
            <w:tcBorders>
              <w:left w:val="single" w:color="auto" w:sz="4" w:space="0"/>
              <w:bottom w:val="single" w:color="auto" w:sz="4" w:space="0"/>
              <w:right w:val="single" w:color="auto" w:sz="4" w:space="0"/>
            </w:tcBorders>
            <w:vAlign w:val="center"/>
          </w:tcPr>
          <w:p w14:paraId="027CED5F">
            <w:pPr>
              <w:rPr>
                <w:rFonts w:ascii="宋体" w:hAnsi="宋体" w:eastAsia="宋体" w:cs="宋体"/>
                <w:color w:val="auto"/>
                <w:sz w:val="21"/>
                <w:szCs w:val="21"/>
              </w:rPr>
            </w:pPr>
            <w:r>
              <w:rPr>
                <w:rFonts w:hint="eastAsia" w:ascii="宋体" w:hAnsi="宋体" w:eastAsia="宋体" w:cs="宋体"/>
                <w:color w:val="auto"/>
                <w:sz w:val="21"/>
                <w:szCs w:val="21"/>
              </w:rPr>
              <w:t>须提供相应证书复印件并加盖公司公章，原件备查。</w:t>
            </w:r>
          </w:p>
        </w:tc>
      </w:tr>
      <w:tr w14:paraId="1827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3059" w:type="dxa"/>
            <w:gridSpan w:val="2"/>
            <w:tcBorders>
              <w:left w:val="single" w:color="auto" w:sz="4" w:space="0"/>
              <w:right w:val="single" w:color="auto" w:sz="4" w:space="0"/>
            </w:tcBorders>
            <w:vAlign w:val="center"/>
          </w:tcPr>
          <w:p w14:paraId="3BC00256">
            <w:pPr>
              <w:jc w:val="center"/>
              <w:rPr>
                <w:rFonts w:ascii="宋体" w:hAnsi="宋体" w:eastAsia="宋体" w:cs="宋体"/>
                <w:color w:val="auto"/>
                <w:sz w:val="21"/>
                <w:szCs w:val="21"/>
              </w:rPr>
            </w:pPr>
            <w:r>
              <w:rPr>
                <w:rFonts w:hint="eastAsia" w:ascii="宋体" w:hAnsi="宋体" w:eastAsia="宋体" w:cs="宋体"/>
                <w:color w:val="auto"/>
                <w:sz w:val="21"/>
                <w:szCs w:val="21"/>
              </w:rPr>
              <w:t>等级保护测评案例</w:t>
            </w:r>
          </w:p>
          <w:p w14:paraId="00D44C64">
            <w:pPr>
              <w:jc w:val="center"/>
              <w:rPr>
                <w:rFonts w:ascii="宋体" w:hAnsi="宋体" w:eastAsia="宋体" w:cs="宋体"/>
                <w:color w:val="auto"/>
                <w:sz w:val="21"/>
                <w:szCs w:val="21"/>
              </w:rPr>
            </w:pPr>
            <w:r>
              <w:rPr>
                <w:rFonts w:hint="eastAsia" w:ascii="宋体" w:hAnsi="宋体" w:eastAsia="宋体" w:cs="宋体"/>
                <w:color w:val="auto"/>
                <w:sz w:val="21"/>
                <w:szCs w:val="21"/>
              </w:rPr>
              <w:t>（8分）</w:t>
            </w:r>
          </w:p>
        </w:tc>
        <w:tc>
          <w:tcPr>
            <w:tcW w:w="4985" w:type="dxa"/>
            <w:tcBorders>
              <w:top w:val="single" w:color="auto" w:sz="4" w:space="0"/>
              <w:left w:val="single" w:color="auto" w:sz="4" w:space="0"/>
              <w:right w:val="single" w:color="auto" w:sz="4" w:space="0"/>
            </w:tcBorders>
            <w:vAlign w:val="center"/>
          </w:tcPr>
          <w:p w14:paraId="223A59DE">
            <w:pPr>
              <w:rPr>
                <w:rFonts w:ascii="宋体" w:hAnsi="宋体" w:eastAsia="宋体" w:cs="宋体"/>
                <w:color w:val="auto"/>
                <w:sz w:val="21"/>
                <w:szCs w:val="21"/>
              </w:rPr>
            </w:pPr>
            <w:r>
              <w:rPr>
                <w:rFonts w:hint="eastAsia" w:ascii="宋体" w:hAnsi="宋体" w:eastAsia="宋体" w:cs="宋体"/>
                <w:color w:val="auto"/>
                <w:sz w:val="21"/>
                <w:szCs w:val="21"/>
              </w:rPr>
              <w:t>提供20</w:t>
            </w:r>
            <w:r>
              <w:rPr>
                <w:rFonts w:ascii="宋体" w:hAnsi="宋体" w:eastAsia="宋体" w:cs="宋体"/>
                <w:color w:val="auto"/>
                <w:sz w:val="21"/>
                <w:szCs w:val="21"/>
              </w:rPr>
              <w:t>2</w:t>
            </w:r>
            <w:r>
              <w:rPr>
                <w:rFonts w:hint="eastAsia" w:ascii="宋体" w:hAnsi="宋体" w:eastAsia="宋体" w:cs="宋体"/>
                <w:color w:val="auto"/>
                <w:sz w:val="21"/>
                <w:szCs w:val="21"/>
              </w:rPr>
              <w:t>1年1月1日至今，类似项目有效案例：每提供1个有效案例得2分，重复单位不可重复得分。本项最高得8分。（提供合同复印件，合同以签订时间为准，合同原件备查）</w:t>
            </w:r>
          </w:p>
        </w:tc>
        <w:tc>
          <w:tcPr>
            <w:tcW w:w="1003" w:type="dxa"/>
            <w:tcBorders>
              <w:top w:val="single" w:color="auto" w:sz="4" w:space="0"/>
              <w:left w:val="single" w:color="auto" w:sz="4" w:space="0"/>
              <w:right w:val="single" w:color="auto" w:sz="4" w:space="0"/>
            </w:tcBorders>
            <w:vAlign w:val="center"/>
          </w:tcPr>
          <w:p w14:paraId="3466B57E">
            <w:pPr>
              <w:jc w:val="center"/>
              <w:rPr>
                <w:rFonts w:ascii="宋体" w:hAnsi="宋体" w:eastAsia="宋体" w:cs="宋体"/>
                <w:color w:val="auto"/>
                <w:sz w:val="21"/>
                <w:szCs w:val="21"/>
              </w:rPr>
            </w:pPr>
            <w:r>
              <w:rPr>
                <w:rFonts w:hint="eastAsia" w:ascii="宋体" w:hAnsi="宋体" w:eastAsia="宋体" w:cs="宋体"/>
                <w:color w:val="auto"/>
                <w:sz w:val="21"/>
                <w:szCs w:val="21"/>
              </w:rPr>
              <w:t>8分</w:t>
            </w:r>
          </w:p>
        </w:tc>
        <w:tc>
          <w:tcPr>
            <w:tcW w:w="1212" w:type="dxa"/>
            <w:tcBorders>
              <w:left w:val="single" w:color="auto" w:sz="4" w:space="0"/>
              <w:right w:val="single" w:color="auto" w:sz="4" w:space="0"/>
            </w:tcBorders>
            <w:vAlign w:val="center"/>
          </w:tcPr>
          <w:p w14:paraId="4E54637A">
            <w:pPr>
              <w:rPr>
                <w:rFonts w:ascii="宋体" w:hAnsi="宋体" w:eastAsia="宋体" w:cs="宋体"/>
                <w:color w:val="auto"/>
                <w:sz w:val="21"/>
                <w:szCs w:val="21"/>
              </w:rPr>
            </w:pPr>
            <w:r>
              <w:rPr>
                <w:rFonts w:hint="eastAsia" w:ascii="宋体" w:hAnsi="宋体" w:eastAsia="宋体" w:cs="宋体"/>
                <w:color w:val="auto"/>
                <w:sz w:val="21"/>
                <w:szCs w:val="21"/>
              </w:rPr>
              <w:t>须提供合同复印件并加盖公司公章，原件备查。</w:t>
            </w:r>
          </w:p>
        </w:tc>
      </w:tr>
      <w:tr w14:paraId="300C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14:paraId="224F4AC0">
            <w:pPr>
              <w:rPr>
                <w:rFonts w:ascii="宋体" w:hAnsi="宋体" w:eastAsia="宋体" w:cs="宋体"/>
                <w:b/>
                <w:color w:val="auto"/>
                <w:sz w:val="21"/>
                <w:szCs w:val="21"/>
              </w:rPr>
            </w:pPr>
            <w:r>
              <w:rPr>
                <w:rFonts w:hint="eastAsia" w:ascii="宋体" w:hAnsi="宋体" w:eastAsia="宋体" w:cs="宋体"/>
                <w:b/>
                <w:color w:val="auto"/>
                <w:sz w:val="21"/>
                <w:szCs w:val="21"/>
              </w:rPr>
              <w:t>三、技术部分（30分）</w:t>
            </w:r>
          </w:p>
        </w:tc>
      </w:tr>
      <w:tr w14:paraId="2167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44" w:type="dxa"/>
            <w:vMerge w:val="restart"/>
            <w:tcBorders>
              <w:top w:val="single" w:color="auto" w:sz="4" w:space="0"/>
              <w:left w:val="single" w:color="auto" w:sz="4" w:space="0"/>
              <w:right w:val="single" w:color="auto" w:sz="4" w:space="0"/>
            </w:tcBorders>
            <w:vAlign w:val="center"/>
          </w:tcPr>
          <w:p w14:paraId="7DDB3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color w:val="auto"/>
                <w:sz w:val="21"/>
                <w:szCs w:val="21"/>
              </w:rPr>
            </w:pPr>
            <w:r>
              <w:rPr>
                <w:rFonts w:hint="eastAsia" w:ascii="宋体" w:hAnsi="宋体" w:eastAsia="宋体" w:cs="宋体"/>
                <w:color w:val="auto"/>
                <w:sz w:val="21"/>
                <w:szCs w:val="21"/>
              </w:rPr>
              <w:t>测评方案（18分）</w:t>
            </w:r>
          </w:p>
        </w:tc>
        <w:tc>
          <w:tcPr>
            <w:tcW w:w="1715" w:type="dxa"/>
            <w:tcBorders>
              <w:top w:val="single" w:color="auto" w:sz="4" w:space="0"/>
              <w:left w:val="single" w:color="auto" w:sz="4" w:space="0"/>
              <w:right w:val="single" w:color="auto" w:sz="4" w:space="0"/>
            </w:tcBorders>
            <w:vAlign w:val="center"/>
          </w:tcPr>
          <w:p w14:paraId="51CCF412">
            <w:pPr>
              <w:jc w:val="center"/>
              <w:rPr>
                <w:rFonts w:ascii="宋体" w:hAnsi="宋体" w:eastAsia="宋体" w:cs="宋体"/>
                <w:color w:val="auto"/>
                <w:sz w:val="21"/>
                <w:szCs w:val="21"/>
              </w:rPr>
            </w:pPr>
            <w:r>
              <w:rPr>
                <w:rFonts w:hint="eastAsia" w:ascii="宋体" w:hAnsi="宋体" w:eastAsia="宋体" w:cs="宋体"/>
                <w:color w:val="auto"/>
                <w:sz w:val="21"/>
                <w:szCs w:val="21"/>
              </w:rPr>
              <w:t>单项测评</w:t>
            </w:r>
          </w:p>
          <w:p w14:paraId="65196EE9">
            <w:pPr>
              <w:jc w:val="center"/>
              <w:rPr>
                <w:rFonts w:ascii="宋体" w:hAnsi="宋体" w:eastAsia="宋体" w:cs="宋体"/>
                <w:color w:val="auto"/>
                <w:sz w:val="21"/>
                <w:szCs w:val="21"/>
              </w:rPr>
            </w:pPr>
            <w:r>
              <w:rPr>
                <w:rFonts w:hint="eastAsia" w:ascii="宋体" w:hAnsi="宋体" w:eastAsia="宋体" w:cs="宋体"/>
                <w:color w:val="auto"/>
                <w:sz w:val="21"/>
                <w:szCs w:val="21"/>
              </w:rPr>
              <w:t>（10分）</w:t>
            </w:r>
          </w:p>
        </w:tc>
        <w:tc>
          <w:tcPr>
            <w:tcW w:w="4985" w:type="dxa"/>
            <w:tcBorders>
              <w:top w:val="single" w:color="auto" w:sz="4" w:space="0"/>
              <w:left w:val="single" w:color="auto" w:sz="4" w:space="0"/>
              <w:right w:val="single" w:color="auto" w:sz="4" w:space="0"/>
            </w:tcBorders>
            <w:vAlign w:val="center"/>
          </w:tcPr>
          <w:p w14:paraId="0E461B5D">
            <w:pPr>
              <w:rPr>
                <w:rFonts w:ascii="宋体" w:hAnsi="宋体" w:eastAsia="宋体" w:cs="宋体"/>
                <w:bCs/>
                <w:color w:val="auto"/>
                <w:sz w:val="21"/>
                <w:szCs w:val="21"/>
              </w:rPr>
            </w:pPr>
            <w:r>
              <w:rPr>
                <w:rFonts w:hint="eastAsia" w:ascii="宋体" w:hAnsi="宋体" w:eastAsia="宋体" w:cs="宋体"/>
                <w:color w:val="auto"/>
                <w:sz w:val="21"/>
                <w:szCs w:val="21"/>
              </w:rPr>
              <w:t>包含安全物理环境、安全通信网络、安全区域边界、安全计算环境、安全管理中心、安全管理制度、安全管理机构、安全管理人员、安全建设管理、安全运维管理10个测评点的得10分；每少一个测评点扣</w:t>
            </w:r>
            <w:r>
              <w:rPr>
                <w:rFonts w:ascii="宋体" w:hAnsi="宋体" w:eastAsia="宋体" w:cs="宋体"/>
                <w:color w:val="auto"/>
                <w:sz w:val="21"/>
                <w:szCs w:val="21"/>
              </w:rPr>
              <w:t>1</w:t>
            </w:r>
            <w:r>
              <w:rPr>
                <w:rFonts w:hint="eastAsia" w:ascii="宋体" w:hAnsi="宋体" w:eastAsia="宋体" w:cs="宋体"/>
                <w:color w:val="auto"/>
                <w:sz w:val="21"/>
                <w:szCs w:val="21"/>
              </w:rPr>
              <w:t xml:space="preserve">分。 </w:t>
            </w:r>
          </w:p>
        </w:tc>
        <w:tc>
          <w:tcPr>
            <w:tcW w:w="1003" w:type="dxa"/>
            <w:tcBorders>
              <w:top w:val="single" w:color="auto" w:sz="4" w:space="0"/>
              <w:left w:val="single" w:color="auto" w:sz="4" w:space="0"/>
              <w:right w:val="single" w:color="auto" w:sz="4" w:space="0"/>
            </w:tcBorders>
            <w:vAlign w:val="center"/>
          </w:tcPr>
          <w:p w14:paraId="476F3F22">
            <w:pPr>
              <w:jc w:val="center"/>
              <w:rPr>
                <w:rFonts w:ascii="宋体" w:hAnsi="宋体" w:eastAsia="宋体" w:cs="宋体"/>
                <w:color w:val="auto"/>
                <w:sz w:val="21"/>
                <w:szCs w:val="21"/>
              </w:rPr>
            </w:pPr>
            <w:r>
              <w:rPr>
                <w:rFonts w:hint="eastAsia" w:ascii="宋体" w:hAnsi="宋体" w:eastAsia="宋体" w:cs="宋体"/>
                <w:color w:val="auto"/>
                <w:sz w:val="21"/>
                <w:szCs w:val="21"/>
              </w:rPr>
              <w:t>10分</w:t>
            </w:r>
          </w:p>
        </w:tc>
        <w:tc>
          <w:tcPr>
            <w:tcW w:w="1212" w:type="dxa"/>
            <w:tcBorders>
              <w:top w:val="single" w:color="auto" w:sz="4" w:space="0"/>
              <w:left w:val="single" w:color="auto" w:sz="4" w:space="0"/>
              <w:right w:val="single" w:color="auto" w:sz="4" w:space="0"/>
            </w:tcBorders>
            <w:vAlign w:val="center"/>
          </w:tcPr>
          <w:p w14:paraId="08F9CE03">
            <w:pPr>
              <w:rPr>
                <w:rFonts w:ascii="宋体" w:hAnsi="宋体" w:eastAsia="宋体" w:cs="宋体"/>
                <w:color w:val="auto"/>
                <w:sz w:val="21"/>
                <w:szCs w:val="21"/>
              </w:rPr>
            </w:pPr>
          </w:p>
        </w:tc>
      </w:tr>
      <w:tr w14:paraId="76FA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4" w:type="dxa"/>
            <w:vMerge w:val="continue"/>
            <w:tcBorders>
              <w:left w:val="single" w:color="auto" w:sz="4" w:space="0"/>
              <w:right w:val="single" w:color="auto" w:sz="4" w:space="0"/>
            </w:tcBorders>
            <w:vAlign w:val="center"/>
          </w:tcPr>
          <w:p w14:paraId="662C9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color w:val="auto"/>
                <w:sz w:val="21"/>
                <w:szCs w:val="21"/>
              </w:rPr>
            </w:pPr>
          </w:p>
        </w:tc>
        <w:tc>
          <w:tcPr>
            <w:tcW w:w="1715" w:type="dxa"/>
            <w:tcBorders>
              <w:top w:val="single" w:color="auto" w:sz="4" w:space="0"/>
              <w:left w:val="single" w:color="auto" w:sz="4" w:space="0"/>
              <w:right w:val="single" w:color="auto" w:sz="4" w:space="0"/>
            </w:tcBorders>
            <w:vAlign w:val="center"/>
          </w:tcPr>
          <w:p w14:paraId="372BD7E7">
            <w:pPr>
              <w:jc w:val="center"/>
              <w:rPr>
                <w:rFonts w:ascii="宋体" w:hAnsi="宋体" w:eastAsia="宋体" w:cs="宋体"/>
                <w:color w:val="auto"/>
                <w:sz w:val="21"/>
                <w:szCs w:val="21"/>
              </w:rPr>
            </w:pPr>
            <w:r>
              <w:rPr>
                <w:rFonts w:hint="eastAsia" w:ascii="宋体" w:hAnsi="宋体" w:eastAsia="宋体" w:cs="宋体"/>
                <w:color w:val="auto"/>
                <w:sz w:val="21"/>
                <w:szCs w:val="21"/>
              </w:rPr>
              <w:t>整体测评</w:t>
            </w:r>
          </w:p>
          <w:p w14:paraId="7D7849AD">
            <w:pPr>
              <w:jc w:val="center"/>
              <w:rPr>
                <w:rFonts w:ascii="宋体" w:hAnsi="宋体" w:eastAsia="宋体" w:cs="宋体"/>
                <w:bCs/>
                <w:color w:val="auto"/>
                <w:sz w:val="21"/>
                <w:szCs w:val="21"/>
              </w:rPr>
            </w:pPr>
            <w:r>
              <w:rPr>
                <w:rFonts w:hint="eastAsia" w:ascii="宋体" w:hAnsi="宋体" w:eastAsia="宋体" w:cs="宋体"/>
                <w:color w:val="auto"/>
                <w:sz w:val="21"/>
                <w:szCs w:val="21"/>
              </w:rPr>
              <w:t>（8分）</w:t>
            </w:r>
          </w:p>
        </w:tc>
        <w:tc>
          <w:tcPr>
            <w:tcW w:w="4985" w:type="dxa"/>
            <w:tcBorders>
              <w:top w:val="single" w:color="auto" w:sz="4" w:space="0"/>
              <w:left w:val="single" w:color="auto" w:sz="4" w:space="0"/>
              <w:right w:val="single" w:color="auto" w:sz="4" w:space="0"/>
            </w:tcBorders>
            <w:vAlign w:val="center"/>
          </w:tcPr>
          <w:p w14:paraId="6BF80278">
            <w:pPr>
              <w:rPr>
                <w:rFonts w:ascii="宋体" w:hAnsi="宋体" w:eastAsia="宋体" w:cs="宋体"/>
                <w:bCs/>
                <w:color w:val="auto"/>
                <w:sz w:val="21"/>
                <w:szCs w:val="21"/>
              </w:rPr>
            </w:pPr>
            <w:r>
              <w:rPr>
                <w:rFonts w:hint="eastAsia" w:ascii="宋体" w:hAnsi="宋体" w:eastAsia="宋体" w:cs="宋体"/>
                <w:color w:val="auto"/>
                <w:sz w:val="21"/>
                <w:szCs w:val="21"/>
              </w:rPr>
              <w:t>包含安全控制间、层面间、区域间、系统结构4个测评点得8分，每少一个扣2分。</w:t>
            </w:r>
          </w:p>
        </w:tc>
        <w:tc>
          <w:tcPr>
            <w:tcW w:w="1003" w:type="dxa"/>
            <w:tcBorders>
              <w:top w:val="single" w:color="auto" w:sz="4" w:space="0"/>
              <w:left w:val="single" w:color="auto" w:sz="4" w:space="0"/>
              <w:right w:val="single" w:color="auto" w:sz="4" w:space="0"/>
            </w:tcBorders>
            <w:vAlign w:val="center"/>
          </w:tcPr>
          <w:p w14:paraId="20015834">
            <w:pPr>
              <w:jc w:val="center"/>
              <w:rPr>
                <w:rFonts w:ascii="宋体" w:hAnsi="宋体" w:eastAsia="宋体" w:cs="宋体"/>
                <w:color w:val="auto"/>
                <w:sz w:val="21"/>
                <w:szCs w:val="21"/>
              </w:rPr>
            </w:pPr>
            <w:r>
              <w:rPr>
                <w:rFonts w:hint="eastAsia" w:ascii="宋体" w:hAnsi="宋体" w:eastAsia="宋体" w:cs="宋体"/>
                <w:color w:val="auto"/>
                <w:sz w:val="21"/>
                <w:szCs w:val="21"/>
              </w:rPr>
              <w:t>8分</w:t>
            </w:r>
          </w:p>
        </w:tc>
        <w:tc>
          <w:tcPr>
            <w:tcW w:w="1212" w:type="dxa"/>
            <w:tcBorders>
              <w:top w:val="single" w:color="auto" w:sz="4" w:space="0"/>
              <w:left w:val="single" w:color="auto" w:sz="4" w:space="0"/>
              <w:right w:val="single" w:color="auto" w:sz="4" w:space="0"/>
            </w:tcBorders>
            <w:vAlign w:val="center"/>
          </w:tcPr>
          <w:p w14:paraId="63161815">
            <w:pPr>
              <w:rPr>
                <w:rFonts w:ascii="宋体" w:hAnsi="宋体" w:eastAsia="宋体" w:cs="宋体"/>
                <w:color w:val="auto"/>
                <w:sz w:val="21"/>
                <w:szCs w:val="21"/>
              </w:rPr>
            </w:pPr>
          </w:p>
        </w:tc>
      </w:tr>
      <w:tr w14:paraId="0AD2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4" w:type="dxa"/>
            <w:vMerge w:val="restart"/>
            <w:tcBorders>
              <w:left w:val="single" w:color="auto" w:sz="4" w:space="0"/>
              <w:right w:val="single" w:color="auto" w:sz="4" w:space="0"/>
            </w:tcBorders>
            <w:vAlign w:val="center"/>
          </w:tcPr>
          <w:p w14:paraId="7B5F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color w:val="auto"/>
                <w:sz w:val="21"/>
                <w:szCs w:val="21"/>
              </w:rPr>
            </w:pPr>
            <w:r>
              <w:rPr>
                <w:rFonts w:hint="eastAsia" w:ascii="宋体" w:hAnsi="宋体" w:eastAsia="宋体" w:cs="宋体"/>
                <w:color w:val="auto"/>
                <w:sz w:val="21"/>
                <w:szCs w:val="21"/>
              </w:rPr>
              <w:t>项目组织情况（12分）</w:t>
            </w:r>
          </w:p>
        </w:tc>
        <w:tc>
          <w:tcPr>
            <w:tcW w:w="1715" w:type="dxa"/>
            <w:tcBorders>
              <w:top w:val="single" w:color="auto" w:sz="4" w:space="0"/>
              <w:left w:val="single" w:color="auto" w:sz="4" w:space="0"/>
              <w:right w:val="single" w:color="auto" w:sz="4" w:space="0"/>
            </w:tcBorders>
            <w:vAlign w:val="center"/>
          </w:tcPr>
          <w:p w14:paraId="35628DC4">
            <w:pPr>
              <w:spacing w:before="100" w:beforeAutospacing="1"/>
              <w:jc w:val="center"/>
              <w:rPr>
                <w:rFonts w:ascii="宋体" w:hAnsi="宋体" w:eastAsia="宋体" w:cs="宋体"/>
                <w:color w:val="auto"/>
                <w:kern w:val="2"/>
                <w:sz w:val="21"/>
                <w:szCs w:val="21"/>
              </w:rPr>
            </w:pPr>
            <w:r>
              <w:rPr>
                <w:rFonts w:hint="eastAsia" w:ascii="宋体" w:hAnsi="宋体" w:eastAsia="宋体" w:cs="宋体"/>
                <w:color w:val="auto"/>
                <w:sz w:val="21"/>
                <w:szCs w:val="21"/>
                <w:lang w:bidi="ar"/>
              </w:rPr>
              <w:t>项目组织方案</w:t>
            </w:r>
          </w:p>
          <w:p w14:paraId="53FC7FF9">
            <w:pPr>
              <w:spacing w:before="100" w:beforeAutospacing="1"/>
              <w:jc w:val="center"/>
              <w:rPr>
                <w:rFonts w:ascii="宋体" w:hAnsi="宋体" w:eastAsia="宋体" w:cs="宋体"/>
                <w:color w:val="auto"/>
                <w:sz w:val="21"/>
                <w:szCs w:val="21"/>
              </w:rPr>
            </w:pPr>
            <w:r>
              <w:rPr>
                <w:rFonts w:hint="eastAsia" w:ascii="宋体" w:hAnsi="宋体" w:eastAsia="宋体" w:cs="宋体"/>
                <w:color w:val="auto"/>
                <w:sz w:val="21"/>
                <w:szCs w:val="21"/>
                <w:lang w:bidi="ar"/>
              </w:rPr>
              <w:t>（3分）</w:t>
            </w:r>
          </w:p>
        </w:tc>
        <w:tc>
          <w:tcPr>
            <w:tcW w:w="4985" w:type="dxa"/>
            <w:tcBorders>
              <w:top w:val="single" w:color="auto" w:sz="4" w:space="0"/>
              <w:left w:val="single" w:color="auto" w:sz="4" w:space="0"/>
              <w:bottom w:val="single" w:color="auto" w:sz="4" w:space="0"/>
              <w:right w:val="single" w:color="auto" w:sz="4" w:space="0"/>
            </w:tcBorders>
            <w:vAlign w:val="center"/>
          </w:tcPr>
          <w:p w14:paraId="6799E1EA">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评委根据供应商提供的项目组织方案（项目组织能有效保证测评工作质量、保密等组织措施）进行综合评分。</w:t>
            </w:r>
          </w:p>
          <w:p w14:paraId="4CC45A77">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方案合理细致、符合项目需求、明确可行的得3分；</w:t>
            </w:r>
          </w:p>
          <w:p w14:paraId="1396889E">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方案一般、过于简单、没有针对性的得1分；</w:t>
            </w:r>
          </w:p>
          <w:p w14:paraId="2F6CB1A8">
            <w:pPr>
              <w:spacing w:before="100" w:beforeAutospacing="1"/>
              <w:rPr>
                <w:rFonts w:ascii="宋体" w:hAnsi="宋体" w:eastAsia="宋体" w:cs="宋体"/>
                <w:color w:val="auto"/>
                <w:sz w:val="21"/>
                <w:szCs w:val="21"/>
              </w:rPr>
            </w:pPr>
            <w:r>
              <w:rPr>
                <w:rFonts w:hint="eastAsia" w:ascii="宋体" w:hAnsi="宋体" w:eastAsia="宋体" w:cs="宋体"/>
                <w:color w:val="auto"/>
                <w:sz w:val="21"/>
                <w:szCs w:val="21"/>
                <w:lang w:bidi="ar"/>
              </w:rPr>
              <w:t>方案完全不符合招标要求或不切实可行的不得分。</w:t>
            </w:r>
          </w:p>
        </w:tc>
        <w:tc>
          <w:tcPr>
            <w:tcW w:w="1003" w:type="dxa"/>
            <w:tcBorders>
              <w:top w:val="single" w:color="auto" w:sz="4" w:space="0"/>
              <w:left w:val="single" w:color="auto" w:sz="4" w:space="0"/>
              <w:bottom w:val="single" w:color="auto" w:sz="4" w:space="0"/>
              <w:right w:val="single" w:color="auto" w:sz="4" w:space="0"/>
            </w:tcBorders>
            <w:vAlign w:val="center"/>
          </w:tcPr>
          <w:p w14:paraId="024C4749">
            <w:pPr>
              <w:jc w:val="center"/>
              <w:rPr>
                <w:rFonts w:ascii="宋体" w:hAnsi="宋体" w:eastAsia="宋体" w:cs="宋体"/>
                <w:color w:val="auto"/>
                <w:sz w:val="21"/>
                <w:szCs w:val="21"/>
              </w:rPr>
            </w:pPr>
            <w:r>
              <w:rPr>
                <w:rFonts w:hint="eastAsia" w:ascii="宋体" w:hAnsi="宋体" w:eastAsia="宋体" w:cs="宋体"/>
                <w:color w:val="auto"/>
                <w:sz w:val="21"/>
                <w:szCs w:val="21"/>
              </w:rPr>
              <w:t>3分</w:t>
            </w:r>
          </w:p>
        </w:tc>
        <w:tc>
          <w:tcPr>
            <w:tcW w:w="1212" w:type="dxa"/>
            <w:tcBorders>
              <w:top w:val="single" w:color="auto" w:sz="4" w:space="0"/>
              <w:left w:val="single" w:color="auto" w:sz="4" w:space="0"/>
              <w:bottom w:val="single" w:color="auto" w:sz="4" w:space="0"/>
              <w:right w:val="single" w:color="auto" w:sz="4" w:space="0"/>
            </w:tcBorders>
            <w:vAlign w:val="center"/>
          </w:tcPr>
          <w:p w14:paraId="56EBD0C6">
            <w:pPr>
              <w:rPr>
                <w:rFonts w:ascii="宋体" w:hAnsi="宋体" w:eastAsia="宋体" w:cs="宋体"/>
                <w:color w:val="auto"/>
                <w:sz w:val="21"/>
                <w:szCs w:val="21"/>
              </w:rPr>
            </w:pPr>
          </w:p>
        </w:tc>
      </w:tr>
      <w:tr w14:paraId="6A1C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4" w:type="dxa"/>
            <w:vMerge w:val="continue"/>
            <w:tcBorders>
              <w:left w:val="single" w:color="auto" w:sz="4" w:space="0"/>
              <w:right w:val="single" w:color="auto" w:sz="4" w:space="0"/>
            </w:tcBorders>
            <w:vAlign w:val="center"/>
          </w:tcPr>
          <w:p w14:paraId="7881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color w:val="auto"/>
                <w:sz w:val="21"/>
                <w:szCs w:val="21"/>
              </w:rPr>
            </w:pPr>
          </w:p>
        </w:tc>
        <w:tc>
          <w:tcPr>
            <w:tcW w:w="1715" w:type="dxa"/>
            <w:tcBorders>
              <w:left w:val="single" w:color="auto" w:sz="4" w:space="0"/>
              <w:bottom w:val="single" w:color="auto" w:sz="4" w:space="0"/>
              <w:right w:val="single" w:color="auto" w:sz="4" w:space="0"/>
            </w:tcBorders>
            <w:vAlign w:val="center"/>
          </w:tcPr>
          <w:p w14:paraId="0DDAECCA">
            <w:pPr>
              <w:spacing w:before="100" w:beforeAutospacing="1"/>
              <w:jc w:val="center"/>
              <w:rPr>
                <w:rFonts w:ascii="宋体" w:hAnsi="宋体" w:eastAsia="宋体" w:cs="宋体"/>
                <w:color w:val="auto"/>
                <w:kern w:val="2"/>
                <w:sz w:val="21"/>
                <w:szCs w:val="21"/>
              </w:rPr>
            </w:pPr>
            <w:r>
              <w:rPr>
                <w:rFonts w:hint="eastAsia" w:ascii="宋体" w:hAnsi="宋体" w:eastAsia="宋体" w:cs="宋体"/>
                <w:color w:val="auto"/>
                <w:sz w:val="21"/>
                <w:szCs w:val="21"/>
                <w:lang w:bidi="ar"/>
              </w:rPr>
              <w:t>项目进度安排方案</w:t>
            </w:r>
          </w:p>
          <w:p w14:paraId="226C0314">
            <w:pPr>
              <w:spacing w:before="100" w:beforeAutospacing="1"/>
              <w:jc w:val="center"/>
              <w:rPr>
                <w:rFonts w:ascii="宋体" w:hAnsi="宋体" w:eastAsia="宋体" w:cs="宋体"/>
                <w:color w:val="auto"/>
                <w:sz w:val="21"/>
                <w:szCs w:val="21"/>
              </w:rPr>
            </w:pPr>
            <w:r>
              <w:rPr>
                <w:rFonts w:hint="eastAsia" w:ascii="宋体" w:hAnsi="宋体" w:eastAsia="宋体" w:cs="宋体"/>
                <w:color w:val="auto"/>
                <w:sz w:val="21"/>
                <w:szCs w:val="21"/>
                <w:lang w:bidi="ar"/>
              </w:rPr>
              <w:t>（3分）</w:t>
            </w:r>
          </w:p>
        </w:tc>
        <w:tc>
          <w:tcPr>
            <w:tcW w:w="4985" w:type="dxa"/>
            <w:tcBorders>
              <w:top w:val="single" w:color="auto" w:sz="4" w:space="0"/>
              <w:left w:val="single" w:color="auto" w:sz="4" w:space="0"/>
              <w:right w:val="single" w:color="auto" w:sz="4" w:space="0"/>
            </w:tcBorders>
            <w:vAlign w:val="center"/>
          </w:tcPr>
          <w:p w14:paraId="4CF9F008">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评委根据供应商提供的进度安排方案（每一部分的进度安排方案都需写明，至少包括进度表等）进行综合评分。</w:t>
            </w:r>
          </w:p>
          <w:p w14:paraId="02FDAD90">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方案合理细致、符合项目需求、明确可行的得3分；</w:t>
            </w:r>
          </w:p>
          <w:p w14:paraId="05A90903">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方案一般、过于简单、没有针对性的得1分；</w:t>
            </w:r>
          </w:p>
          <w:p w14:paraId="6B9FA433">
            <w:pPr>
              <w:spacing w:before="100" w:beforeAutospacing="1"/>
              <w:rPr>
                <w:rFonts w:ascii="宋体" w:hAnsi="宋体" w:eastAsia="宋体" w:cs="宋体"/>
                <w:color w:val="auto"/>
                <w:sz w:val="21"/>
                <w:szCs w:val="21"/>
              </w:rPr>
            </w:pPr>
            <w:r>
              <w:rPr>
                <w:rFonts w:hint="eastAsia" w:ascii="宋体" w:hAnsi="宋体" w:eastAsia="宋体" w:cs="宋体"/>
                <w:color w:val="auto"/>
                <w:sz w:val="21"/>
                <w:szCs w:val="21"/>
                <w:lang w:bidi="ar"/>
              </w:rPr>
              <w:t>方案完全不符合招标要求或不切实可行的不得分。</w:t>
            </w:r>
          </w:p>
        </w:tc>
        <w:tc>
          <w:tcPr>
            <w:tcW w:w="1003" w:type="dxa"/>
            <w:tcBorders>
              <w:top w:val="single" w:color="auto" w:sz="4" w:space="0"/>
              <w:left w:val="single" w:color="auto" w:sz="4" w:space="0"/>
              <w:right w:val="single" w:color="auto" w:sz="4" w:space="0"/>
            </w:tcBorders>
            <w:vAlign w:val="center"/>
          </w:tcPr>
          <w:p w14:paraId="28FA588C">
            <w:pPr>
              <w:jc w:val="center"/>
              <w:rPr>
                <w:rFonts w:ascii="宋体" w:hAnsi="宋体" w:eastAsia="宋体" w:cs="宋体"/>
                <w:color w:val="auto"/>
                <w:sz w:val="21"/>
                <w:szCs w:val="21"/>
              </w:rPr>
            </w:pPr>
            <w:r>
              <w:rPr>
                <w:rFonts w:hint="eastAsia" w:ascii="宋体" w:hAnsi="宋体" w:eastAsia="宋体" w:cs="宋体"/>
                <w:color w:val="auto"/>
                <w:sz w:val="21"/>
                <w:szCs w:val="21"/>
              </w:rPr>
              <w:t>3分</w:t>
            </w:r>
          </w:p>
        </w:tc>
        <w:tc>
          <w:tcPr>
            <w:tcW w:w="1212" w:type="dxa"/>
            <w:tcBorders>
              <w:top w:val="single" w:color="auto" w:sz="4" w:space="0"/>
              <w:left w:val="single" w:color="auto" w:sz="4" w:space="0"/>
              <w:right w:val="single" w:color="auto" w:sz="4" w:space="0"/>
            </w:tcBorders>
            <w:vAlign w:val="center"/>
          </w:tcPr>
          <w:p w14:paraId="2AB34841">
            <w:pPr>
              <w:rPr>
                <w:rFonts w:ascii="宋体" w:hAnsi="宋体" w:eastAsia="宋体" w:cs="宋体"/>
                <w:color w:val="auto"/>
                <w:sz w:val="21"/>
                <w:szCs w:val="21"/>
              </w:rPr>
            </w:pPr>
          </w:p>
        </w:tc>
      </w:tr>
      <w:tr w14:paraId="6530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344" w:type="dxa"/>
            <w:vMerge w:val="continue"/>
            <w:tcBorders>
              <w:left w:val="single" w:color="auto" w:sz="4" w:space="0"/>
              <w:right w:val="single" w:color="auto" w:sz="4" w:space="0"/>
            </w:tcBorders>
            <w:vAlign w:val="center"/>
          </w:tcPr>
          <w:p w14:paraId="7FD49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color w:val="auto"/>
                <w:sz w:val="21"/>
                <w:szCs w:val="21"/>
              </w:rPr>
            </w:pPr>
          </w:p>
        </w:tc>
        <w:tc>
          <w:tcPr>
            <w:tcW w:w="1715" w:type="dxa"/>
            <w:tcBorders>
              <w:top w:val="single" w:color="auto" w:sz="4" w:space="0"/>
              <w:left w:val="single" w:color="auto" w:sz="4" w:space="0"/>
              <w:right w:val="single" w:color="auto" w:sz="4" w:space="0"/>
            </w:tcBorders>
            <w:vAlign w:val="center"/>
          </w:tcPr>
          <w:p w14:paraId="4A500179">
            <w:pPr>
              <w:spacing w:before="100" w:beforeAutospacing="1"/>
              <w:jc w:val="center"/>
              <w:rPr>
                <w:rFonts w:ascii="宋体" w:hAnsi="宋体" w:eastAsia="宋体" w:cs="宋体"/>
                <w:color w:val="auto"/>
                <w:kern w:val="2"/>
                <w:sz w:val="21"/>
                <w:szCs w:val="21"/>
              </w:rPr>
            </w:pPr>
            <w:r>
              <w:rPr>
                <w:rFonts w:hint="eastAsia" w:ascii="宋体" w:hAnsi="宋体" w:eastAsia="宋体" w:cs="宋体"/>
                <w:color w:val="auto"/>
                <w:sz w:val="21"/>
                <w:szCs w:val="21"/>
                <w:lang w:bidi="ar"/>
              </w:rPr>
              <w:t>风险管控能力</w:t>
            </w:r>
          </w:p>
          <w:p w14:paraId="50A49539">
            <w:pPr>
              <w:spacing w:before="100" w:beforeAutospacing="1"/>
              <w:jc w:val="center"/>
              <w:rPr>
                <w:rFonts w:ascii="宋体" w:hAnsi="宋体" w:eastAsia="宋体" w:cs="宋体"/>
                <w:color w:val="auto"/>
                <w:sz w:val="21"/>
                <w:szCs w:val="21"/>
              </w:rPr>
            </w:pPr>
            <w:r>
              <w:rPr>
                <w:rFonts w:hint="eastAsia" w:ascii="宋体" w:hAnsi="宋体" w:eastAsia="宋体" w:cs="宋体"/>
                <w:color w:val="auto"/>
                <w:sz w:val="21"/>
                <w:szCs w:val="21"/>
                <w:lang w:bidi="ar"/>
              </w:rPr>
              <w:t>（3分）</w:t>
            </w:r>
          </w:p>
        </w:tc>
        <w:tc>
          <w:tcPr>
            <w:tcW w:w="4985" w:type="dxa"/>
            <w:tcBorders>
              <w:top w:val="single" w:color="auto" w:sz="4" w:space="0"/>
              <w:left w:val="single" w:color="auto" w:sz="4" w:space="0"/>
              <w:right w:val="single" w:color="auto" w:sz="4" w:space="0"/>
            </w:tcBorders>
            <w:vAlign w:val="center"/>
          </w:tcPr>
          <w:p w14:paraId="00AFCF0A">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评委根据供应商提供的风险管控方案（包含人工管控、测试工具管控）进行综合评分。</w:t>
            </w:r>
          </w:p>
          <w:p w14:paraId="2096A81D">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方案合理细致、符合项目需求、明确可行的得3分；</w:t>
            </w:r>
          </w:p>
          <w:p w14:paraId="0C41149B">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方案一般、过于简单、没有针对性的得1分；</w:t>
            </w:r>
          </w:p>
          <w:p w14:paraId="4CD8230B">
            <w:pPr>
              <w:spacing w:before="100" w:beforeAutospacing="1"/>
              <w:rPr>
                <w:rFonts w:ascii="宋体" w:hAnsi="宋体" w:eastAsia="宋体" w:cs="宋体"/>
                <w:color w:val="auto"/>
                <w:sz w:val="21"/>
                <w:szCs w:val="21"/>
              </w:rPr>
            </w:pPr>
            <w:r>
              <w:rPr>
                <w:rFonts w:hint="eastAsia" w:ascii="宋体" w:hAnsi="宋体" w:eastAsia="宋体" w:cs="宋体"/>
                <w:color w:val="auto"/>
                <w:sz w:val="21"/>
                <w:szCs w:val="21"/>
                <w:lang w:bidi="ar"/>
              </w:rPr>
              <w:t>方案完全不符合招标要求或不切实可行的不得分。</w:t>
            </w:r>
          </w:p>
        </w:tc>
        <w:tc>
          <w:tcPr>
            <w:tcW w:w="1003" w:type="dxa"/>
            <w:tcBorders>
              <w:top w:val="single" w:color="auto" w:sz="4" w:space="0"/>
              <w:left w:val="single" w:color="auto" w:sz="4" w:space="0"/>
              <w:right w:val="single" w:color="auto" w:sz="4" w:space="0"/>
            </w:tcBorders>
            <w:vAlign w:val="center"/>
          </w:tcPr>
          <w:p w14:paraId="3199A9C8">
            <w:pPr>
              <w:jc w:val="center"/>
              <w:rPr>
                <w:rFonts w:ascii="宋体" w:hAnsi="宋体" w:eastAsia="宋体" w:cs="宋体"/>
                <w:color w:val="auto"/>
                <w:sz w:val="21"/>
                <w:szCs w:val="21"/>
              </w:rPr>
            </w:pPr>
            <w:r>
              <w:rPr>
                <w:rFonts w:hint="eastAsia" w:ascii="宋体" w:hAnsi="宋体" w:eastAsia="宋体" w:cs="宋体"/>
                <w:color w:val="auto"/>
                <w:sz w:val="21"/>
                <w:szCs w:val="21"/>
              </w:rPr>
              <w:t>3分</w:t>
            </w:r>
          </w:p>
        </w:tc>
        <w:tc>
          <w:tcPr>
            <w:tcW w:w="1212" w:type="dxa"/>
            <w:tcBorders>
              <w:top w:val="single" w:color="auto" w:sz="4" w:space="0"/>
              <w:left w:val="single" w:color="auto" w:sz="4" w:space="0"/>
              <w:right w:val="single" w:color="auto" w:sz="4" w:space="0"/>
            </w:tcBorders>
            <w:vAlign w:val="center"/>
          </w:tcPr>
          <w:p w14:paraId="276A4B4B">
            <w:pPr>
              <w:rPr>
                <w:rFonts w:ascii="宋体" w:hAnsi="宋体" w:eastAsia="宋体" w:cs="宋体"/>
                <w:color w:val="auto"/>
                <w:sz w:val="21"/>
                <w:szCs w:val="21"/>
              </w:rPr>
            </w:pPr>
          </w:p>
        </w:tc>
      </w:tr>
      <w:tr w14:paraId="3139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44" w:type="dxa"/>
            <w:vMerge w:val="continue"/>
            <w:tcBorders>
              <w:left w:val="single" w:color="auto" w:sz="4" w:space="0"/>
              <w:right w:val="single" w:color="auto" w:sz="4" w:space="0"/>
            </w:tcBorders>
            <w:vAlign w:val="center"/>
          </w:tcPr>
          <w:p w14:paraId="639EF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color w:val="auto"/>
                <w:sz w:val="21"/>
                <w:szCs w:val="21"/>
              </w:rPr>
            </w:pPr>
          </w:p>
        </w:tc>
        <w:tc>
          <w:tcPr>
            <w:tcW w:w="1715" w:type="dxa"/>
            <w:tcBorders>
              <w:top w:val="single" w:color="auto" w:sz="4" w:space="0"/>
              <w:left w:val="single" w:color="auto" w:sz="4" w:space="0"/>
              <w:bottom w:val="single" w:color="auto" w:sz="4" w:space="0"/>
              <w:right w:val="single" w:color="auto" w:sz="4" w:space="0"/>
            </w:tcBorders>
            <w:vAlign w:val="center"/>
          </w:tcPr>
          <w:p w14:paraId="2CF54E57">
            <w:pPr>
              <w:spacing w:before="100" w:beforeAutospacing="1"/>
              <w:jc w:val="center"/>
              <w:rPr>
                <w:rFonts w:ascii="宋体" w:hAnsi="宋体" w:eastAsia="宋体" w:cs="宋体"/>
                <w:color w:val="auto"/>
                <w:kern w:val="2"/>
                <w:sz w:val="21"/>
                <w:szCs w:val="21"/>
              </w:rPr>
            </w:pPr>
            <w:r>
              <w:rPr>
                <w:rFonts w:hint="eastAsia" w:ascii="宋体" w:hAnsi="宋体" w:eastAsia="宋体" w:cs="宋体"/>
                <w:color w:val="auto"/>
                <w:sz w:val="21"/>
                <w:szCs w:val="21"/>
                <w:lang w:bidi="ar"/>
              </w:rPr>
              <w:t>保密管控能力</w:t>
            </w:r>
          </w:p>
          <w:p w14:paraId="00417F7D">
            <w:pPr>
              <w:spacing w:before="100" w:beforeAutospacing="1"/>
              <w:jc w:val="center"/>
              <w:rPr>
                <w:rFonts w:ascii="宋体" w:hAnsi="宋体" w:eastAsia="宋体" w:cs="宋体"/>
                <w:color w:val="auto"/>
                <w:sz w:val="21"/>
                <w:szCs w:val="21"/>
              </w:rPr>
            </w:pPr>
            <w:r>
              <w:rPr>
                <w:rFonts w:hint="eastAsia" w:ascii="宋体" w:hAnsi="宋体" w:eastAsia="宋体" w:cs="宋体"/>
                <w:color w:val="auto"/>
                <w:sz w:val="21"/>
                <w:szCs w:val="21"/>
                <w:lang w:bidi="ar"/>
              </w:rPr>
              <w:t>（3分）</w:t>
            </w:r>
          </w:p>
        </w:tc>
        <w:tc>
          <w:tcPr>
            <w:tcW w:w="4985" w:type="dxa"/>
            <w:tcBorders>
              <w:top w:val="single" w:color="auto" w:sz="4" w:space="0"/>
              <w:left w:val="single" w:color="auto" w:sz="4" w:space="0"/>
              <w:bottom w:val="single" w:color="auto" w:sz="4" w:space="0"/>
              <w:right w:val="single" w:color="auto" w:sz="4" w:space="0"/>
            </w:tcBorders>
            <w:vAlign w:val="center"/>
          </w:tcPr>
          <w:p w14:paraId="1E983BFF">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评委根据供应商提供的保密管控方案进行综合评分。</w:t>
            </w:r>
          </w:p>
          <w:p w14:paraId="7068372B">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方案合理细致、符合项目需求、明确可行的得3分；</w:t>
            </w:r>
          </w:p>
          <w:p w14:paraId="7CF9BC25">
            <w:pPr>
              <w:spacing w:before="100" w:beforeAutospacing="1"/>
              <w:rPr>
                <w:rFonts w:ascii="宋体" w:hAnsi="宋体" w:eastAsia="宋体" w:cs="宋体"/>
                <w:color w:val="auto"/>
                <w:kern w:val="2"/>
                <w:sz w:val="21"/>
                <w:szCs w:val="21"/>
              </w:rPr>
            </w:pPr>
            <w:r>
              <w:rPr>
                <w:rFonts w:hint="eastAsia" w:ascii="宋体" w:hAnsi="宋体" w:eastAsia="宋体" w:cs="宋体"/>
                <w:color w:val="auto"/>
                <w:sz w:val="21"/>
                <w:szCs w:val="21"/>
                <w:lang w:bidi="ar"/>
              </w:rPr>
              <w:t>方案一般、过于简单、没有针对性的得1分；</w:t>
            </w:r>
          </w:p>
          <w:p w14:paraId="28968610">
            <w:pPr>
              <w:spacing w:before="100" w:beforeAutospacing="1"/>
              <w:rPr>
                <w:rFonts w:ascii="宋体" w:hAnsi="宋体" w:eastAsia="宋体" w:cs="宋体"/>
                <w:color w:val="auto"/>
                <w:sz w:val="21"/>
                <w:szCs w:val="21"/>
              </w:rPr>
            </w:pPr>
            <w:r>
              <w:rPr>
                <w:rFonts w:hint="eastAsia" w:ascii="宋体" w:hAnsi="宋体" w:eastAsia="宋体" w:cs="宋体"/>
                <w:color w:val="auto"/>
                <w:sz w:val="21"/>
                <w:szCs w:val="21"/>
                <w:lang w:bidi="ar"/>
              </w:rPr>
              <w:t>方案完全不符合招标要求或不切实可行的不得分。</w:t>
            </w:r>
          </w:p>
        </w:tc>
        <w:tc>
          <w:tcPr>
            <w:tcW w:w="1003" w:type="dxa"/>
            <w:tcBorders>
              <w:top w:val="single" w:color="auto" w:sz="4" w:space="0"/>
              <w:left w:val="single" w:color="auto" w:sz="4" w:space="0"/>
              <w:bottom w:val="single" w:color="auto" w:sz="4" w:space="0"/>
              <w:right w:val="single" w:color="auto" w:sz="4" w:space="0"/>
            </w:tcBorders>
            <w:vAlign w:val="center"/>
          </w:tcPr>
          <w:p w14:paraId="1F3B1F8E">
            <w:pPr>
              <w:jc w:val="center"/>
              <w:rPr>
                <w:rFonts w:ascii="宋体" w:hAnsi="宋体" w:eastAsia="宋体" w:cs="宋体"/>
                <w:color w:val="auto"/>
                <w:sz w:val="21"/>
                <w:szCs w:val="21"/>
              </w:rPr>
            </w:pPr>
            <w:r>
              <w:rPr>
                <w:rFonts w:hint="eastAsia" w:ascii="宋体" w:hAnsi="宋体" w:eastAsia="宋体" w:cs="宋体"/>
                <w:color w:val="auto"/>
                <w:sz w:val="21"/>
                <w:szCs w:val="21"/>
              </w:rPr>
              <w:t>3分</w:t>
            </w:r>
          </w:p>
        </w:tc>
        <w:tc>
          <w:tcPr>
            <w:tcW w:w="1212" w:type="dxa"/>
            <w:tcBorders>
              <w:top w:val="single" w:color="auto" w:sz="4" w:space="0"/>
              <w:left w:val="single" w:color="auto" w:sz="4" w:space="0"/>
              <w:bottom w:val="single" w:color="auto" w:sz="4" w:space="0"/>
              <w:right w:val="single" w:color="auto" w:sz="4" w:space="0"/>
            </w:tcBorders>
            <w:vAlign w:val="center"/>
          </w:tcPr>
          <w:p w14:paraId="4944C801">
            <w:pPr>
              <w:rPr>
                <w:rFonts w:ascii="宋体" w:hAnsi="宋体" w:eastAsia="宋体" w:cs="宋体"/>
                <w:color w:val="auto"/>
                <w:sz w:val="21"/>
                <w:szCs w:val="21"/>
              </w:rPr>
            </w:pPr>
          </w:p>
        </w:tc>
      </w:tr>
    </w:tbl>
    <w:p w14:paraId="30DA1F51">
      <w:pPr>
        <w:pStyle w:val="33"/>
        <w:rPr>
          <w:rFonts w:ascii="宋体" w:hAnsi="宋体" w:cs="宋体"/>
          <w:color w:val="auto"/>
        </w:rPr>
      </w:pPr>
    </w:p>
    <w:bookmarkEnd w:id="51"/>
    <w:p w14:paraId="2EE5327C">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说明：</w:t>
      </w:r>
    </w:p>
    <w:p w14:paraId="1C32DAAB">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
          <w:color w:val="auto"/>
          <w:sz w:val="24"/>
          <w:szCs w:val="24"/>
        </w:rPr>
        <w:t>所有认证、证明和业绩均以有效清晰的证明文件的复印件为依据。</w:t>
      </w:r>
    </w:p>
    <w:p w14:paraId="53F08F38">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2.小微企业价格扣除</w:t>
      </w:r>
    </w:p>
    <w:p w14:paraId="05B41FFB">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26986A41">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3.监狱和戒毒企业的价格扣除</w:t>
      </w:r>
    </w:p>
    <w:p w14:paraId="271BB454">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3.1 本项目对监狱和戒毒企业，给予10%的价格扣除，用扣除后的价格参与评审。</w:t>
      </w:r>
    </w:p>
    <w:p w14:paraId="32469F85">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3.2 监狱企业需提供由省级以上监狱管理局、戒毒管理局（含新疆生产建设兵团）出具的属于监狱企业的证明文件。</w:t>
      </w:r>
    </w:p>
    <w:p w14:paraId="5CE482F8">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3.3 监狱企业标准请参照《关于政府采购支持监狱企业发展有关问题的通知》（财库〔2014〕68号）。</w:t>
      </w:r>
    </w:p>
    <w:p w14:paraId="718FA48A">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4.残疾人福利性单位的价格扣除</w:t>
      </w:r>
    </w:p>
    <w:p w14:paraId="6D5C402E">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4.1 本项目对残疾人福利性单位，给予10%的价格扣除，用扣除后的价格参与评审。</w:t>
      </w:r>
    </w:p>
    <w:p w14:paraId="47A74595">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4.2 残疾人福利性单位需提供《残疾人福利性单位声明函》</w:t>
      </w:r>
    </w:p>
    <w:p w14:paraId="5F733A86">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4.3 残疾人福利性单位标准请参照《关于促进残疾人就业政府采购政策的通知》（财库〔2017〕141号）。</w:t>
      </w:r>
    </w:p>
    <w:p w14:paraId="53A57D1B">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5. 监狱企业、残疾人福利性单位属于小型、微型企业的，不重复享受政策。</w:t>
      </w:r>
    </w:p>
    <w:p w14:paraId="6F47FA7D">
      <w:pPr>
        <w:spacing w:line="360" w:lineRule="auto"/>
        <w:ind w:firstLine="482" w:firstLineChars="200"/>
        <w:rPr>
          <w:rFonts w:ascii="宋体" w:hAnsi="宋体" w:eastAsia="宋体" w:cs="宋体"/>
          <w:b/>
          <w:bCs/>
          <w:color w:val="auto"/>
          <w:sz w:val="24"/>
          <w:szCs w:val="24"/>
        </w:rPr>
      </w:pPr>
    </w:p>
    <w:p w14:paraId="101B0C2B">
      <w:pPr>
        <w:pStyle w:val="33"/>
        <w:ind w:firstLine="482" w:firstLineChars="200"/>
        <w:rPr>
          <w:rFonts w:ascii="宋体" w:hAnsi="宋体" w:cs="宋体"/>
          <w:color w:val="auto"/>
        </w:rPr>
      </w:pPr>
      <w:r>
        <w:rPr>
          <w:rFonts w:hint="eastAsia" w:ascii="宋体" w:hAnsi="宋体" w:cs="宋体"/>
          <w:b/>
          <w:bCs/>
          <w:color w:val="auto"/>
        </w:rPr>
        <w:t xml:space="preserve">                    </w:t>
      </w:r>
      <w:r>
        <w:rPr>
          <w:rFonts w:hint="eastAsia" w:ascii="宋体" w:hAnsi="宋体" w:cs="宋体"/>
          <w:color w:val="auto"/>
        </w:rPr>
        <w:t xml:space="preserve">    </w:t>
      </w:r>
    </w:p>
    <w:p w14:paraId="22C19C86">
      <w:pPr>
        <w:spacing w:line="360" w:lineRule="auto"/>
        <w:jc w:val="center"/>
        <w:rPr>
          <w:rFonts w:ascii="宋体" w:hAnsi="宋体" w:eastAsia="宋体" w:cs="宋体"/>
          <w:b/>
          <w:bCs/>
          <w:color w:val="auto"/>
          <w:sz w:val="36"/>
          <w:szCs w:val="36"/>
        </w:rPr>
      </w:pPr>
    </w:p>
    <w:p w14:paraId="5373361A">
      <w:pPr>
        <w:rPr>
          <w:rFonts w:ascii="宋体" w:hAnsi="宋体" w:eastAsia="宋体" w:cs="宋体"/>
          <w:b/>
          <w:bCs/>
          <w:color w:val="auto"/>
          <w:sz w:val="32"/>
          <w:szCs w:val="32"/>
        </w:rPr>
      </w:pPr>
      <w:bookmarkStart w:id="53" w:name="_Toc13969"/>
      <w:r>
        <w:rPr>
          <w:rFonts w:hint="eastAsia" w:ascii="宋体" w:hAnsi="宋体" w:eastAsia="宋体" w:cs="宋体"/>
          <w:b/>
          <w:bCs/>
          <w:color w:val="auto"/>
          <w:sz w:val="32"/>
          <w:szCs w:val="32"/>
        </w:rPr>
        <w:br w:type="page"/>
      </w:r>
    </w:p>
    <w:p w14:paraId="2562B5F0">
      <w:pPr>
        <w:pStyle w:val="3"/>
        <w:numPr>
          <w:ilvl w:val="0"/>
          <w:numId w:val="5"/>
        </w:numPr>
        <w:rPr>
          <w:rFonts w:ascii="宋体" w:hAnsi="宋体" w:eastAsia="宋体" w:cs="宋体"/>
          <w:b/>
          <w:bCs/>
          <w:color w:val="auto"/>
          <w:sz w:val="32"/>
          <w:szCs w:val="32"/>
        </w:rPr>
      </w:pPr>
      <w:r>
        <w:rPr>
          <w:rFonts w:hint="eastAsia" w:ascii="宋体" w:hAnsi="宋体" w:eastAsia="宋体" w:cs="宋体"/>
          <w:b/>
          <w:bCs/>
          <w:color w:val="auto"/>
          <w:sz w:val="32"/>
          <w:szCs w:val="32"/>
        </w:rPr>
        <w:t xml:space="preserve"> 拟签订的合同文本</w:t>
      </w:r>
      <w:bookmarkEnd w:id="53"/>
    </w:p>
    <w:p w14:paraId="44504718">
      <w:pPr>
        <w:spacing w:line="440" w:lineRule="exact"/>
        <w:jc w:val="center"/>
        <w:rPr>
          <w:rFonts w:ascii="宋体" w:hAnsi="宋体" w:eastAsia="宋体" w:cs="宋体"/>
          <w:b/>
          <w:color w:val="auto"/>
          <w:sz w:val="28"/>
          <w:szCs w:val="24"/>
        </w:rPr>
      </w:pPr>
      <w:r>
        <w:rPr>
          <w:rFonts w:hint="eastAsia" w:ascii="宋体" w:hAnsi="宋体" w:eastAsia="宋体" w:cs="宋体"/>
          <w:b/>
          <w:color w:val="auto"/>
          <w:sz w:val="28"/>
          <w:szCs w:val="24"/>
        </w:rPr>
        <w:t>关于采购        的技术服务合同</w:t>
      </w:r>
    </w:p>
    <w:p w14:paraId="6EECCA03">
      <w:pPr>
        <w:pStyle w:val="14"/>
        <w:spacing w:line="440" w:lineRule="exact"/>
        <w:ind w:left="550" w:leftChars="250"/>
        <w:rPr>
          <w:rFonts w:hAnsi="宋体" w:eastAsia="宋体" w:cs="宋体"/>
          <w:color w:val="auto"/>
          <w:sz w:val="24"/>
          <w:szCs w:val="24"/>
        </w:rPr>
      </w:pPr>
      <w:r>
        <w:rPr>
          <w:rFonts w:hint="eastAsia" w:hAnsi="宋体" w:eastAsia="宋体" w:cs="宋体"/>
          <w:color w:val="auto"/>
          <w:sz w:val="24"/>
          <w:szCs w:val="24"/>
        </w:rPr>
        <w:t>委托方（甲方）：南京医科大学</w:t>
      </w:r>
    </w:p>
    <w:p w14:paraId="01821E02">
      <w:pPr>
        <w:pStyle w:val="14"/>
        <w:spacing w:line="440" w:lineRule="exact"/>
        <w:ind w:left="550" w:leftChars="250"/>
        <w:rPr>
          <w:rFonts w:hAnsi="宋体" w:eastAsia="宋体" w:cs="宋体"/>
          <w:color w:val="auto"/>
          <w:sz w:val="24"/>
          <w:szCs w:val="24"/>
        </w:rPr>
      </w:pPr>
      <w:r>
        <w:rPr>
          <w:rFonts w:hint="eastAsia" w:hAnsi="宋体" w:eastAsia="宋体" w:cs="宋体"/>
          <w:color w:val="auto"/>
          <w:sz w:val="24"/>
          <w:szCs w:val="24"/>
        </w:rPr>
        <w:t>地址：</w:t>
      </w:r>
    </w:p>
    <w:p w14:paraId="4B165822">
      <w:pPr>
        <w:pStyle w:val="14"/>
        <w:spacing w:line="440" w:lineRule="exact"/>
        <w:ind w:left="550" w:leftChars="250"/>
        <w:rPr>
          <w:rFonts w:hAnsi="宋体" w:eastAsia="宋体" w:cs="宋体"/>
          <w:color w:val="auto"/>
          <w:sz w:val="24"/>
          <w:szCs w:val="24"/>
        </w:rPr>
      </w:pPr>
      <w:r>
        <w:rPr>
          <w:rFonts w:hint="eastAsia" w:hAnsi="宋体" w:eastAsia="宋体" w:cs="宋体"/>
          <w:color w:val="auto"/>
          <w:sz w:val="24"/>
          <w:szCs w:val="24"/>
        </w:rPr>
        <w:t xml:space="preserve">联系方式：                                     </w:t>
      </w:r>
    </w:p>
    <w:p w14:paraId="7ADE42C9">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受托方（乙方）：   </w:t>
      </w:r>
    </w:p>
    <w:p w14:paraId="0E88BEFB">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地址：</w:t>
      </w:r>
    </w:p>
    <w:p w14:paraId="255776BB">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联系方式：                                     </w:t>
      </w:r>
    </w:p>
    <w:p w14:paraId="18E2184C">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甲方委托乙方就甲方</w:t>
      </w:r>
      <w:r>
        <w:rPr>
          <w:rFonts w:hint="eastAsia" w:hAnsi="宋体" w:eastAsia="宋体" w:cs="宋体"/>
          <w:color w:val="auto"/>
          <w:sz w:val="24"/>
          <w:szCs w:val="24"/>
          <w:u w:val="single"/>
        </w:rPr>
        <w:t xml:space="preserve">                   </w:t>
      </w:r>
      <w:r>
        <w:rPr>
          <w:rFonts w:hint="eastAsia" w:hAnsi="宋体" w:eastAsia="宋体" w:cs="宋体"/>
          <w:color w:val="auto"/>
          <w:sz w:val="24"/>
          <w:szCs w:val="24"/>
        </w:rPr>
        <w:t>项目提供</w:t>
      </w:r>
      <w:r>
        <w:rPr>
          <w:rFonts w:hint="eastAsia" w:hAnsi="宋体" w:eastAsia="宋体" w:cs="宋体"/>
          <w:color w:val="auto"/>
          <w:sz w:val="24"/>
          <w:szCs w:val="24"/>
          <w:u w:val="single"/>
        </w:rPr>
        <w:t xml:space="preserve">       </w:t>
      </w:r>
      <w:r>
        <w:rPr>
          <w:rFonts w:hint="eastAsia" w:hAnsi="宋体" w:eastAsia="宋体" w:cs="宋体"/>
          <w:color w:val="auto"/>
          <w:sz w:val="24"/>
          <w:szCs w:val="24"/>
        </w:rPr>
        <w:t>专项技术服务，甲方支付相应的技术服务报酬。双方经过平等协商，在真实、充分地表达各自意愿的基础上，根据《中华人民共和国民法典》的规定，达成如下协议，并由双方共同恪守。</w:t>
      </w:r>
    </w:p>
    <w:p w14:paraId="24BF34C5">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第一条</w:t>
      </w:r>
      <w:r>
        <w:rPr>
          <w:rFonts w:hint="eastAsia" w:hAnsi="宋体" w:eastAsia="宋体" w:cs="宋体"/>
          <w:color w:val="auto"/>
          <w:sz w:val="24"/>
          <w:szCs w:val="24"/>
        </w:rPr>
        <w:t xml:space="preserve"> 甲方委托乙方进行技术服务的内容如下：</w:t>
      </w:r>
    </w:p>
    <w:p w14:paraId="0B153DC2">
      <w:pPr>
        <w:pStyle w:val="14"/>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 xml:space="preserve">1．技术服务的目标：                                                                                                           2．技术服务的内容：                                                        3．技术服务的方式：                                  </w:t>
      </w:r>
    </w:p>
    <w:p w14:paraId="30EF7D6F">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第二条</w:t>
      </w:r>
      <w:r>
        <w:rPr>
          <w:rFonts w:hint="eastAsia" w:hAnsi="宋体" w:eastAsia="宋体" w:cs="宋体"/>
          <w:color w:val="auto"/>
          <w:sz w:val="24"/>
          <w:szCs w:val="24"/>
        </w:rPr>
        <w:t xml:space="preserve"> 乙方应按下列要求完成技术服务工作：</w:t>
      </w:r>
    </w:p>
    <w:p w14:paraId="1F379F9C">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1．技术服务地点：</w:t>
      </w:r>
    </w:p>
    <w:p w14:paraId="19519C39">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2．技术服务期限：</w:t>
      </w:r>
    </w:p>
    <w:p w14:paraId="23C43A16">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3．技术服务进度：                                     </w:t>
      </w:r>
    </w:p>
    <w:p w14:paraId="592E2D51">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4．技术服务质量要求：</w:t>
      </w:r>
    </w:p>
    <w:p w14:paraId="2A127F94">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5．技术服务质量期限要求：</w:t>
      </w:r>
    </w:p>
    <w:p w14:paraId="61F927D5">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 后续服务要求：如后续开发过程中甲方及第三方需要乙方协助，乙方应当无条件配合，包括但不仅限于提供系统接口、技术服务、数据对接。</w:t>
      </w:r>
    </w:p>
    <w:p w14:paraId="50CE0592">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第三条</w:t>
      </w:r>
      <w:r>
        <w:rPr>
          <w:rFonts w:hint="eastAsia" w:hAnsi="宋体" w:eastAsia="宋体" w:cs="宋体"/>
          <w:color w:val="auto"/>
          <w:sz w:val="24"/>
          <w:szCs w:val="24"/>
        </w:rPr>
        <w:t xml:space="preserve"> 为保证乙方有效进行技术服务工作，甲方应当向乙方提供下列工作条件和协作事项：</w:t>
      </w:r>
    </w:p>
    <w:p w14:paraId="3357471E">
      <w:pPr>
        <w:pStyle w:val="14"/>
        <w:spacing w:line="440" w:lineRule="exact"/>
        <w:ind w:left="440" w:leftChars="200" w:firstLine="120" w:firstLineChars="50"/>
        <w:jc w:val="left"/>
        <w:rPr>
          <w:rFonts w:hAnsi="宋体" w:eastAsia="宋体" w:cs="宋体"/>
          <w:color w:val="auto"/>
          <w:sz w:val="24"/>
          <w:szCs w:val="24"/>
        </w:rPr>
      </w:pPr>
      <w:r>
        <w:rPr>
          <w:rFonts w:hint="eastAsia" w:hAnsi="宋体" w:eastAsia="宋体" w:cs="宋体"/>
          <w:color w:val="auto"/>
          <w:sz w:val="24"/>
          <w:szCs w:val="24"/>
        </w:rPr>
        <w:t>1．提供技术资料：（1）</w:t>
      </w:r>
      <w:r>
        <w:rPr>
          <w:rFonts w:hint="eastAsia" w:hAnsi="宋体" w:eastAsia="宋体" w:cs="宋体"/>
          <w:color w:val="auto"/>
          <w:sz w:val="24"/>
          <w:szCs w:val="24"/>
          <w:u w:val="single"/>
        </w:rPr>
        <w:t xml:space="preserve">                                                 ；</w:t>
      </w:r>
      <w:r>
        <w:rPr>
          <w:rFonts w:hint="eastAsia" w:hAnsi="宋体" w:eastAsia="宋体" w:cs="宋体"/>
          <w:color w:val="auto"/>
          <w:sz w:val="24"/>
          <w:szCs w:val="24"/>
        </w:rPr>
        <w:t>（2）</w:t>
      </w:r>
      <w:r>
        <w:rPr>
          <w:rFonts w:hint="eastAsia" w:hAnsi="宋体" w:eastAsia="宋体" w:cs="宋体"/>
          <w:color w:val="auto"/>
          <w:sz w:val="24"/>
          <w:szCs w:val="24"/>
          <w:u w:val="single"/>
        </w:rPr>
        <w:t xml:space="preserve">                                                 ；  </w:t>
      </w:r>
      <w:r>
        <w:rPr>
          <w:rFonts w:hint="eastAsia" w:hAnsi="宋体" w:eastAsia="宋体" w:cs="宋体"/>
          <w:color w:val="auto"/>
          <w:sz w:val="24"/>
          <w:szCs w:val="24"/>
        </w:rPr>
        <w:t xml:space="preserve">  （3）</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w:t>
      </w:r>
    </w:p>
    <w:p w14:paraId="3CE1CEBC">
      <w:pPr>
        <w:pStyle w:val="14"/>
        <w:spacing w:line="440" w:lineRule="exact"/>
        <w:ind w:left="440" w:leftChars="200"/>
        <w:jc w:val="left"/>
        <w:rPr>
          <w:rFonts w:hAnsi="宋体" w:eastAsia="宋体" w:cs="宋体"/>
          <w:color w:val="auto"/>
          <w:sz w:val="24"/>
          <w:szCs w:val="24"/>
        </w:rPr>
      </w:pPr>
      <w:r>
        <w:rPr>
          <w:rFonts w:hint="eastAsia" w:hAnsi="宋体" w:eastAsia="宋体" w:cs="宋体"/>
          <w:color w:val="auto"/>
          <w:sz w:val="24"/>
          <w:szCs w:val="24"/>
        </w:rPr>
        <w:t>2．提供工作条件： （1）</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（2）</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w:t>
      </w:r>
    </w:p>
    <w:p w14:paraId="26D951E4">
      <w:pPr>
        <w:pStyle w:val="14"/>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3．其他：</w:t>
      </w:r>
      <w:r>
        <w:rPr>
          <w:rFonts w:hint="eastAsia" w:hAnsi="宋体" w:eastAsia="宋体" w:cs="宋体"/>
          <w:color w:val="auto"/>
          <w:sz w:val="24"/>
          <w:szCs w:val="24"/>
          <w:u w:val="single"/>
        </w:rPr>
        <w:t xml:space="preserve">                /                             。</w:t>
      </w:r>
      <w:r>
        <w:rPr>
          <w:rFonts w:hint="eastAsia" w:hAnsi="宋体" w:eastAsia="宋体" w:cs="宋体"/>
          <w:color w:val="auto"/>
          <w:sz w:val="24"/>
          <w:szCs w:val="24"/>
        </w:rPr>
        <w:t xml:space="preserve">                                                              </w:t>
      </w:r>
      <w:r>
        <w:rPr>
          <w:rFonts w:hint="eastAsia" w:hAnsi="宋体" w:eastAsia="宋体" w:cs="宋体"/>
          <w:b/>
          <w:color w:val="auto"/>
          <w:sz w:val="24"/>
          <w:szCs w:val="24"/>
        </w:rPr>
        <w:t>第四条</w:t>
      </w:r>
      <w:r>
        <w:rPr>
          <w:rFonts w:hint="eastAsia" w:hAnsi="宋体" w:eastAsia="宋体" w:cs="宋体"/>
          <w:color w:val="auto"/>
          <w:sz w:val="24"/>
          <w:szCs w:val="24"/>
        </w:rPr>
        <w:t xml:space="preserve"> 技术服务费及支付方式</w:t>
      </w:r>
    </w:p>
    <w:p w14:paraId="51CEB045">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1．技术服务费总额为：</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p>
    <w:p w14:paraId="086219DD">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2．技术服务费由甲方</w:t>
      </w:r>
      <w:r>
        <w:rPr>
          <w:rFonts w:hint="eastAsia" w:hAnsi="宋体" w:eastAsia="宋体" w:cs="宋体"/>
          <w:color w:val="auto"/>
          <w:sz w:val="24"/>
          <w:szCs w:val="24"/>
          <w:u w:val="single"/>
        </w:rPr>
        <w:t xml:space="preserve">             （一次或分期）</w:t>
      </w:r>
      <w:r>
        <w:rPr>
          <w:rFonts w:hint="eastAsia" w:hAnsi="宋体" w:eastAsia="宋体" w:cs="宋体"/>
          <w:color w:val="auto"/>
          <w:sz w:val="24"/>
          <w:szCs w:val="24"/>
        </w:rPr>
        <w:t xml:space="preserve">支付给乙方。 </w:t>
      </w:r>
    </w:p>
    <w:p w14:paraId="3327F19A">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具体支付方式和时间如下：</w:t>
      </w:r>
    </w:p>
    <w:p w14:paraId="28EDED18">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3、结算方式</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p>
    <w:p w14:paraId="768F5588">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A（国产设备）：测评服务完成后，通过验收，并提交相应测评报告，协助甲方完成相应整改后，一周内甲方支付合同总金额的</w:t>
      </w:r>
      <w:r>
        <w:rPr>
          <w:rFonts w:hint="eastAsia" w:hAnsi="宋体" w:eastAsia="宋体" w:cs="宋体"/>
          <w:b/>
          <w:color w:val="auto"/>
          <w:sz w:val="24"/>
          <w:szCs w:val="24"/>
        </w:rPr>
        <w:t>100%</w:t>
      </w:r>
      <w:r>
        <w:rPr>
          <w:rFonts w:hint="eastAsia" w:hAnsi="宋体" w:eastAsia="宋体" w:cs="宋体"/>
          <w:color w:val="auto"/>
          <w:sz w:val="24"/>
          <w:szCs w:val="24"/>
        </w:rPr>
        <w:t>，付款之前需收到乙方开具的合法有效的</w:t>
      </w:r>
      <w:r>
        <w:rPr>
          <w:rFonts w:hint="eastAsia" w:hAnsi="宋体" w:eastAsia="宋体" w:cs="宋体"/>
          <w:b/>
          <w:color w:val="auto"/>
          <w:sz w:val="24"/>
          <w:szCs w:val="24"/>
        </w:rPr>
        <w:t>相应全额发票。</w:t>
      </w:r>
    </w:p>
    <w:p w14:paraId="09C33700">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乙方开户银行名称、账户名称和帐号为：</w:t>
      </w:r>
    </w:p>
    <w:p w14:paraId="405EE406">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开户银行：                                        </w:t>
      </w:r>
    </w:p>
    <w:p w14:paraId="619ABDE6">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账户名称：                                      </w:t>
      </w:r>
    </w:p>
    <w:p w14:paraId="1B796603">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帐号：                                            </w:t>
      </w:r>
    </w:p>
    <w:p w14:paraId="3380C25C">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第五条</w:t>
      </w:r>
      <w:r>
        <w:rPr>
          <w:rFonts w:hint="eastAsia" w:hAnsi="宋体" w:eastAsia="宋体" w:cs="宋体"/>
          <w:color w:val="auto"/>
          <w:sz w:val="24"/>
          <w:szCs w:val="24"/>
        </w:rPr>
        <w:t xml:space="preserve"> 双方确定因履行本合同应遵守的保密义务如下：</w:t>
      </w:r>
    </w:p>
    <w:p w14:paraId="4B12B9AA">
      <w:pPr>
        <w:pStyle w:val="14"/>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5.1.甲方：</w:t>
      </w:r>
    </w:p>
    <w:p w14:paraId="76123A53">
      <w:pPr>
        <w:pStyle w:val="14"/>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 xml:space="preserve">5.1.1.保密内容（包括技术信息和经营信息）:                              5.1.2.涉密人员范围: </w:t>
      </w:r>
    </w:p>
    <w:p w14:paraId="61BD46FC">
      <w:pPr>
        <w:pStyle w:val="14"/>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5.1.3.保密期限：                               </w:t>
      </w:r>
    </w:p>
    <w:p w14:paraId="5311B2B7">
      <w:pPr>
        <w:pStyle w:val="14"/>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5.1.4.泄密责任：  </w:t>
      </w:r>
    </w:p>
    <w:p w14:paraId="7C90A68F">
      <w:pPr>
        <w:pStyle w:val="14"/>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5.2.乙方：</w:t>
      </w:r>
    </w:p>
    <w:p w14:paraId="13122542">
      <w:pPr>
        <w:pStyle w:val="14"/>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 xml:space="preserve">5.2.1.保密内容（包括技术信息和经营信息）:                              5.2.2.涉密人员范围: </w:t>
      </w:r>
    </w:p>
    <w:p w14:paraId="46BED454">
      <w:pPr>
        <w:pStyle w:val="14"/>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5.2.3.保密期限：                               </w:t>
      </w:r>
    </w:p>
    <w:p w14:paraId="0EBDEB54">
      <w:pPr>
        <w:pStyle w:val="14"/>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5.2.4.泄密责任： </w:t>
      </w:r>
    </w:p>
    <w:p w14:paraId="37B608FA">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第六条</w:t>
      </w:r>
      <w:r>
        <w:rPr>
          <w:rFonts w:hint="eastAsia" w:hAnsi="宋体" w:eastAsia="宋体" w:cs="宋体"/>
          <w:color w:val="auto"/>
          <w:sz w:val="24"/>
          <w:szCs w:val="24"/>
        </w:rPr>
        <w:t xml:space="preserve"> 本合同的变更必须由双方协商一致，并以书面形式确定。</w:t>
      </w:r>
    </w:p>
    <w:p w14:paraId="16047E9A">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第七条</w:t>
      </w:r>
      <w:r>
        <w:rPr>
          <w:rFonts w:hint="eastAsia" w:hAnsi="宋体" w:eastAsia="宋体" w:cs="宋体"/>
          <w:color w:val="auto"/>
          <w:sz w:val="24"/>
          <w:szCs w:val="24"/>
        </w:rPr>
        <w:t xml:space="preserve"> 双方确定以下列标准和方式对乙方的技术服务工作成果进行验收：</w:t>
      </w:r>
    </w:p>
    <w:p w14:paraId="69FDC2CD">
      <w:pPr>
        <w:pStyle w:val="14"/>
        <w:spacing w:line="440" w:lineRule="exact"/>
        <w:ind w:firstLine="600" w:firstLineChars="250"/>
        <w:rPr>
          <w:rFonts w:hAnsi="宋体" w:eastAsia="宋体" w:cs="宋体"/>
          <w:color w:val="auto"/>
          <w:sz w:val="24"/>
          <w:szCs w:val="24"/>
        </w:rPr>
      </w:pPr>
      <w:r>
        <w:rPr>
          <w:rFonts w:hint="eastAsia" w:hAnsi="宋体" w:eastAsia="宋体" w:cs="宋体"/>
          <w:color w:val="auto"/>
          <w:sz w:val="24"/>
          <w:szCs w:val="24"/>
        </w:rPr>
        <w:t>1．乙方完成技术服务工作的形式：</w:t>
      </w:r>
    </w:p>
    <w:p w14:paraId="1C266F12">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 2．技术服务工作成果的验收标准：</w:t>
      </w:r>
    </w:p>
    <w:p w14:paraId="7DB1C585">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 3．技术服务工作成果的验收方法：</w:t>
      </w:r>
    </w:p>
    <w:p w14:paraId="28866FC7">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 4．验收的时间和地点：</w:t>
      </w:r>
    </w:p>
    <w:p w14:paraId="42885F90">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第八条</w:t>
      </w:r>
      <w:r>
        <w:rPr>
          <w:rFonts w:hint="eastAsia" w:hAnsi="宋体" w:eastAsia="宋体" w:cs="宋体"/>
          <w:color w:val="auto"/>
          <w:sz w:val="24"/>
          <w:szCs w:val="24"/>
        </w:rPr>
        <w:t xml:space="preserve"> 知识产权归属：</w:t>
      </w:r>
    </w:p>
    <w:p w14:paraId="6A1B9E13">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14:paraId="22ECF6F4">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14:paraId="12C342FF">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第九条</w:t>
      </w:r>
      <w:r>
        <w:rPr>
          <w:rFonts w:hint="eastAsia" w:hAnsi="宋体" w:eastAsia="宋体" w:cs="宋体"/>
          <w:color w:val="auto"/>
          <w:sz w:val="24"/>
          <w:szCs w:val="24"/>
        </w:rPr>
        <w:t xml:space="preserve"> 双方确定，按以下约定承担各自的违约责任：</w:t>
      </w:r>
    </w:p>
    <w:p w14:paraId="58641B70">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 甲方无故逾期支付服务费的,甲方应按逾期付款总额每日万分之五向乙方支付违约金。非因甲方原因未及时付款，包括但不仅限于乙方未验收合格、未开具合格的发票，甲方不承担违约责任。</w:t>
      </w:r>
    </w:p>
    <w:p w14:paraId="58E8D4C0">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2. 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费，并向甲方支付本合同总金额5%的违约金，如造成甲方损失超过违约金的，超出部分由乙方继续承担赔偿责任。 </w:t>
      </w:r>
    </w:p>
    <w:p w14:paraId="0EA8005F">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3. 乙方供给甲方的设备、材料及乙方自己的施工用具，进入甲方现场后的保管，由乙方负责，乙方在甲方现场安装、调试、验收人员的安全、保险、食宿和交通由乙方全权负责。</w:t>
      </w:r>
    </w:p>
    <w:p w14:paraId="54AF26DD">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4. 如乙方的技术服务成果第一次不能通过验收，乙方可在规定时间内重新提供服务或者按照合同要求修改；如仍不能通过验收，甲方可单方解除合同，并要求乙方退还已收到的技术服务费，且乙方还应向甲方支付合同总额10%的违约金作为赔偿。</w:t>
      </w:r>
    </w:p>
    <w:p w14:paraId="715A2E09">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5.本合同项下所有技术服务的内容，均由乙方单独承担，不得分包或者转包给其他单位或个人，否则，甲方有权单方解除合同，并要求乙方退还已收到的技术服务费，且乙方还应向甲方支付合同总额10%的违约金作为赔偿。</w:t>
      </w:r>
    </w:p>
    <w:p w14:paraId="599F66ED">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 乙方履行义务不符合合同约定，甲方有权扣减本合同总金额10%的技术服务费，尾款不足10%的，乙方应当补足。</w:t>
      </w:r>
    </w:p>
    <w:p w14:paraId="6762C655">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7.乙方违反本合同第二条第6款及第八条约定的，一次性支付甲方违约金</w:t>
      </w:r>
      <w:r>
        <w:rPr>
          <w:rFonts w:hint="eastAsia" w:hAnsi="宋体" w:eastAsia="宋体" w:cs="宋体"/>
          <w:color w:val="auto"/>
          <w:sz w:val="24"/>
          <w:szCs w:val="24"/>
        </w:rPr>
        <w:t>【  】万元</w:t>
      </w:r>
      <w:r>
        <w:rPr>
          <w:rFonts w:hint="eastAsia" w:hAnsi="宋体" w:eastAsia="宋体" w:cs="宋体"/>
          <w:color w:val="auto"/>
          <w:sz w:val="24"/>
          <w:szCs w:val="24"/>
        </w:rPr>
        <w:t>；如违约金不足以弥补甲方损失，乙方还应当赔偿给甲方造成的损失，包括但不仅限于预期利益、因维权产生的公证费、诉讼费、保全担保费、鉴定费、律师费、交通费用。</w:t>
      </w:r>
    </w:p>
    <w:p w14:paraId="2AF8AAF5">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第十条</w:t>
      </w:r>
      <w:r>
        <w:rPr>
          <w:rFonts w:hint="eastAsia" w:hAnsi="宋体" w:eastAsia="宋体" w:cs="宋体"/>
          <w:color w:val="auto"/>
          <w:sz w:val="24"/>
          <w:szCs w:val="24"/>
        </w:rPr>
        <w:t xml:space="preserve"> 双方确定，在本合同有效期内，甲方指定</w:t>
      </w:r>
      <w:r>
        <w:rPr>
          <w:rFonts w:hint="eastAsia" w:hAnsi="宋体" w:eastAsia="宋体" w:cs="宋体"/>
          <w:color w:val="auto"/>
          <w:sz w:val="24"/>
          <w:szCs w:val="24"/>
          <w:u w:val="single"/>
        </w:rPr>
        <w:t xml:space="preserve">    </w:t>
      </w:r>
      <w:r>
        <w:rPr>
          <w:rFonts w:hint="eastAsia" w:hAnsi="宋体" w:eastAsia="宋体" w:cs="宋体"/>
          <w:color w:val="auto"/>
          <w:sz w:val="24"/>
          <w:szCs w:val="24"/>
        </w:rPr>
        <w:t>为甲方项目联系人，乙方指定</w:t>
      </w:r>
      <w:r>
        <w:rPr>
          <w:rFonts w:hint="eastAsia" w:hAnsi="宋体" w:eastAsia="宋体" w:cs="宋体"/>
          <w:color w:val="auto"/>
          <w:sz w:val="24"/>
          <w:szCs w:val="24"/>
          <w:u w:val="single"/>
        </w:rPr>
        <w:t xml:space="preserve">      </w:t>
      </w:r>
      <w:r>
        <w:rPr>
          <w:rFonts w:hint="eastAsia" w:hAnsi="宋体" w:eastAsia="宋体" w:cs="宋体"/>
          <w:color w:val="auto"/>
          <w:sz w:val="24"/>
          <w:szCs w:val="24"/>
        </w:rPr>
        <w:t>为乙方项目联系人。</w:t>
      </w:r>
    </w:p>
    <w:p w14:paraId="2AB40A30">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一方变更项目联系人的，应当及时以书面形式通知另一方。未及时通知并影响本合同履行或造成损失的，应承担相应的责任。</w:t>
      </w:r>
    </w:p>
    <w:p w14:paraId="26511B57">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 </w:t>
      </w:r>
      <w:r>
        <w:rPr>
          <w:rFonts w:hint="eastAsia" w:hAnsi="宋体" w:eastAsia="宋体" w:cs="宋体"/>
          <w:b/>
          <w:color w:val="auto"/>
          <w:sz w:val="24"/>
          <w:szCs w:val="24"/>
        </w:rPr>
        <w:t xml:space="preserve">第十一条 </w:t>
      </w:r>
      <w:r>
        <w:rPr>
          <w:rFonts w:hint="eastAsia" w:hAnsi="宋体" w:eastAsia="宋体" w:cs="宋体"/>
          <w:color w:val="auto"/>
          <w:sz w:val="24"/>
          <w:szCs w:val="24"/>
        </w:rPr>
        <w:t>不可抗力事件处理</w:t>
      </w:r>
    </w:p>
    <w:p w14:paraId="0ED142B1">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 在合同有效期内，任何一方因不可抗力事件导致不能履行合同，则合同履行期可延长，其延长期与不可抗力影响期相同。</w:t>
      </w:r>
    </w:p>
    <w:p w14:paraId="0E014B70">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 不可抗力事件发生后，应立即通知对方，并寄送有关权威机构出具的证明。</w:t>
      </w:r>
    </w:p>
    <w:p w14:paraId="08E3DB2F">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3. 不可抗力事件延续30天以上，双方应通过友好协商，书面确定是否继续履行合同。</w:t>
      </w:r>
    </w:p>
    <w:p w14:paraId="6B20E870">
      <w:pPr>
        <w:pStyle w:val="14"/>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 xml:space="preserve">第十二条 </w:t>
      </w:r>
      <w:r>
        <w:rPr>
          <w:rFonts w:hint="eastAsia" w:hAnsi="宋体" w:eastAsia="宋体" w:cs="宋体"/>
          <w:color w:val="auto"/>
          <w:sz w:val="24"/>
          <w:szCs w:val="24"/>
        </w:rPr>
        <w:t>诉讼条款</w:t>
      </w:r>
    </w:p>
    <w:p w14:paraId="776FDA7B">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14:paraId="19313ABA">
      <w:pPr>
        <w:pStyle w:val="14"/>
        <w:spacing w:line="4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 xml:space="preserve">第十三条 </w:t>
      </w:r>
      <w:r>
        <w:rPr>
          <w:rFonts w:hint="eastAsia" w:hAnsi="宋体" w:eastAsia="宋体" w:cs="宋体"/>
          <w:color w:val="auto"/>
          <w:sz w:val="24"/>
          <w:szCs w:val="24"/>
        </w:rPr>
        <w:t>合同生效及其它</w:t>
      </w:r>
    </w:p>
    <w:p w14:paraId="7516DA9F">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  招投标文件作为合同的附件，与本合同具有同等法律效力。合同经双方法定代表人或授权委托代表人签字、盖章后生效。</w:t>
      </w:r>
    </w:p>
    <w:p w14:paraId="6034FD6F">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2.本合同未尽事宜，遵照《中华人民共和国民法典》有关条文执行。</w:t>
      </w:r>
    </w:p>
    <w:p w14:paraId="0612C689">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3.本合同正本一式肆份，甲方叁份，乙方壹份，具有同等法律效力。</w:t>
      </w:r>
    </w:p>
    <w:p w14:paraId="5EE0CC2D">
      <w:pPr>
        <w:pStyle w:val="14"/>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4.</w:t>
      </w:r>
      <w:r>
        <w:rPr>
          <w:rFonts w:hint="eastAsia" w:hAnsi="宋体" w:eastAsia="宋体" w:cs="Times New Roman"/>
          <w:color w:val="auto"/>
          <w:kern w:val="0"/>
          <w:sz w:val="24"/>
          <w:szCs w:val="24"/>
        </w:rPr>
        <w:t>合同签订地点：江苏省</w:t>
      </w:r>
      <w:r>
        <w:rPr>
          <w:rFonts w:hint="eastAsia" w:hAnsi="宋体" w:eastAsia="宋体" w:cs="Times New Roman"/>
          <w:color w:val="auto"/>
          <w:kern w:val="0"/>
          <w:sz w:val="24"/>
          <w:szCs w:val="28"/>
        </w:rPr>
        <w:t>南京市</w:t>
      </w:r>
      <w:r>
        <w:rPr>
          <w:rFonts w:hint="eastAsia" w:hAnsi="宋体" w:eastAsia="宋体"/>
          <w:color w:val="auto"/>
          <w:sz w:val="24"/>
          <w:szCs w:val="24"/>
        </w:rPr>
        <w:t>。</w:t>
      </w:r>
    </w:p>
    <w:p w14:paraId="11004CB9">
      <w:pPr>
        <w:pStyle w:val="14"/>
        <w:spacing w:line="440" w:lineRule="exact"/>
        <w:ind w:firstLine="480" w:firstLineChars="200"/>
        <w:rPr>
          <w:rFonts w:hAnsi="宋体" w:eastAsia="宋体" w:cs="宋体"/>
          <w:color w:val="auto"/>
          <w:sz w:val="24"/>
          <w:szCs w:val="24"/>
        </w:rPr>
      </w:pPr>
    </w:p>
    <w:p w14:paraId="74896F3E">
      <w:pPr>
        <w:pStyle w:val="14"/>
        <w:spacing w:line="440" w:lineRule="exact"/>
        <w:ind w:firstLine="480" w:firstLineChars="200"/>
        <w:rPr>
          <w:rFonts w:hAnsi="宋体" w:eastAsia="宋体" w:cs="宋体"/>
          <w:color w:val="auto"/>
          <w:sz w:val="24"/>
          <w:szCs w:val="24"/>
        </w:rPr>
      </w:pPr>
    </w:p>
    <w:p w14:paraId="748357ED">
      <w:pPr>
        <w:pStyle w:val="14"/>
        <w:spacing w:line="440" w:lineRule="exact"/>
        <w:ind w:firstLine="480" w:firstLineChars="200"/>
        <w:rPr>
          <w:rFonts w:hAnsi="宋体" w:eastAsia="宋体" w:cs="宋体"/>
          <w:color w:val="auto"/>
          <w:sz w:val="24"/>
          <w:szCs w:val="24"/>
        </w:rPr>
      </w:pPr>
    </w:p>
    <w:p w14:paraId="438E8F8C">
      <w:pPr>
        <w:pStyle w:val="14"/>
        <w:spacing w:line="440" w:lineRule="exact"/>
        <w:ind w:firstLine="480" w:firstLineChars="200"/>
        <w:rPr>
          <w:rFonts w:hAnsi="宋体" w:eastAsia="宋体" w:cs="宋体"/>
          <w:color w:val="auto"/>
          <w:sz w:val="24"/>
          <w:szCs w:val="24"/>
        </w:rPr>
      </w:pPr>
    </w:p>
    <w:p w14:paraId="49659C01">
      <w:pPr>
        <w:pStyle w:val="14"/>
        <w:spacing w:line="440" w:lineRule="exact"/>
        <w:ind w:firstLine="480" w:firstLineChars="200"/>
        <w:rPr>
          <w:rFonts w:hAnsi="宋体" w:eastAsia="宋体" w:cs="宋体"/>
          <w:color w:val="auto"/>
          <w:sz w:val="24"/>
          <w:szCs w:val="24"/>
        </w:rPr>
      </w:pPr>
    </w:p>
    <w:p w14:paraId="4D476C4A">
      <w:pPr>
        <w:pStyle w:val="14"/>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 xml:space="preserve">甲方： 南京医科大学             乙方： </w:t>
      </w:r>
    </w:p>
    <w:p w14:paraId="64726E14">
      <w:pPr>
        <w:pStyle w:val="14"/>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 xml:space="preserve">地址：                          地址： </w:t>
      </w:r>
    </w:p>
    <w:p w14:paraId="1BA2C3E4">
      <w:pPr>
        <w:pStyle w:val="14"/>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法定代表人或授权代表：          法定代表人或授权代表：</w:t>
      </w:r>
    </w:p>
    <w:p w14:paraId="1E21EDBF">
      <w:pPr>
        <w:pStyle w:val="14"/>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联系电话：                      联系电话：</w:t>
      </w:r>
    </w:p>
    <w:p w14:paraId="04133A94">
      <w:pPr>
        <w:pStyle w:val="14"/>
        <w:spacing w:line="360" w:lineRule="auto"/>
        <w:ind w:firstLine="480" w:firstLineChars="200"/>
        <w:rPr>
          <w:rFonts w:hAnsi="宋体" w:eastAsia="宋体" w:cs="Times New Roman"/>
          <w:color w:val="auto"/>
          <w:kern w:val="0"/>
          <w:sz w:val="24"/>
          <w:szCs w:val="28"/>
        </w:rPr>
      </w:pPr>
      <w:r>
        <w:rPr>
          <w:rFonts w:hint="eastAsia" w:hAnsi="宋体" w:eastAsia="宋体" w:cs="Times New Roman"/>
          <w:color w:val="auto"/>
          <w:kern w:val="0"/>
          <w:sz w:val="24"/>
          <w:szCs w:val="28"/>
        </w:rPr>
        <w:t>签订日期：   年    月    日</w:t>
      </w:r>
      <w:r>
        <w:rPr>
          <w:rFonts w:hint="eastAsia" w:hAnsi="宋体" w:cs="Times New Roman"/>
          <w:color w:val="auto"/>
          <w:kern w:val="0"/>
          <w:sz w:val="24"/>
          <w:szCs w:val="28"/>
        </w:rPr>
        <w:t xml:space="preserve">     </w:t>
      </w:r>
      <w:r>
        <w:rPr>
          <w:rFonts w:hint="eastAsia" w:hAnsi="宋体" w:eastAsia="宋体" w:cs="Times New Roman"/>
          <w:color w:val="auto"/>
          <w:kern w:val="0"/>
          <w:sz w:val="24"/>
          <w:szCs w:val="28"/>
        </w:rPr>
        <w:t>签订日期：   年    月    日</w:t>
      </w:r>
    </w:p>
    <w:p w14:paraId="18C6042F">
      <w:pPr>
        <w:pStyle w:val="33"/>
        <w:ind w:firstLine="0"/>
        <w:rPr>
          <w:rFonts w:asciiTheme="minorEastAsia" w:hAnsiTheme="minorEastAsia" w:eastAsiaTheme="minorEastAsia"/>
          <w:color w:val="auto"/>
          <w:sz w:val="28"/>
          <w:szCs w:val="28"/>
        </w:rPr>
      </w:pPr>
    </w:p>
    <w:p w14:paraId="5E9D22BB">
      <w:pPr>
        <w:pStyle w:val="3"/>
        <w:pageBreakBefore/>
        <w:spacing w:line="360" w:lineRule="auto"/>
        <w:rPr>
          <w:rFonts w:asciiTheme="majorEastAsia" w:hAnsiTheme="majorEastAsia" w:eastAsiaTheme="majorEastAsia" w:cstheme="minorBidi"/>
          <w:b/>
          <w:color w:val="auto"/>
          <w:kern w:val="0"/>
          <w:sz w:val="36"/>
          <w:szCs w:val="36"/>
        </w:rPr>
      </w:pPr>
      <w:bookmarkStart w:id="54" w:name="_Toc14881"/>
      <w:r>
        <w:rPr>
          <w:rFonts w:hint="eastAsia" w:asciiTheme="majorEastAsia" w:hAnsiTheme="majorEastAsia" w:eastAsiaTheme="majorEastAsia" w:cstheme="minorBidi"/>
          <w:b/>
          <w:color w:val="auto"/>
          <w:kern w:val="0"/>
          <w:sz w:val="32"/>
          <w:szCs w:val="32"/>
        </w:rPr>
        <w:t>第六章  投标文件格式</w:t>
      </w:r>
      <w:bookmarkEnd w:id="54"/>
      <w:r>
        <w:rPr>
          <w:rFonts w:hint="eastAsia" w:asciiTheme="majorEastAsia" w:hAnsiTheme="majorEastAsia" w:eastAsiaTheme="majorEastAsia" w:cstheme="minorBidi"/>
          <w:b/>
          <w:color w:val="auto"/>
          <w:kern w:val="0"/>
          <w:sz w:val="36"/>
          <w:szCs w:val="36"/>
        </w:rPr>
        <w:t xml:space="preserve"> </w:t>
      </w:r>
    </w:p>
    <w:p w14:paraId="1181AACF">
      <w:pPr>
        <w:spacing w:line="360" w:lineRule="auto"/>
        <w:jc w:val="center"/>
        <w:rPr>
          <w:rFonts w:asciiTheme="majorEastAsia" w:hAnsiTheme="majorEastAsia" w:eastAsiaTheme="majorEastAsia"/>
          <w:b/>
          <w:color w:val="auto"/>
          <w:sz w:val="36"/>
          <w:szCs w:val="36"/>
        </w:rPr>
      </w:pPr>
      <w:bookmarkStart w:id="55" w:name="_Hlt26671244"/>
      <w:bookmarkEnd w:id="55"/>
      <w:bookmarkStart w:id="56" w:name="_Hlt26955039"/>
      <w:bookmarkEnd w:id="56"/>
      <w:bookmarkStart w:id="57" w:name="_Toc26554094"/>
      <w:bookmarkStart w:id="58" w:name="_Toc49090576"/>
      <w:bookmarkStart w:id="59" w:name="_Toc120614282"/>
    </w:p>
    <w:p w14:paraId="751B3F59">
      <w:pPr>
        <w:spacing w:line="360" w:lineRule="auto"/>
        <w:jc w:val="center"/>
        <w:rPr>
          <w:rFonts w:ascii="微软雅黑" w:hAnsi="微软雅黑" w:cs="微软雅黑"/>
          <w:b/>
          <w:color w:val="auto"/>
          <w:sz w:val="44"/>
          <w:szCs w:val="44"/>
        </w:rPr>
      </w:pPr>
      <w:r>
        <w:rPr>
          <w:rFonts w:hint="eastAsia" w:ascii="微软雅黑" w:hAnsi="微软雅黑" w:cs="微软雅黑"/>
          <w:b/>
          <w:color w:val="auto"/>
          <w:sz w:val="44"/>
          <w:szCs w:val="44"/>
        </w:rPr>
        <w:t>投  标  文  件</w:t>
      </w:r>
    </w:p>
    <w:p w14:paraId="3558EE71">
      <w:pPr>
        <w:spacing w:line="360" w:lineRule="auto"/>
        <w:jc w:val="center"/>
        <w:rPr>
          <w:rFonts w:ascii="宋体" w:hAnsi="宋体" w:eastAsia="宋体" w:cs="宋体"/>
          <w:b/>
          <w:color w:val="auto"/>
          <w:sz w:val="24"/>
          <w:szCs w:val="24"/>
        </w:rPr>
      </w:pPr>
    </w:p>
    <w:p w14:paraId="1A615EFB">
      <w:pPr>
        <w:spacing w:line="360" w:lineRule="auto"/>
        <w:jc w:val="center"/>
        <w:rPr>
          <w:rFonts w:ascii="宋体" w:hAnsi="宋体" w:eastAsia="宋体" w:cs="宋体"/>
          <w:b/>
          <w:color w:val="auto"/>
          <w:sz w:val="24"/>
          <w:szCs w:val="24"/>
        </w:rPr>
      </w:pPr>
    </w:p>
    <w:p w14:paraId="546843AC">
      <w:pPr>
        <w:spacing w:line="360" w:lineRule="auto"/>
        <w:jc w:val="center"/>
        <w:rPr>
          <w:rFonts w:ascii="宋体" w:hAnsi="宋体" w:eastAsia="宋体" w:cs="宋体"/>
          <w:b/>
          <w:color w:val="auto"/>
          <w:sz w:val="24"/>
          <w:szCs w:val="24"/>
        </w:rPr>
      </w:pPr>
    </w:p>
    <w:p w14:paraId="5BA4E9CB">
      <w:pPr>
        <w:spacing w:line="360" w:lineRule="auto"/>
        <w:jc w:val="center"/>
        <w:rPr>
          <w:rFonts w:ascii="宋体" w:hAnsi="宋体" w:eastAsia="宋体" w:cs="宋体"/>
          <w:b/>
          <w:color w:val="auto"/>
          <w:sz w:val="24"/>
          <w:szCs w:val="24"/>
        </w:rPr>
      </w:pPr>
    </w:p>
    <w:p w14:paraId="5BEB2D5C">
      <w:pPr>
        <w:spacing w:line="360" w:lineRule="auto"/>
        <w:jc w:val="center"/>
        <w:rPr>
          <w:rFonts w:ascii="宋体" w:hAnsi="宋体" w:eastAsia="宋体" w:cs="宋体"/>
          <w:b/>
          <w:color w:val="auto"/>
          <w:sz w:val="24"/>
          <w:szCs w:val="24"/>
        </w:rPr>
      </w:pPr>
    </w:p>
    <w:p w14:paraId="330FB792">
      <w:pPr>
        <w:spacing w:line="360" w:lineRule="auto"/>
        <w:ind w:firstLine="840" w:firstLineChars="300"/>
        <w:rPr>
          <w:rFonts w:ascii="微软雅黑" w:hAnsi="微软雅黑" w:cs="微软雅黑"/>
          <w:b/>
          <w:color w:val="auto"/>
          <w:sz w:val="28"/>
          <w:szCs w:val="28"/>
        </w:rPr>
      </w:pP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名 称：</w:t>
      </w:r>
    </w:p>
    <w:p w14:paraId="4B18C77A">
      <w:pPr>
        <w:spacing w:line="360" w:lineRule="auto"/>
        <w:ind w:firstLine="840" w:firstLineChars="300"/>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编 号：</w:t>
      </w:r>
    </w:p>
    <w:p w14:paraId="108BC082">
      <w:pPr>
        <w:spacing w:line="360" w:lineRule="auto"/>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 xml:space="preserve">          投标人名称 ：</w:t>
      </w:r>
    </w:p>
    <w:p w14:paraId="1E270D37">
      <w:pPr>
        <w:spacing w:line="360" w:lineRule="auto"/>
        <w:rPr>
          <w:rFonts w:ascii="微软雅黑" w:hAnsi="微软雅黑" w:cs="微软雅黑"/>
          <w:b/>
          <w:color w:val="auto"/>
          <w:sz w:val="28"/>
          <w:szCs w:val="28"/>
        </w:rPr>
      </w:pPr>
      <w:r>
        <w:rPr>
          <w:rFonts w:hint="eastAsia" w:ascii="微软雅黑" w:hAnsi="微软雅黑" w:cs="微软雅黑"/>
          <w:b/>
          <w:color w:val="auto"/>
          <w:sz w:val="28"/>
          <w:szCs w:val="28"/>
        </w:rPr>
        <w:t xml:space="preserve">     </w:t>
      </w:r>
    </w:p>
    <w:p w14:paraId="53F36BFD">
      <w:pPr>
        <w:spacing w:line="360" w:lineRule="auto"/>
        <w:rPr>
          <w:rFonts w:ascii="微软雅黑" w:hAnsi="微软雅黑" w:cs="微软雅黑"/>
          <w:b/>
          <w:color w:val="auto"/>
          <w:sz w:val="28"/>
          <w:szCs w:val="28"/>
        </w:rPr>
      </w:pPr>
    </w:p>
    <w:p w14:paraId="4DB3EB29">
      <w:pPr>
        <w:spacing w:line="360" w:lineRule="auto"/>
        <w:rPr>
          <w:rFonts w:ascii="微软雅黑" w:hAnsi="微软雅黑" w:cs="微软雅黑"/>
          <w:b/>
          <w:color w:val="auto"/>
          <w:sz w:val="28"/>
          <w:szCs w:val="28"/>
        </w:rPr>
      </w:pPr>
    </w:p>
    <w:p w14:paraId="1DA6D728">
      <w:pPr>
        <w:spacing w:line="360" w:lineRule="auto"/>
        <w:jc w:val="center"/>
        <w:rPr>
          <w:rFonts w:ascii="微软雅黑" w:hAnsi="微软雅黑" w:cs="微软雅黑"/>
          <w:b/>
          <w:color w:val="auto"/>
          <w:sz w:val="28"/>
          <w:szCs w:val="28"/>
        </w:rPr>
      </w:pPr>
      <w:r>
        <w:rPr>
          <w:rFonts w:hint="eastAsia" w:ascii="微软雅黑" w:hAnsi="微软雅黑" w:cs="微软雅黑"/>
          <w:b/>
          <w:color w:val="auto"/>
          <w:sz w:val="28"/>
          <w:szCs w:val="28"/>
        </w:rPr>
        <w:t>年    月    日</w:t>
      </w:r>
    </w:p>
    <w:p w14:paraId="6F74B8F6">
      <w:pPr>
        <w:spacing w:line="360" w:lineRule="auto"/>
        <w:jc w:val="center"/>
        <w:rPr>
          <w:rFonts w:ascii="宋体" w:hAnsi="宋体" w:eastAsia="宋体" w:cs="宋体"/>
          <w:b/>
          <w:bCs/>
          <w:color w:val="auto"/>
          <w:sz w:val="24"/>
          <w:szCs w:val="24"/>
        </w:rPr>
      </w:pPr>
    </w:p>
    <w:p w14:paraId="20950E3F">
      <w:pPr>
        <w:spacing w:line="360" w:lineRule="auto"/>
        <w:ind w:firstLine="480" w:firstLineChars="200"/>
        <w:rPr>
          <w:rFonts w:ascii="宋体" w:hAnsi="宋体" w:eastAsia="宋体" w:cs="宋体"/>
          <w:color w:val="auto"/>
          <w:sz w:val="24"/>
          <w:szCs w:val="24"/>
        </w:rPr>
      </w:pPr>
    </w:p>
    <w:p w14:paraId="1D7DE6FE">
      <w:pPr>
        <w:pStyle w:val="33"/>
        <w:ind w:firstLine="0"/>
        <w:jc w:val="center"/>
        <w:rPr>
          <w:rFonts w:ascii="宋体" w:hAnsi="宋体" w:cs="宋体"/>
          <w:b/>
          <w:bCs/>
          <w:color w:val="auto"/>
          <w:sz w:val="36"/>
          <w:szCs w:val="36"/>
        </w:rPr>
      </w:pPr>
      <w:r>
        <w:rPr>
          <w:rFonts w:hint="eastAsia" w:ascii="宋体" w:hAnsi="宋体" w:cs="宋体"/>
          <w:b/>
          <w:bCs/>
          <w:color w:val="auto"/>
          <w:sz w:val="36"/>
          <w:szCs w:val="36"/>
        </w:rPr>
        <w:t>目  录</w:t>
      </w:r>
    </w:p>
    <w:p w14:paraId="3E1BEC72">
      <w:pPr>
        <w:pStyle w:val="33"/>
        <w:ind w:firstLine="0"/>
        <w:jc w:val="center"/>
        <w:rPr>
          <w:rFonts w:ascii="宋体" w:hAnsi="宋体" w:cs="宋体"/>
          <w:b/>
          <w:bCs/>
          <w:color w:val="auto"/>
          <w:sz w:val="36"/>
          <w:szCs w:val="36"/>
        </w:rPr>
      </w:pPr>
    </w:p>
    <w:p w14:paraId="467870D8">
      <w:pPr>
        <w:pStyle w:val="33"/>
        <w:ind w:firstLine="0"/>
        <w:jc w:val="center"/>
        <w:rPr>
          <w:rFonts w:ascii="宋体" w:hAnsi="宋体" w:cs="宋体"/>
          <w:b/>
          <w:bCs/>
          <w:color w:val="auto"/>
          <w:sz w:val="36"/>
          <w:szCs w:val="36"/>
        </w:rPr>
      </w:pPr>
    </w:p>
    <w:p w14:paraId="042ED7D8">
      <w:pPr>
        <w:pStyle w:val="33"/>
        <w:ind w:firstLine="0"/>
        <w:jc w:val="center"/>
        <w:rPr>
          <w:rFonts w:ascii="宋体" w:hAnsi="宋体" w:cs="宋体"/>
          <w:b/>
          <w:bCs/>
          <w:color w:val="auto"/>
          <w:sz w:val="36"/>
          <w:szCs w:val="36"/>
        </w:rPr>
      </w:pPr>
    </w:p>
    <w:p w14:paraId="19C53197">
      <w:pPr>
        <w:pStyle w:val="33"/>
        <w:ind w:firstLine="0"/>
        <w:jc w:val="center"/>
        <w:rPr>
          <w:rFonts w:ascii="宋体" w:hAnsi="宋体" w:cs="宋体"/>
          <w:b/>
          <w:bCs/>
          <w:color w:val="auto"/>
          <w:sz w:val="36"/>
          <w:szCs w:val="36"/>
        </w:rPr>
      </w:pPr>
    </w:p>
    <w:p w14:paraId="45D54913">
      <w:pPr>
        <w:pStyle w:val="33"/>
        <w:ind w:firstLine="0"/>
        <w:jc w:val="center"/>
        <w:rPr>
          <w:rFonts w:ascii="宋体" w:hAnsi="宋体" w:cs="宋体"/>
          <w:b/>
          <w:bCs/>
          <w:color w:val="auto"/>
          <w:sz w:val="36"/>
          <w:szCs w:val="36"/>
        </w:rPr>
      </w:pPr>
    </w:p>
    <w:p w14:paraId="2F083434">
      <w:pPr>
        <w:pStyle w:val="33"/>
        <w:ind w:firstLine="0"/>
        <w:jc w:val="center"/>
        <w:rPr>
          <w:rFonts w:ascii="宋体" w:hAnsi="宋体" w:cs="宋体"/>
          <w:b/>
          <w:bCs/>
          <w:color w:val="auto"/>
          <w:sz w:val="36"/>
          <w:szCs w:val="36"/>
        </w:rPr>
      </w:pPr>
    </w:p>
    <w:p w14:paraId="7600F380">
      <w:pPr>
        <w:pStyle w:val="33"/>
        <w:ind w:firstLine="0"/>
        <w:jc w:val="center"/>
        <w:rPr>
          <w:rFonts w:ascii="宋体" w:hAnsi="宋体" w:cs="宋体"/>
          <w:b/>
          <w:bCs/>
          <w:color w:val="auto"/>
          <w:sz w:val="36"/>
          <w:szCs w:val="36"/>
        </w:rPr>
      </w:pPr>
    </w:p>
    <w:p w14:paraId="72B0FF11">
      <w:pPr>
        <w:pStyle w:val="33"/>
        <w:ind w:firstLine="0"/>
        <w:jc w:val="center"/>
        <w:rPr>
          <w:rFonts w:ascii="宋体" w:hAnsi="宋体" w:cs="宋体"/>
          <w:b/>
          <w:bCs/>
          <w:color w:val="auto"/>
          <w:sz w:val="36"/>
          <w:szCs w:val="36"/>
        </w:rPr>
      </w:pPr>
    </w:p>
    <w:p w14:paraId="73F7E544">
      <w:pPr>
        <w:pStyle w:val="33"/>
        <w:ind w:firstLine="0"/>
        <w:jc w:val="center"/>
        <w:rPr>
          <w:rFonts w:ascii="宋体" w:hAnsi="宋体" w:cs="宋体"/>
          <w:b/>
          <w:bCs/>
          <w:color w:val="auto"/>
          <w:sz w:val="36"/>
          <w:szCs w:val="36"/>
        </w:rPr>
      </w:pPr>
    </w:p>
    <w:p w14:paraId="4AB450F5">
      <w:pPr>
        <w:pStyle w:val="33"/>
        <w:ind w:firstLine="0"/>
        <w:jc w:val="center"/>
        <w:rPr>
          <w:rFonts w:ascii="宋体" w:hAnsi="宋体" w:cs="宋体"/>
          <w:b/>
          <w:bCs/>
          <w:color w:val="auto"/>
          <w:sz w:val="36"/>
          <w:szCs w:val="36"/>
        </w:rPr>
      </w:pPr>
    </w:p>
    <w:p w14:paraId="268B900D">
      <w:pPr>
        <w:pStyle w:val="33"/>
        <w:ind w:firstLine="0"/>
        <w:jc w:val="center"/>
        <w:rPr>
          <w:rFonts w:ascii="宋体" w:hAnsi="宋体" w:cs="宋体"/>
          <w:b/>
          <w:bCs/>
          <w:color w:val="auto"/>
          <w:sz w:val="36"/>
          <w:szCs w:val="36"/>
        </w:rPr>
      </w:pPr>
    </w:p>
    <w:p w14:paraId="3CDF9151">
      <w:pPr>
        <w:pStyle w:val="33"/>
        <w:ind w:firstLine="0"/>
        <w:jc w:val="center"/>
        <w:rPr>
          <w:rFonts w:ascii="宋体" w:hAnsi="宋体" w:cs="宋体"/>
          <w:b/>
          <w:bCs/>
          <w:color w:val="auto"/>
          <w:sz w:val="36"/>
          <w:szCs w:val="36"/>
        </w:rPr>
      </w:pPr>
    </w:p>
    <w:p w14:paraId="37DA390B">
      <w:pPr>
        <w:pStyle w:val="33"/>
        <w:ind w:firstLine="0"/>
        <w:jc w:val="center"/>
        <w:rPr>
          <w:rFonts w:ascii="宋体" w:hAnsi="宋体" w:cs="宋体"/>
          <w:b/>
          <w:bCs/>
          <w:color w:val="auto"/>
          <w:sz w:val="36"/>
          <w:szCs w:val="36"/>
        </w:rPr>
      </w:pPr>
    </w:p>
    <w:p w14:paraId="4C7C5185">
      <w:pPr>
        <w:pStyle w:val="33"/>
        <w:ind w:firstLine="0"/>
        <w:jc w:val="center"/>
        <w:rPr>
          <w:rFonts w:ascii="宋体" w:hAnsi="宋体" w:cs="宋体"/>
          <w:b/>
          <w:bCs/>
          <w:color w:val="auto"/>
          <w:sz w:val="36"/>
          <w:szCs w:val="36"/>
        </w:rPr>
      </w:pPr>
    </w:p>
    <w:p w14:paraId="60D23099">
      <w:pPr>
        <w:pStyle w:val="33"/>
        <w:ind w:firstLine="0"/>
        <w:jc w:val="both"/>
        <w:rPr>
          <w:rFonts w:ascii="宋体" w:hAnsi="宋体" w:cs="宋体"/>
          <w:b/>
          <w:bCs/>
          <w:color w:val="auto"/>
        </w:rPr>
      </w:pPr>
    </w:p>
    <w:p w14:paraId="2DA6BCCC">
      <w:pPr>
        <w:pStyle w:val="33"/>
        <w:ind w:firstLine="0"/>
        <w:jc w:val="both"/>
        <w:rPr>
          <w:rFonts w:ascii="宋体" w:hAnsi="宋体" w:cs="宋体"/>
          <w:b/>
          <w:bCs/>
          <w:color w:val="auto"/>
        </w:rPr>
      </w:pPr>
    </w:p>
    <w:p w14:paraId="0CE857B1">
      <w:pPr>
        <w:pStyle w:val="33"/>
        <w:ind w:firstLine="0"/>
        <w:jc w:val="both"/>
        <w:rPr>
          <w:rFonts w:ascii="宋体" w:hAnsi="宋体" w:cs="宋体"/>
          <w:b/>
          <w:bCs/>
          <w:color w:val="auto"/>
        </w:rPr>
      </w:pPr>
    </w:p>
    <w:p w14:paraId="6FBB322F">
      <w:pPr>
        <w:pStyle w:val="33"/>
        <w:ind w:firstLine="0"/>
        <w:jc w:val="both"/>
        <w:rPr>
          <w:rFonts w:ascii="宋体" w:hAnsi="宋体" w:cs="宋体"/>
          <w:b/>
          <w:bCs/>
          <w:color w:val="auto"/>
        </w:rPr>
      </w:pPr>
      <w:r>
        <w:rPr>
          <w:rFonts w:hint="eastAsia" w:ascii="宋体" w:hAnsi="宋体" w:cs="宋体"/>
          <w:b/>
          <w:bCs/>
          <w:color w:val="auto"/>
        </w:rPr>
        <w:t>附件一</w:t>
      </w:r>
      <w:bookmarkStart w:id="60" w:name="_Toc517190894"/>
    </w:p>
    <w:p w14:paraId="033B9E0D">
      <w:pPr>
        <w:pStyle w:val="33"/>
        <w:ind w:firstLine="0"/>
        <w:jc w:val="center"/>
        <w:rPr>
          <w:rFonts w:ascii="宋体" w:hAnsi="宋体" w:cs="宋体"/>
          <w:b/>
          <w:color w:val="auto"/>
          <w:sz w:val="28"/>
          <w:szCs w:val="28"/>
        </w:rPr>
      </w:pPr>
      <w:r>
        <w:rPr>
          <w:rFonts w:hint="eastAsia" w:ascii="宋体" w:hAnsi="宋体" w:cs="宋体"/>
          <w:b/>
          <w:color w:val="auto"/>
          <w:sz w:val="28"/>
          <w:szCs w:val="28"/>
        </w:rPr>
        <w:t>投标函</w:t>
      </w:r>
      <w:bookmarkEnd w:id="60"/>
    </w:p>
    <w:p w14:paraId="1D3EA811">
      <w:pPr>
        <w:pStyle w:val="33"/>
        <w:spacing w:before="0" w:after="0"/>
        <w:ind w:firstLine="0"/>
        <w:rPr>
          <w:rFonts w:ascii="宋体" w:hAnsi="宋体" w:cs="宋体"/>
          <w:color w:val="auto"/>
          <w:kern w:val="2"/>
        </w:rPr>
      </w:pPr>
      <w:r>
        <w:rPr>
          <w:rFonts w:hint="eastAsia" w:ascii="宋体" w:hAnsi="宋体" w:cs="宋体"/>
          <w:color w:val="auto"/>
          <w:kern w:val="2"/>
        </w:rPr>
        <w:t>致：南京医科大学</w:t>
      </w:r>
    </w:p>
    <w:p w14:paraId="0D928127">
      <w:pPr>
        <w:pStyle w:val="33"/>
        <w:spacing w:before="0" w:after="0"/>
        <w:ind w:firstLineChars="200"/>
        <w:rPr>
          <w:rFonts w:ascii="宋体" w:hAnsi="宋体" w:cs="宋体"/>
          <w:color w:val="auto"/>
          <w:kern w:val="2"/>
        </w:rPr>
      </w:pPr>
      <w:r>
        <w:rPr>
          <w:rFonts w:hint="eastAsia" w:ascii="宋体" w:hAnsi="宋体" w:cs="宋体"/>
          <w:color w:val="auto"/>
          <w:kern w:val="2"/>
        </w:rPr>
        <w:t xml:space="preserve">根据贵方的 </w:t>
      </w:r>
      <w:r>
        <w:rPr>
          <w:rFonts w:hint="eastAsia" w:ascii="宋体" w:hAnsi="宋体" w:cs="宋体"/>
          <w:color w:val="auto"/>
          <w:kern w:val="2"/>
          <w:u w:val="single"/>
        </w:rPr>
        <w:t xml:space="preserve">                     </w:t>
      </w:r>
      <w:r>
        <w:rPr>
          <w:rFonts w:hint="eastAsia" w:ascii="宋体" w:hAnsi="宋体" w:cs="宋体"/>
          <w:color w:val="auto"/>
          <w:kern w:val="2"/>
        </w:rPr>
        <w:t>项目（项目编号：     ）招标文件，正式授权下述签字人_____________(姓名)代表我方_____________</w:t>
      </w:r>
      <w:r>
        <w:rPr>
          <w:rFonts w:hint="eastAsia" w:ascii="宋体" w:hAnsi="宋体" w:cs="宋体"/>
          <w:color w:val="auto"/>
          <w:kern w:val="2"/>
          <w:u w:val="single"/>
        </w:rPr>
        <w:t xml:space="preserve">_       </w:t>
      </w:r>
      <w:r>
        <w:rPr>
          <w:rFonts w:hint="eastAsia" w:ascii="宋体" w:hAnsi="宋体" w:cs="宋体"/>
          <w:color w:val="auto"/>
          <w:kern w:val="2"/>
        </w:rPr>
        <w:t>（投标人的名称），全权处理本次项目投标的有关事宜。</w:t>
      </w:r>
    </w:p>
    <w:p w14:paraId="460F8853">
      <w:pPr>
        <w:pStyle w:val="33"/>
        <w:spacing w:before="0" w:after="0"/>
        <w:ind w:firstLineChars="200"/>
        <w:rPr>
          <w:rFonts w:ascii="宋体" w:hAnsi="宋体" w:cs="宋体"/>
          <w:color w:val="auto"/>
          <w:kern w:val="2"/>
        </w:rPr>
      </w:pPr>
      <w:r>
        <w:rPr>
          <w:rFonts w:hint="eastAsia" w:ascii="宋体" w:hAnsi="宋体" w:cs="宋体"/>
          <w:color w:val="auto"/>
          <w:kern w:val="2"/>
        </w:rPr>
        <w:t>据此函，我公司宣布同意如下：</w:t>
      </w:r>
    </w:p>
    <w:p w14:paraId="39C0BABC">
      <w:pPr>
        <w:pStyle w:val="33"/>
        <w:spacing w:before="0" w:after="0"/>
        <w:ind w:firstLineChars="200"/>
        <w:rPr>
          <w:rFonts w:ascii="宋体" w:hAnsi="宋体" w:cs="宋体"/>
          <w:color w:val="auto"/>
          <w:kern w:val="2"/>
        </w:rPr>
      </w:pPr>
      <w:r>
        <w:rPr>
          <w:rFonts w:hint="eastAsia" w:ascii="宋体" w:hAnsi="宋体" w:cs="宋体"/>
          <w:color w:val="auto"/>
          <w:kern w:val="2"/>
        </w:rPr>
        <w:t>1.按招标文件规定的各项要求，向买方提供所需货物与服务。</w:t>
      </w:r>
    </w:p>
    <w:p w14:paraId="5552BA65">
      <w:pPr>
        <w:pStyle w:val="33"/>
        <w:spacing w:before="0" w:after="0"/>
        <w:ind w:firstLineChars="200"/>
        <w:rPr>
          <w:rFonts w:ascii="宋体" w:hAnsi="宋体" w:cs="宋体"/>
          <w:color w:val="auto"/>
          <w:kern w:val="2"/>
        </w:rPr>
      </w:pPr>
      <w:r>
        <w:rPr>
          <w:rFonts w:hint="eastAsia" w:ascii="宋体" w:hAnsi="宋体" w:cs="宋体"/>
          <w:color w:val="auto"/>
          <w:kern w:val="2"/>
        </w:rPr>
        <w:t>2.我们完全理解贵方不一定将合同授予最低报价的投标人。</w:t>
      </w:r>
    </w:p>
    <w:p w14:paraId="01212B60">
      <w:pPr>
        <w:pStyle w:val="33"/>
        <w:spacing w:before="0" w:after="0"/>
        <w:ind w:firstLineChars="200"/>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14:paraId="7113285D">
      <w:pPr>
        <w:pStyle w:val="33"/>
        <w:spacing w:before="0" w:after="0"/>
        <w:ind w:firstLineChars="200"/>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w:t>
      </w:r>
      <w:r>
        <w:rPr>
          <w:rFonts w:hint="eastAsia" w:ascii="宋体" w:hAnsi="宋体" w:cs="宋体"/>
          <w:color w:val="auto"/>
          <w:kern w:val="2"/>
          <w:u w:val="single"/>
        </w:rPr>
        <w:t xml:space="preserve">      </w:t>
      </w:r>
      <w:r>
        <w:rPr>
          <w:rFonts w:hint="eastAsia" w:ascii="宋体" w:hAnsi="宋体" w:cs="宋体"/>
          <w:color w:val="auto"/>
          <w:kern w:val="2"/>
        </w:rPr>
        <w:t>天期满之前均具有约束力。</w:t>
      </w:r>
    </w:p>
    <w:p w14:paraId="41DEFAD3">
      <w:pPr>
        <w:pStyle w:val="33"/>
        <w:spacing w:before="0" w:after="0"/>
        <w:ind w:firstLineChars="200"/>
        <w:rPr>
          <w:rFonts w:ascii="宋体" w:hAnsi="宋体" w:cs="宋体"/>
          <w:color w:val="auto"/>
          <w:kern w:val="2"/>
        </w:rPr>
      </w:pPr>
      <w:r>
        <w:rPr>
          <w:rFonts w:hint="eastAsia" w:ascii="宋体" w:hAnsi="宋体" w:cs="宋体"/>
          <w:color w:val="auto"/>
          <w:kern w:val="2"/>
        </w:rPr>
        <w:t>5.如果在开标后规定的投标有效期内撤回投标或中标后拒绝签订合同，我们的投标保证金可不予退还。</w:t>
      </w:r>
    </w:p>
    <w:p w14:paraId="30B49A2D">
      <w:pPr>
        <w:pStyle w:val="33"/>
        <w:spacing w:before="0" w:after="0"/>
        <w:ind w:firstLineChars="200"/>
        <w:rPr>
          <w:rFonts w:ascii="宋体" w:hAnsi="宋体" w:cs="宋体"/>
          <w:color w:val="auto"/>
          <w:kern w:val="2"/>
        </w:rPr>
      </w:pPr>
      <w:r>
        <w:rPr>
          <w:rFonts w:hint="eastAsia" w:ascii="宋体" w:hAnsi="宋体" w:cs="宋体"/>
          <w:color w:val="auto"/>
          <w:kern w:val="2"/>
        </w:rPr>
        <w:t>6.同意向贵方提供贵方可能另外要求的与投标有关的任何证据或资料，并保证我方已提供和将要提供的文件是真实的、准确的。</w:t>
      </w:r>
    </w:p>
    <w:p w14:paraId="0E217505">
      <w:pPr>
        <w:pStyle w:val="33"/>
        <w:spacing w:before="0" w:after="0"/>
        <w:ind w:firstLineChars="200"/>
        <w:rPr>
          <w:rFonts w:ascii="宋体" w:hAnsi="宋体" w:cs="宋体"/>
          <w:color w:val="auto"/>
          <w:kern w:val="2"/>
        </w:rPr>
      </w:pPr>
      <w:r>
        <w:rPr>
          <w:rFonts w:hint="eastAsia" w:ascii="宋体" w:hAnsi="宋体" w:cs="宋体"/>
          <w:color w:val="auto"/>
          <w:kern w:val="2"/>
        </w:rPr>
        <w:t>7.一旦我方中标,我方将根据招标文件的规定，严格履行合同的责任和义务,并保证在招标文件规定的时间完成项目，交付买方验收、使用。</w:t>
      </w:r>
    </w:p>
    <w:p w14:paraId="5B2D5A8D">
      <w:pPr>
        <w:pStyle w:val="33"/>
        <w:spacing w:before="0" w:after="0"/>
        <w:ind w:left="425" w:firstLine="120" w:firstLineChars="50"/>
        <w:rPr>
          <w:rFonts w:ascii="宋体" w:hAnsi="宋体" w:cs="宋体"/>
          <w:color w:val="auto"/>
          <w:kern w:val="2"/>
        </w:rPr>
      </w:pPr>
      <w:r>
        <w:rPr>
          <w:rFonts w:hint="eastAsia" w:ascii="宋体" w:hAnsi="宋体" w:cs="宋体"/>
          <w:color w:val="auto"/>
          <w:kern w:val="2"/>
        </w:rPr>
        <w:t>8.与本投标有关的正式通讯地址为：</w:t>
      </w:r>
    </w:p>
    <w:p w14:paraId="09CDB6DD">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地址：</w:t>
      </w:r>
    </w:p>
    <w:p w14:paraId="171724D0">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邮编：                           电话：</w:t>
      </w:r>
    </w:p>
    <w:p w14:paraId="1AA8FB00">
      <w:pPr>
        <w:pStyle w:val="33"/>
        <w:spacing w:before="0" w:after="0"/>
        <w:ind w:left="440" w:leftChars="200" w:firstLine="482" w:firstLineChars="200"/>
        <w:rPr>
          <w:rFonts w:ascii="宋体" w:hAnsi="宋体" w:cs="宋体"/>
          <w:b/>
          <w:color w:val="auto"/>
          <w:kern w:val="2"/>
          <w:u w:val="single"/>
        </w:rPr>
      </w:pPr>
    </w:p>
    <w:p w14:paraId="541C30E2">
      <w:pPr>
        <w:pStyle w:val="33"/>
        <w:spacing w:before="0" w:after="0"/>
        <w:ind w:left="440" w:leftChars="200" w:firstLine="482" w:firstLineChars="200"/>
        <w:rPr>
          <w:rFonts w:ascii="宋体" w:hAnsi="宋体" w:cs="宋体"/>
          <w:b/>
          <w:color w:val="auto"/>
          <w:kern w:val="2"/>
          <w:u w:val="single"/>
        </w:rPr>
      </w:pPr>
    </w:p>
    <w:p w14:paraId="1C63E482">
      <w:pPr>
        <w:pStyle w:val="33"/>
        <w:spacing w:before="0" w:after="0"/>
        <w:rPr>
          <w:rFonts w:ascii="宋体" w:hAnsi="宋体" w:cs="宋体"/>
          <w:color w:val="auto"/>
          <w:kern w:val="2"/>
        </w:rPr>
      </w:pPr>
      <w:r>
        <w:rPr>
          <w:rFonts w:hint="eastAsia" w:ascii="宋体" w:hAnsi="宋体" w:cs="宋体"/>
          <w:color w:val="auto"/>
          <w:kern w:val="2"/>
        </w:rPr>
        <w:t xml:space="preserve">投标人授权代表（签字）：  </w:t>
      </w:r>
    </w:p>
    <w:p w14:paraId="7D29D0CB">
      <w:pPr>
        <w:pStyle w:val="33"/>
        <w:spacing w:before="0" w:after="0"/>
        <w:rPr>
          <w:rFonts w:ascii="宋体" w:hAnsi="宋体" w:cs="宋体"/>
          <w:color w:val="auto"/>
          <w:kern w:val="2"/>
        </w:rPr>
      </w:pPr>
      <w:r>
        <w:rPr>
          <w:rFonts w:hint="eastAsia" w:ascii="宋体" w:hAnsi="宋体" w:cs="宋体"/>
          <w:color w:val="auto"/>
          <w:kern w:val="2"/>
        </w:rPr>
        <w:t>法定代表人（签字）：</w:t>
      </w:r>
    </w:p>
    <w:p w14:paraId="3CC56A9B">
      <w:pPr>
        <w:pStyle w:val="33"/>
        <w:spacing w:before="0" w:after="0"/>
        <w:rPr>
          <w:rFonts w:ascii="宋体" w:hAnsi="宋体" w:cs="宋体"/>
          <w:color w:val="auto"/>
          <w:kern w:val="2"/>
        </w:rPr>
      </w:pPr>
      <w:r>
        <w:rPr>
          <w:rFonts w:hint="eastAsia" w:ascii="宋体" w:hAnsi="宋体" w:cs="宋体"/>
          <w:color w:val="auto"/>
          <w:kern w:val="2"/>
        </w:rPr>
        <w:t>投标人名称（公章）：</w:t>
      </w:r>
    </w:p>
    <w:p w14:paraId="41F153F8">
      <w:pPr>
        <w:pStyle w:val="33"/>
        <w:spacing w:before="0" w:after="0"/>
        <w:ind w:left="440" w:leftChars="200" w:firstLine="3000" w:firstLineChars="1250"/>
        <w:rPr>
          <w:rFonts w:ascii="宋体" w:hAnsi="宋体" w:cs="宋体"/>
          <w:color w:val="auto"/>
          <w:kern w:val="2"/>
        </w:rPr>
      </w:pPr>
    </w:p>
    <w:p w14:paraId="7E72C971">
      <w:pPr>
        <w:pStyle w:val="33"/>
        <w:spacing w:before="0" w:after="0"/>
        <w:jc w:val="right"/>
        <w:rPr>
          <w:rFonts w:ascii="宋体" w:hAnsi="宋体" w:cs="宋体"/>
          <w:color w:val="auto"/>
          <w:kern w:val="2"/>
        </w:rPr>
      </w:pPr>
      <w:r>
        <w:rPr>
          <w:rFonts w:hint="eastAsia" w:ascii="宋体" w:hAnsi="宋体" w:cs="宋体"/>
          <w:color w:val="auto"/>
          <w:kern w:val="2"/>
        </w:rPr>
        <w:t>日期：    年  月  日</w:t>
      </w:r>
    </w:p>
    <w:p w14:paraId="76BC9BC4">
      <w:pPr>
        <w:pStyle w:val="33"/>
        <w:ind w:firstLine="0"/>
        <w:jc w:val="both"/>
        <w:rPr>
          <w:rFonts w:ascii="宋体" w:hAnsi="宋体" w:cs="宋体"/>
          <w:color w:val="auto"/>
        </w:rPr>
      </w:pPr>
      <w:r>
        <w:rPr>
          <w:rFonts w:hint="eastAsia" w:ascii="宋体" w:hAnsi="宋体" w:cs="宋体"/>
          <w:b/>
          <w:bCs/>
          <w:color w:val="auto"/>
        </w:rPr>
        <w:t>附件二</w:t>
      </w:r>
    </w:p>
    <w:p w14:paraId="1C31D898">
      <w:pPr>
        <w:pStyle w:val="33"/>
        <w:ind w:firstLine="0"/>
        <w:jc w:val="center"/>
        <w:rPr>
          <w:rFonts w:ascii="宋体" w:hAnsi="宋体" w:cs="宋体"/>
          <w:b/>
          <w:color w:val="auto"/>
          <w:sz w:val="28"/>
          <w:szCs w:val="28"/>
        </w:rPr>
      </w:pPr>
      <w:bookmarkStart w:id="61" w:name="_Toc517190895"/>
      <w:r>
        <w:rPr>
          <w:rFonts w:hint="eastAsia" w:ascii="宋体" w:hAnsi="宋体" w:cs="宋体"/>
          <w:b/>
          <w:color w:val="auto"/>
          <w:sz w:val="28"/>
          <w:szCs w:val="28"/>
        </w:rPr>
        <w:t>授权书</w:t>
      </w:r>
      <w:bookmarkEnd w:id="61"/>
    </w:p>
    <w:p w14:paraId="569470C6">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（投标人名称）授权</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（被授权人的姓名）为我方就 </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）采购活动的合法代理人，以本公司名义全权处理一切与该项目采购投标、合同签订等有关的事务。</w:t>
      </w:r>
    </w:p>
    <w:p w14:paraId="27F73040">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14:paraId="1E53DF8D">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代理人（被授权人）：                         </w:t>
      </w:r>
    </w:p>
    <w:p w14:paraId="23022198">
      <w:pPr>
        <w:pStyle w:val="49"/>
        <w:spacing w:line="360" w:lineRule="auto"/>
        <w:ind w:firstLine="480"/>
        <w:rPr>
          <w:rFonts w:ascii="宋体" w:hAnsi="宋体" w:cs="宋体"/>
          <w:color w:val="auto"/>
          <w:sz w:val="24"/>
          <w:szCs w:val="24"/>
          <w:u w:val="single"/>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身份证号码：                               </w:t>
      </w:r>
    </w:p>
    <w:p w14:paraId="3C67D246">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联系电话：（手机）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D2A7561">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单位名称：________________________________</w:t>
      </w:r>
    </w:p>
    <w:p w14:paraId="266A46E4">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单位地址：________________________________</w:t>
      </w:r>
    </w:p>
    <w:p w14:paraId="28EC9B41">
      <w:pPr>
        <w:pStyle w:val="49"/>
        <w:spacing w:line="360" w:lineRule="auto"/>
        <w:ind w:firstLine="480"/>
        <w:jc w:val="right"/>
        <w:rPr>
          <w:rFonts w:ascii="宋体" w:hAnsi="宋体" w:cs="宋体"/>
          <w:color w:val="auto"/>
          <w:sz w:val="24"/>
          <w:szCs w:val="24"/>
        </w:rPr>
      </w:pPr>
    </w:p>
    <w:p w14:paraId="0FE7C7DA">
      <w:pPr>
        <w:pStyle w:val="49"/>
        <w:spacing w:line="360" w:lineRule="auto"/>
        <w:ind w:firstLine="480"/>
        <w:rPr>
          <w:rFonts w:ascii="宋体" w:hAnsi="宋体" w:cs="宋体"/>
          <w:color w:val="auto"/>
          <w:sz w:val="24"/>
          <w:szCs w:val="24"/>
        </w:rPr>
      </w:pPr>
    </w:p>
    <w:p w14:paraId="5635A1E0">
      <w:pPr>
        <w:pStyle w:val="49"/>
        <w:spacing w:line="360" w:lineRule="auto"/>
        <w:ind w:firstLine="480"/>
        <w:rPr>
          <w:rFonts w:ascii="宋体" w:hAnsi="宋体" w:cs="宋体"/>
          <w:color w:val="auto"/>
          <w:sz w:val="24"/>
          <w:szCs w:val="24"/>
        </w:rPr>
      </w:pPr>
    </w:p>
    <w:p w14:paraId="2EF178AF">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法定代表人（签字）：</w:t>
      </w:r>
    </w:p>
    <w:p w14:paraId="7FE40E10">
      <w:pPr>
        <w:pStyle w:val="49"/>
        <w:spacing w:line="360" w:lineRule="auto"/>
        <w:ind w:firstLine="480"/>
        <w:rPr>
          <w:rFonts w:ascii="宋体" w:hAnsi="宋体" w:cs="宋体"/>
          <w:color w:val="auto"/>
          <w:sz w:val="24"/>
          <w:szCs w:val="24"/>
        </w:rPr>
      </w:pPr>
    </w:p>
    <w:p w14:paraId="1D568FBB">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投标人名称（加盖公章）：</w:t>
      </w:r>
    </w:p>
    <w:p w14:paraId="17578DAA">
      <w:pPr>
        <w:pStyle w:val="49"/>
        <w:spacing w:line="360" w:lineRule="auto"/>
        <w:ind w:firstLine="480"/>
        <w:jc w:val="right"/>
        <w:rPr>
          <w:rFonts w:ascii="宋体" w:hAnsi="宋体" w:cs="宋体"/>
          <w:color w:val="auto"/>
          <w:sz w:val="24"/>
          <w:szCs w:val="24"/>
        </w:rPr>
      </w:pPr>
    </w:p>
    <w:p w14:paraId="57914C10">
      <w:pPr>
        <w:pStyle w:val="49"/>
        <w:spacing w:line="360" w:lineRule="auto"/>
        <w:ind w:firstLine="0" w:firstLineChars="0"/>
        <w:rPr>
          <w:rFonts w:ascii="宋体" w:hAnsi="宋体" w:cs="宋体"/>
          <w:color w:val="auto"/>
          <w:sz w:val="24"/>
          <w:szCs w:val="24"/>
        </w:rPr>
      </w:pPr>
    </w:p>
    <w:p w14:paraId="57A811CB">
      <w:pPr>
        <w:pStyle w:val="49"/>
        <w:spacing w:line="360" w:lineRule="auto"/>
        <w:ind w:firstLine="480"/>
        <w:jc w:val="right"/>
        <w:rPr>
          <w:rFonts w:ascii="宋体" w:hAnsi="宋体" w:cs="宋体"/>
          <w:color w:val="auto"/>
          <w:sz w:val="24"/>
          <w:szCs w:val="24"/>
        </w:rPr>
      </w:pPr>
    </w:p>
    <w:p w14:paraId="650C70F4">
      <w:pPr>
        <w:pStyle w:val="49"/>
        <w:spacing w:line="360" w:lineRule="auto"/>
        <w:ind w:firstLine="480"/>
        <w:jc w:val="right"/>
        <w:rPr>
          <w:rFonts w:ascii="宋体" w:hAnsi="宋体" w:cs="宋体"/>
          <w:color w:val="auto"/>
          <w:sz w:val="24"/>
          <w:szCs w:val="24"/>
        </w:rPr>
      </w:pPr>
    </w:p>
    <w:p w14:paraId="091D473D">
      <w:pPr>
        <w:pStyle w:val="49"/>
        <w:spacing w:line="360" w:lineRule="auto"/>
        <w:ind w:firstLine="480"/>
        <w:jc w:val="right"/>
        <w:rPr>
          <w:rFonts w:ascii="宋体" w:hAnsi="宋体" w:cs="宋体"/>
          <w:color w:val="auto"/>
          <w:sz w:val="24"/>
          <w:szCs w:val="24"/>
        </w:rPr>
      </w:pPr>
      <w:r>
        <w:rPr>
          <w:rFonts w:hint="eastAsia" w:ascii="宋体" w:hAnsi="宋体" w:cs="宋体"/>
          <w:color w:val="auto"/>
          <w:sz w:val="24"/>
          <w:szCs w:val="24"/>
        </w:rPr>
        <w:t>日期：     年   月    日</w:t>
      </w:r>
    </w:p>
    <w:p w14:paraId="4710B20B">
      <w:pPr>
        <w:pStyle w:val="6"/>
        <w:spacing w:line="360" w:lineRule="auto"/>
        <w:rPr>
          <w:rFonts w:ascii="宋体" w:hAnsi="宋体" w:eastAsia="宋体" w:cs="宋体"/>
          <w:color w:val="auto"/>
          <w:sz w:val="24"/>
          <w:szCs w:val="24"/>
        </w:rPr>
      </w:pPr>
      <w:bookmarkStart w:id="62" w:name="_格式3__银行出具的资信证明"/>
      <w:bookmarkEnd w:id="62"/>
      <w:bookmarkStart w:id="63" w:name="_Hlt26671380"/>
      <w:bookmarkEnd w:id="63"/>
      <w:bookmarkStart w:id="64" w:name="_Hlt26955070"/>
      <w:bookmarkEnd w:id="64"/>
    </w:p>
    <w:p w14:paraId="563C0D14">
      <w:pPr>
        <w:pStyle w:val="4"/>
        <w:spacing w:line="360" w:lineRule="auto"/>
        <w:rPr>
          <w:rFonts w:ascii="宋体" w:hAnsi="宋体" w:eastAsia="宋体" w:cs="宋体"/>
          <w:color w:val="auto"/>
          <w:sz w:val="24"/>
          <w:szCs w:val="24"/>
        </w:rPr>
      </w:pPr>
    </w:p>
    <w:p w14:paraId="3C8DD5E8">
      <w:pPr>
        <w:rPr>
          <w:rFonts w:ascii="宋体" w:hAnsi="宋体" w:eastAsia="宋体" w:cs="宋体"/>
          <w:color w:val="auto"/>
          <w:sz w:val="24"/>
          <w:szCs w:val="24"/>
        </w:rPr>
      </w:pPr>
    </w:p>
    <w:p w14:paraId="086382FD">
      <w:pPr>
        <w:pStyle w:val="12"/>
        <w:ind w:left="1540" w:right="1540"/>
        <w:rPr>
          <w:rFonts w:ascii="宋体" w:hAnsi="宋体" w:eastAsia="宋体" w:cs="宋体"/>
          <w:color w:val="auto"/>
          <w:sz w:val="24"/>
          <w:szCs w:val="24"/>
        </w:rPr>
      </w:pPr>
    </w:p>
    <w:p w14:paraId="391E0201">
      <w:pPr>
        <w:pStyle w:val="12"/>
        <w:ind w:left="1540" w:right="1540"/>
        <w:rPr>
          <w:rFonts w:ascii="宋体" w:hAnsi="宋体" w:eastAsia="宋体" w:cs="宋体"/>
          <w:color w:val="auto"/>
          <w:sz w:val="24"/>
          <w:szCs w:val="24"/>
        </w:rPr>
      </w:pPr>
    </w:p>
    <w:p w14:paraId="28FC50E1">
      <w:pPr>
        <w:pStyle w:val="12"/>
        <w:ind w:left="1540" w:right="1540"/>
        <w:rPr>
          <w:rFonts w:ascii="宋体" w:hAnsi="宋体" w:eastAsia="宋体" w:cs="宋体"/>
          <w:color w:val="auto"/>
          <w:sz w:val="24"/>
          <w:szCs w:val="24"/>
        </w:rPr>
      </w:pPr>
    </w:p>
    <w:p w14:paraId="41ED7484">
      <w:pPr>
        <w:pStyle w:val="12"/>
        <w:spacing w:after="0"/>
        <w:ind w:left="0" w:leftChars="0" w:right="0" w:rightChars="0"/>
        <w:rPr>
          <w:rFonts w:ascii="宋体" w:hAnsi="宋体" w:eastAsia="宋体" w:cs="宋体"/>
          <w:b/>
          <w:bCs/>
          <w:color w:val="auto"/>
          <w:sz w:val="24"/>
          <w:szCs w:val="24"/>
        </w:rPr>
      </w:pPr>
      <w:r>
        <w:rPr>
          <w:rFonts w:hint="eastAsia" w:ascii="宋体" w:hAnsi="宋体" w:eastAsia="宋体" w:cs="宋体"/>
          <w:b/>
          <w:bCs/>
          <w:color w:val="auto"/>
          <w:sz w:val="24"/>
          <w:szCs w:val="24"/>
        </w:rPr>
        <w:t>附件三</w:t>
      </w:r>
      <w:bookmarkStart w:id="65" w:name="_Toc517190896"/>
    </w:p>
    <w:p w14:paraId="59EA3347">
      <w:pPr>
        <w:pStyle w:val="12"/>
        <w:spacing w:after="0"/>
        <w:ind w:left="0" w:leftChars="0" w:right="0" w:rightChars="0"/>
        <w:jc w:val="center"/>
        <w:rPr>
          <w:rFonts w:ascii="宋体" w:hAnsi="宋体" w:eastAsia="宋体" w:cs="宋体"/>
          <w:b/>
          <w:color w:val="auto"/>
          <w:sz w:val="28"/>
          <w:szCs w:val="28"/>
        </w:rPr>
      </w:pPr>
      <w:r>
        <w:rPr>
          <w:rFonts w:hint="eastAsia" w:ascii="宋体" w:hAnsi="宋体" w:eastAsia="宋体" w:cs="宋体"/>
          <w:b/>
          <w:color w:val="auto"/>
          <w:sz w:val="28"/>
          <w:szCs w:val="28"/>
        </w:rPr>
        <w:t>开标一览表</w:t>
      </w:r>
      <w:bookmarkEnd w:id="65"/>
    </w:p>
    <w:p w14:paraId="5785B5FA">
      <w:pPr>
        <w:spacing w:line="360" w:lineRule="auto"/>
        <w:ind w:firstLine="480"/>
        <w:rPr>
          <w:rFonts w:ascii="宋体" w:hAnsi="宋体" w:eastAsia="宋体" w:cs="宋体"/>
          <w:color w:val="auto"/>
          <w:sz w:val="24"/>
          <w:szCs w:val="24"/>
        </w:rPr>
      </w:pPr>
    </w:p>
    <w:p w14:paraId="105B4E43">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23E5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60A3BC7F">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投标总报价</w:t>
            </w:r>
          </w:p>
        </w:tc>
        <w:tc>
          <w:tcPr>
            <w:tcW w:w="5883" w:type="dxa"/>
            <w:vAlign w:val="center"/>
          </w:tcPr>
          <w:p w14:paraId="108B352E">
            <w:pPr>
              <w:pStyle w:val="9"/>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大写：人民币</w:t>
            </w:r>
          </w:p>
          <w:p w14:paraId="70BD924E">
            <w:pPr>
              <w:pStyle w:val="9"/>
              <w:adjustRightInd w:val="0"/>
              <w:snapToGrid w:val="0"/>
              <w:spacing w:line="360" w:lineRule="auto"/>
              <w:rPr>
                <w:rFonts w:ascii="宋体" w:hAnsi="宋体" w:eastAsia="宋体" w:cs="宋体"/>
                <w:color w:val="auto"/>
                <w:sz w:val="24"/>
                <w:szCs w:val="24"/>
              </w:rPr>
            </w:pPr>
          </w:p>
          <w:p w14:paraId="55400F06">
            <w:pPr>
              <w:pStyle w:val="33"/>
              <w:spacing w:before="0" w:after="0"/>
              <w:ind w:firstLine="0"/>
              <w:rPr>
                <w:rFonts w:ascii="宋体" w:hAnsi="宋体" w:cs="宋体"/>
                <w:color w:val="auto"/>
                <w:kern w:val="2"/>
              </w:rPr>
            </w:pPr>
            <w:r>
              <w:rPr>
                <w:rFonts w:hint="eastAsia" w:ascii="宋体" w:hAnsi="宋体" w:cs="宋体"/>
                <w:color w:val="auto"/>
              </w:rPr>
              <w:t xml:space="preserve">小写：¥                             </w:t>
            </w:r>
          </w:p>
        </w:tc>
      </w:tr>
      <w:tr w14:paraId="2AC8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22036D19">
            <w:pPr>
              <w:pStyle w:val="9"/>
              <w:adjustRightInd w:val="0"/>
              <w:snapToGrid w:val="0"/>
              <w:spacing w:line="360" w:lineRule="auto"/>
              <w:ind w:firstLine="241" w:firstLineChars="10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货物品牌及型号</w:t>
            </w:r>
          </w:p>
        </w:tc>
        <w:tc>
          <w:tcPr>
            <w:tcW w:w="5883" w:type="dxa"/>
            <w:vAlign w:val="center"/>
          </w:tcPr>
          <w:p w14:paraId="2D8AFEA1">
            <w:pPr>
              <w:pStyle w:val="9"/>
              <w:adjustRightInd w:val="0"/>
              <w:snapToGrid w:val="0"/>
              <w:spacing w:line="360" w:lineRule="auto"/>
              <w:ind w:firstLine="1560" w:firstLineChars="650"/>
              <w:rPr>
                <w:rFonts w:ascii="宋体" w:hAnsi="宋体" w:eastAsia="宋体" w:cs="宋体"/>
                <w:color w:val="auto"/>
                <w:sz w:val="24"/>
                <w:szCs w:val="24"/>
              </w:rPr>
            </w:pPr>
          </w:p>
        </w:tc>
      </w:tr>
      <w:tr w14:paraId="6876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1791B323">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质保期限</w:t>
            </w:r>
          </w:p>
        </w:tc>
        <w:tc>
          <w:tcPr>
            <w:tcW w:w="5883" w:type="dxa"/>
            <w:vAlign w:val="center"/>
          </w:tcPr>
          <w:p w14:paraId="19FA9D61">
            <w:pPr>
              <w:pStyle w:val="9"/>
              <w:adjustRightInd w:val="0"/>
              <w:snapToGrid w:val="0"/>
              <w:spacing w:line="360" w:lineRule="auto"/>
              <w:ind w:firstLine="1560" w:firstLineChars="650"/>
              <w:rPr>
                <w:rFonts w:ascii="宋体" w:hAnsi="宋体" w:eastAsia="宋体" w:cs="宋体"/>
                <w:color w:val="auto"/>
                <w:sz w:val="24"/>
                <w:szCs w:val="24"/>
              </w:rPr>
            </w:pPr>
          </w:p>
        </w:tc>
      </w:tr>
      <w:tr w14:paraId="011D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085AD38D">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付款方式</w:t>
            </w:r>
          </w:p>
        </w:tc>
        <w:tc>
          <w:tcPr>
            <w:tcW w:w="5883" w:type="dxa"/>
            <w:vAlign w:val="center"/>
          </w:tcPr>
          <w:p w14:paraId="49873BED">
            <w:pPr>
              <w:pStyle w:val="9"/>
              <w:adjustRightInd w:val="0"/>
              <w:snapToGrid w:val="0"/>
              <w:spacing w:line="360" w:lineRule="auto"/>
              <w:ind w:firstLine="1560" w:firstLineChars="650"/>
              <w:rPr>
                <w:rFonts w:ascii="宋体" w:hAnsi="宋体" w:eastAsia="宋体" w:cs="宋体"/>
                <w:color w:val="auto"/>
                <w:sz w:val="24"/>
                <w:szCs w:val="24"/>
              </w:rPr>
            </w:pPr>
          </w:p>
        </w:tc>
      </w:tr>
      <w:tr w14:paraId="7B7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1C6FA6DA">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其他</w:t>
            </w:r>
          </w:p>
        </w:tc>
        <w:tc>
          <w:tcPr>
            <w:tcW w:w="5883" w:type="dxa"/>
            <w:vAlign w:val="center"/>
          </w:tcPr>
          <w:p w14:paraId="4ED6CE3B">
            <w:pPr>
              <w:pStyle w:val="9"/>
              <w:adjustRightInd w:val="0"/>
              <w:snapToGrid w:val="0"/>
              <w:spacing w:line="360" w:lineRule="auto"/>
              <w:ind w:firstLine="1560" w:firstLineChars="650"/>
              <w:rPr>
                <w:rFonts w:ascii="宋体" w:hAnsi="宋体" w:eastAsia="宋体" w:cs="宋体"/>
                <w:color w:val="auto"/>
                <w:sz w:val="24"/>
                <w:szCs w:val="24"/>
              </w:rPr>
            </w:pPr>
          </w:p>
        </w:tc>
      </w:tr>
    </w:tbl>
    <w:p w14:paraId="7ACBFEDC">
      <w:pPr>
        <w:spacing w:line="360" w:lineRule="auto"/>
        <w:rPr>
          <w:rFonts w:ascii="宋体" w:hAnsi="宋体" w:eastAsia="宋体" w:cs="宋体"/>
          <w:color w:val="auto"/>
          <w:sz w:val="24"/>
          <w:szCs w:val="24"/>
        </w:rPr>
      </w:pPr>
    </w:p>
    <w:p w14:paraId="6C5CAC88">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4F97BFFB">
      <w:pPr>
        <w:pStyle w:val="12"/>
        <w:ind w:left="1540" w:right="1540"/>
        <w:rPr>
          <w:color w:val="auto"/>
        </w:rPr>
      </w:pPr>
    </w:p>
    <w:p w14:paraId="01FDEDEB">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60C74015">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736E0BC4">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填写说明：</w:t>
      </w:r>
    </w:p>
    <w:p w14:paraId="78731CCE">
      <w:pPr>
        <w:spacing w:line="360" w:lineRule="auto"/>
        <w:ind w:firstLine="480"/>
        <w:rPr>
          <w:rFonts w:ascii="宋体" w:hAnsi="宋体" w:eastAsia="宋体" w:cs="宋体"/>
          <w:i/>
          <w:color w:val="auto"/>
          <w:sz w:val="24"/>
          <w:szCs w:val="24"/>
          <w:u w:val="single"/>
        </w:rPr>
      </w:pPr>
      <w:r>
        <w:rPr>
          <w:rFonts w:hint="eastAsia" w:ascii="宋体" w:hAnsi="宋体" w:eastAsia="宋体" w:cs="宋体"/>
          <w:i/>
          <w:color w:val="auto"/>
          <w:sz w:val="24"/>
          <w:szCs w:val="24"/>
        </w:rPr>
        <w:t>1、</w:t>
      </w:r>
      <w:r>
        <w:rPr>
          <w:rFonts w:hint="eastAsia" w:ascii="宋体" w:hAnsi="宋体" w:eastAsia="宋体" w:cs="宋体"/>
          <w:b/>
          <w:bCs/>
          <w:i/>
          <w:color w:val="auto"/>
          <w:sz w:val="24"/>
          <w:szCs w:val="24"/>
          <w:u w:val="single"/>
        </w:rPr>
        <w:t>开标一览表必须单独密封在信封中，在投标截止时间前与投标文件分别递交，否则视为无效投标。</w:t>
      </w:r>
    </w:p>
    <w:p w14:paraId="1D2FB757">
      <w:pPr>
        <w:spacing w:line="360" w:lineRule="auto"/>
        <w:ind w:firstLine="480" w:firstLineChars="200"/>
        <w:rPr>
          <w:rFonts w:ascii="宋体" w:hAnsi="宋体" w:eastAsia="宋体" w:cs="宋体"/>
          <w:bCs/>
          <w:color w:val="auto"/>
          <w:sz w:val="24"/>
          <w:szCs w:val="24"/>
        </w:rPr>
      </w:pPr>
      <w:r>
        <w:rPr>
          <w:rFonts w:hint="eastAsia" w:ascii="宋体" w:hAnsi="宋体" w:eastAsia="宋体" w:cs="宋体"/>
          <w:i/>
          <w:color w:val="auto"/>
          <w:sz w:val="24"/>
          <w:szCs w:val="24"/>
        </w:rPr>
        <w:t>2、</w:t>
      </w:r>
      <w:r>
        <w:rPr>
          <w:rFonts w:hint="eastAsia" w:ascii="宋体" w:hAnsi="宋体" w:eastAsia="宋体" w:cs="宋体"/>
          <w:b/>
          <w:i/>
          <w:iCs/>
          <w:color w:val="auto"/>
          <w:sz w:val="24"/>
          <w:szCs w:val="24"/>
          <w:u w:val="single"/>
        </w:rPr>
        <w:t>开标一览表必须加盖投标单位公章（复印件无效）</w:t>
      </w:r>
      <w:r>
        <w:rPr>
          <w:rFonts w:hint="eastAsia" w:ascii="宋体" w:hAnsi="宋体" w:eastAsia="宋体" w:cs="宋体"/>
          <w:b/>
          <w:bCs/>
          <w:i/>
          <w:color w:val="auto"/>
          <w:sz w:val="24"/>
          <w:szCs w:val="24"/>
        </w:rPr>
        <w:t>。</w:t>
      </w:r>
    </w:p>
    <w:p w14:paraId="62DBF958">
      <w:pPr>
        <w:spacing w:line="360" w:lineRule="auto"/>
        <w:rPr>
          <w:rFonts w:ascii="宋体" w:hAnsi="宋体" w:eastAsia="宋体" w:cs="宋体"/>
          <w:bCs/>
          <w:color w:val="auto"/>
          <w:sz w:val="24"/>
          <w:szCs w:val="24"/>
        </w:rPr>
      </w:pPr>
      <w:r>
        <w:rPr>
          <w:rFonts w:hint="eastAsia" w:ascii="宋体" w:hAnsi="宋体" w:eastAsia="宋体" w:cs="宋体"/>
          <w:color w:val="auto"/>
          <w:sz w:val="24"/>
          <w:szCs w:val="24"/>
        </w:rPr>
        <w:t xml:space="preserve">    3.</w:t>
      </w:r>
      <w:r>
        <w:rPr>
          <w:rFonts w:hint="eastAsia" w:ascii="宋体" w:hAnsi="宋体" w:eastAsia="宋体" w:cs="宋体"/>
          <w:b/>
          <w:bCs/>
          <w:i/>
          <w:iCs/>
          <w:color w:val="auto"/>
          <w:sz w:val="24"/>
          <w:szCs w:val="24"/>
          <w:u w:val="single"/>
        </w:rPr>
        <w:t>如有分包，投标人投任何一个包的标的，都需单独填写开标一览表</w:t>
      </w:r>
      <w:r>
        <w:rPr>
          <w:rFonts w:hint="eastAsia" w:ascii="宋体" w:hAnsi="宋体" w:eastAsia="宋体" w:cs="宋体"/>
          <w:b/>
          <w:bCs/>
          <w:color w:val="auto"/>
          <w:sz w:val="24"/>
          <w:szCs w:val="24"/>
        </w:rPr>
        <w:t>。</w:t>
      </w:r>
    </w:p>
    <w:p w14:paraId="49133866">
      <w:pPr>
        <w:spacing w:line="360" w:lineRule="auto"/>
        <w:rPr>
          <w:rFonts w:ascii="宋体" w:hAnsi="宋体" w:eastAsia="宋体" w:cs="宋体"/>
          <w:b/>
          <w:bCs/>
          <w:color w:val="auto"/>
          <w:sz w:val="24"/>
          <w:szCs w:val="24"/>
        </w:rPr>
      </w:pPr>
    </w:p>
    <w:p w14:paraId="3430E4B8">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附件四</w:t>
      </w:r>
    </w:p>
    <w:p w14:paraId="380C69EA">
      <w:pPr>
        <w:pStyle w:val="33"/>
        <w:ind w:firstLine="0"/>
        <w:jc w:val="center"/>
        <w:rPr>
          <w:rFonts w:ascii="宋体" w:hAnsi="宋体" w:cs="宋体"/>
          <w:b/>
          <w:color w:val="auto"/>
          <w:sz w:val="28"/>
          <w:szCs w:val="28"/>
        </w:rPr>
      </w:pPr>
      <w:r>
        <w:rPr>
          <w:rFonts w:hint="eastAsia" w:ascii="宋体" w:hAnsi="宋体" w:cs="宋体"/>
          <w:b/>
          <w:color w:val="auto"/>
          <w:sz w:val="28"/>
          <w:szCs w:val="28"/>
        </w:rPr>
        <w:t>投标产品配置及分项报价表</w:t>
      </w:r>
    </w:p>
    <w:p w14:paraId="7EF86E2D">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1829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6F373003">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货物名称及规格、型号</w:t>
            </w:r>
          </w:p>
        </w:tc>
        <w:tc>
          <w:tcPr>
            <w:tcW w:w="1567" w:type="dxa"/>
            <w:vAlign w:val="center"/>
          </w:tcPr>
          <w:p w14:paraId="37B29E72">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442" w:type="dxa"/>
            <w:vAlign w:val="center"/>
          </w:tcPr>
          <w:p w14:paraId="07A2A0BC">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2781" w:type="dxa"/>
            <w:vAlign w:val="center"/>
          </w:tcPr>
          <w:p w14:paraId="13726AFB">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总价</w:t>
            </w:r>
          </w:p>
        </w:tc>
      </w:tr>
      <w:tr w14:paraId="110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07443A4">
            <w:pPr>
              <w:spacing w:line="360" w:lineRule="auto"/>
              <w:rPr>
                <w:rFonts w:ascii="宋体" w:hAnsi="宋体" w:eastAsia="宋体" w:cs="宋体"/>
                <w:color w:val="auto"/>
                <w:sz w:val="24"/>
                <w:szCs w:val="24"/>
              </w:rPr>
            </w:pPr>
          </w:p>
        </w:tc>
        <w:tc>
          <w:tcPr>
            <w:tcW w:w="1567" w:type="dxa"/>
            <w:vAlign w:val="center"/>
          </w:tcPr>
          <w:p w14:paraId="54ABCE35">
            <w:pPr>
              <w:spacing w:line="360" w:lineRule="auto"/>
              <w:rPr>
                <w:rFonts w:ascii="宋体" w:hAnsi="宋体" w:eastAsia="宋体" w:cs="宋体"/>
                <w:color w:val="auto"/>
                <w:sz w:val="24"/>
                <w:szCs w:val="24"/>
              </w:rPr>
            </w:pPr>
          </w:p>
        </w:tc>
        <w:tc>
          <w:tcPr>
            <w:tcW w:w="1442" w:type="dxa"/>
            <w:vAlign w:val="center"/>
          </w:tcPr>
          <w:p w14:paraId="185B2D57">
            <w:pPr>
              <w:spacing w:line="360" w:lineRule="auto"/>
              <w:rPr>
                <w:rFonts w:ascii="宋体" w:hAnsi="宋体" w:eastAsia="宋体" w:cs="宋体"/>
                <w:color w:val="auto"/>
                <w:sz w:val="24"/>
                <w:szCs w:val="24"/>
              </w:rPr>
            </w:pPr>
          </w:p>
        </w:tc>
        <w:tc>
          <w:tcPr>
            <w:tcW w:w="2781" w:type="dxa"/>
            <w:vAlign w:val="center"/>
          </w:tcPr>
          <w:p w14:paraId="30B4BCBB">
            <w:pPr>
              <w:spacing w:line="360" w:lineRule="auto"/>
              <w:rPr>
                <w:rFonts w:ascii="宋体" w:hAnsi="宋体" w:eastAsia="宋体" w:cs="宋体"/>
                <w:color w:val="auto"/>
                <w:sz w:val="24"/>
                <w:szCs w:val="24"/>
              </w:rPr>
            </w:pPr>
          </w:p>
        </w:tc>
      </w:tr>
      <w:tr w14:paraId="05FF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769BB085">
            <w:pPr>
              <w:spacing w:line="360" w:lineRule="auto"/>
              <w:rPr>
                <w:rFonts w:ascii="宋体" w:hAnsi="宋体" w:eastAsia="宋体" w:cs="宋体"/>
                <w:color w:val="auto"/>
                <w:sz w:val="24"/>
                <w:szCs w:val="24"/>
              </w:rPr>
            </w:pPr>
          </w:p>
        </w:tc>
        <w:tc>
          <w:tcPr>
            <w:tcW w:w="1567" w:type="dxa"/>
            <w:vAlign w:val="center"/>
          </w:tcPr>
          <w:p w14:paraId="6D299943">
            <w:pPr>
              <w:spacing w:line="360" w:lineRule="auto"/>
              <w:rPr>
                <w:rFonts w:ascii="宋体" w:hAnsi="宋体" w:eastAsia="宋体" w:cs="宋体"/>
                <w:color w:val="auto"/>
                <w:sz w:val="24"/>
                <w:szCs w:val="24"/>
              </w:rPr>
            </w:pPr>
          </w:p>
        </w:tc>
        <w:tc>
          <w:tcPr>
            <w:tcW w:w="1442" w:type="dxa"/>
            <w:vAlign w:val="center"/>
          </w:tcPr>
          <w:p w14:paraId="47C3FD58">
            <w:pPr>
              <w:spacing w:line="360" w:lineRule="auto"/>
              <w:rPr>
                <w:rFonts w:ascii="宋体" w:hAnsi="宋体" w:eastAsia="宋体" w:cs="宋体"/>
                <w:color w:val="auto"/>
                <w:sz w:val="24"/>
                <w:szCs w:val="24"/>
              </w:rPr>
            </w:pPr>
          </w:p>
        </w:tc>
        <w:tc>
          <w:tcPr>
            <w:tcW w:w="2781" w:type="dxa"/>
            <w:vAlign w:val="center"/>
          </w:tcPr>
          <w:p w14:paraId="6394D027">
            <w:pPr>
              <w:spacing w:line="360" w:lineRule="auto"/>
              <w:rPr>
                <w:rFonts w:ascii="宋体" w:hAnsi="宋体" w:eastAsia="宋体" w:cs="宋体"/>
                <w:color w:val="auto"/>
                <w:sz w:val="24"/>
                <w:szCs w:val="24"/>
              </w:rPr>
            </w:pPr>
          </w:p>
        </w:tc>
      </w:tr>
      <w:tr w14:paraId="7A1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1157546">
            <w:pPr>
              <w:spacing w:line="360" w:lineRule="auto"/>
              <w:rPr>
                <w:rFonts w:ascii="宋体" w:hAnsi="宋体" w:eastAsia="宋体" w:cs="宋体"/>
                <w:color w:val="auto"/>
                <w:sz w:val="24"/>
                <w:szCs w:val="24"/>
              </w:rPr>
            </w:pPr>
          </w:p>
        </w:tc>
        <w:tc>
          <w:tcPr>
            <w:tcW w:w="1567" w:type="dxa"/>
            <w:vAlign w:val="center"/>
          </w:tcPr>
          <w:p w14:paraId="7041DF60">
            <w:pPr>
              <w:spacing w:line="360" w:lineRule="auto"/>
              <w:rPr>
                <w:rFonts w:ascii="宋体" w:hAnsi="宋体" w:eastAsia="宋体" w:cs="宋体"/>
                <w:color w:val="auto"/>
                <w:sz w:val="24"/>
                <w:szCs w:val="24"/>
              </w:rPr>
            </w:pPr>
          </w:p>
        </w:tc>
        <w:tc>
          <w:tcPr>
            <w:tcW w:w="1442" w:type="dxa"/>
            <w:vAlign w:val="center"/>
          </w:tcPr>
          <w:p w14:paraId="64E59A46">
            <w:pPr>
              <w:spacing w:line="360" w:lineRule="auto"/>
              <w:rPr>
                <w:rFonts w:ascii="宋体" w:hAnsi="宋体" w:eastAsia="宋体" w:cs="宋体"/>
                <w:color w:val="auto"/>
                <w:sz w:val="24"/>
                <w:szCs w:val="24"/>
              </w:rPr>
            </w:pPr>
          </w:p>
        </w:tc>
        <w:tc>
          <w:tcPr>
            <w:tcW w:w="2781" w:type="dxa"/>
            <w:vAlign w:val="center"/>
          </w:tcPr>
          <w:p w14:paraId="19CE339F">
            <w:pPr>
              <w:spacing w:line="360" w:lineRule="auto"/>
              <w:rPr>
                <w:rFonts w:ascii="宋体" w:hAnsi="宋体" w:eastAsia="宋体" w:cs="宋体"/>
                <w:color w:val="auto"/>
                <w:sz w:val="24"/>
                <w:szCs w:val="24"/>
              </w:rPr>
            </w:pPr>
          </w:p>
        </w:tc>
      </w:tr>
      <w:tr w14:paraId="79D3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3F8D7373">
            <w:pPr>
              <w:spacing w:line="360" w:lineRule="auto"/>
              <w:rPr>
                <w:rFonts w:ascii="宋体" w:hAnsi="宋体" w:eastAsia="宋体" w:cs="宋体"/>
                <w:color w:val="auto"/>
                <w:sz w:val="24"/>
                <w:szCs w:val="24"/>
              </w:rPr>
            </w:pPr>
          </w:p>
        </w:tc>
        <w:tc>
          <w:tcPr>
            <w:tcW w:w="1567" w:type="dxa"/>
            <w:vAlign w:val="center"/>
          </w:tcPr>
          <w:p w14:paraId="606432DF">
            <w:pPr>
              <w:spacing w:line="360" w:lineRule="auto"/>
              <w:rPr>
                <w:rFonts w:ascii="宋体" w:hAnsi="宋体" w:eastAsia="宋体" w:cs="宋体"/>
                <w:color w:val="auto"/>
                <w:sz w:val="24"/>
                <w:szCs w:val="24"/>
              </w:rPr>
            </w:pPr>
          </w:p>
        </w:tc>
        <w:tc>
          <w:tcPr>
            <w:tcW w:w="1442" w:type="dxa"/>
            <w:vAlign w:val="center"/>
          </w:tcPr>
          <w:p w14:paraId="54248280">
            <w:pPr>
              <w:spacing w:line="360" w:lineRule="auto"/>
              <w:rPr>
                <w:rFonts w:ascii="宋体" w:hAnsi="宋体" w:eastAsia="宋体" w:cs="宋体"/>
                <w:color w:val="auto"/>
                <w:sz w:val="24"/>
                <w:szCs w:val="24"/>
              </w:rPr>
            </w:pPr>
          </w:p>
        </w:tc>
        <w:tc>
          <w:tcPr>
            <w:tcW w:w="2781" w:type="dxa"/>
            <w:vAlign w:val="center"/>
          </w:tcPr>
          <w:p w14:paraId="377440E2">
            <w:pPr>
              <w:spacing w:line="360" w:lineRule="auto"/>
              <w:rPr>
                <w:rFonts w:ascii="宋体" w:hAnsi="宋体" w:eastAsia="宋体" w:cs="宋体"/>
                <w:color w:val="auto"/>
                <w:sz w:val="24"/>
                <w:szCs w:val="24"/>
              </w:rPr>
            </w:pPr>
          </w:p>
        </w:tc>
      </w:tr>
      <w:tr w14:paraId="208B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370F7551">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5790" w:type="dxa"/>
            <w:gridSpan w:val="3"/>
          </w:tcPr>
          <w:p w14:paraId="240A419E">
            <w:pPr>
              <w:spacing w:line="360" w:lineRule="auto"/>
              <w:rPr>
                <w:rFonts w:ascii="宋体" w:hAnsi="宋体" w:eastAsia="宋体" w:cs="宋体"/>
                <w:color w:val="auto"/>
                <w:sz w:val="24"/>
                <w:szCs w:val="24"/>
              </w:rPr>
            </w:pPr>
          </w:p>
        </w:tc>
      </w:tr>
    </w:tbl>
    <w:p w14:paraId="436C6505">
      <w:pPr>
        <w:spacing w:line="360" w:lineRule="auto"/>
        <w:rPr>
          <w:rFonts w:ascii="宋体" w:hAnsi="宋体" w:eastAsia="宋体" w:cs="宋体"/>
          <w:color w:val="auto"/>
          <w:sz w:val="24"/>
          <w:szCs w:val="24"/>
        </w:rPr>
      </w:pPr>
    </w:p>
    <w:p w14:paraId="06CB486B">
      <w:pPr>
        <w:spacing w:line="360" w:lineRule="auto"/>
        <w:rPr>
          <w:rFonts w:ascii="宋体" w:hAnsi="宋体" w:eastAsia="宋体" w:cs="宋体"/>
          <w:color w:val="auto"/>
          <w:sz w:val="24"/>
          <w:szCs w:val="24"/>
        </w:rPr>
      </w:pPr>
    </w:p>
    <w:p w14:paraId="0AD16138">
      <w:pPr>
        <w:spacing w:line="360" w:lineRule="auto"/>
        <w:rPr>
          <w:rFonts w:ascii="宋体" w:hAnsi="宋体" w:eastAsia="宋体" w:cs="宋体"/>
          <w:color w:val="auto"/>
          <w:sz w:val="24"/>
          <w:szCs w:val="24"/>
        </w:rPr>
      </w:pPr>
    </w:p>
    <w:p w14:paraId="0D80D559">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6DA6208D">
      <w:pPr>
        <w:pStyle w:val="12"/>
        <w:ind w:left="1540" w:right="1540"/>
        <w:rPr>
          <w:color w:val="auto"/>
        </w:rPr>
      </w:pPr>
    </w:p>
    <w:p w14:paraId="6C63A010">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427A86AB">
      <w:pPr>
        <w:spacing w:line="360" w:lineRule="auto"/>
        <w:jc w:val="center"/>
        <w:rPr>
          <w:rFonts w:ascii="宋体" w:hAnsi="宋体" w:eastAsia="宋体" w:cs="宋体"/>
          <w:color w:val="auto"/>
          <w:sz w:val="24"/>
          <w:szCs w:val="24"/>
        </w:rPr>
      </w:pPr>
    </w:p>
    <w:p w14:paraId="75DEBD0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0D9A642C">
      <w:pPr>
        <w:spacing w:line="360" w:lineRule="auto"/>
        <w:rPr>
          <w:rFonts w:ascii="宋体" w:hAnsi="宋体" w:eastAsia="宋体" w:cs="宋体"/>
          <w:color w:val="auto"/>
          <w:sz w:val="24"/>
          <w:szCs w:val="24"/>
        </w:rPr>
      </w:pPr>
    </w:p>
    <w:p w14:paraId="3003C169">
      <w:pPr>
        <w:spacing w:line="360" w:lineRule="auto"/>
        <w:rPr>
          <w:rFonts w:ascii="宋体" w:hAnsi="宋体" w:eastAsia="宋体" w:cs="宋体"/>
          <w:b/>
          <w:bCs/>
          <w:color w:val="auto"/>
          <w:sz w:val="24"/>
          <w:szCs w:val="24"/>
        </w:rPr>
      </w:pPr>
    </w:p>
    <w:p w14:paraId="6CA3F5F0">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附件五</w:t>
      </w:r>
    </w:p>
    <w:p w14:paraId="6A81CC52">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商务条款响应表</w:t>
      </w:r>
    </w:p>
    <w:p w14:paraId="550CBA09">
      <w:pPr>
        <w:shd w:val="clear" w:color="auto" w:fill="FFFFFF"/>
        <w:spacing w:line="360" w:lineRule="auto"/>
        <w:rPr>
          <w:rFonts w:ascii="Arial" w:hAnsi="Arial" w:cs="Arial"/>
          <w:color w:val="auto"/>
          <w:szCs w:val="21"/>
        </w:rPr>
      </w:pPr>
      <w:r>
        <w:rPr>
          <w:rFonts w:ascii="Arial" w:hAnsi="Arial" w:cs="Arial"/>
          <w:color w:val="auto"/>
          <w:sz w:val="24"/>
        </w:rPr>
        <w:t> </w:t>
      </w: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7500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4657BCE9">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序号</w:t>
            </w:r>
          </w:p>
        </w:tc>
        <w:tc>
          <w:tcPr>
            <w:tcW w:w="1679" w:type="dxa"/>
            <w:tcMar>
              <w:top w:w="0" w:type="dxa"/>
              <w:left w:w="10" w:type="dxa"/>
              <w:bottom w:w="0" w:type="dxa"/>
              <w:right w:w="10" w:type="dxa"/>
            </w:tcMar>
            <w:vAlign w:val="center"/>
          </w:tcPr>
          <w:p w14:paraId="76A63FF2">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招标文件要求</w:t>
            </w:r>
          </w:p>
        </w:tc>
        <w:tc>
          <w:tcPr>
            <w:tcW w:w="2488" w:type="dxa"/>
            <w:tcMar>
              <w:top w:w="0" w:type="dxa"/>
              <w:left w:w="10" w:type="dxa"/>
              <w:bottom w:w="0" w:type="dxa"/>
              <w:right w:w="10" w:type="dxa"/>
            </w:tcMar>
            <w:vAlign w:val="center"/>
          </w:tcPr>
          <w:p w14:paraId="6D243D9D">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投标响应</w:t>
            </w:r>
          </w:p>
        </w:tc>
        <w:tc>
          <w:tcPr>
            <w:tcW w:w="3004" w:type="dxa"/>
            <w:tcMar>
              <w:top w:w="0" w:type="dxa"/>
              <w:left w:w="10" w:type="dxa"/>
              <w:bottom w:w="0" w:type="dxa"/>
              <w:right w:w="10" w:type="dxa"/>
            </w:tcMar>
            <w:vAlign w:val="center"/>
          </w:tcPr>
          <w:p w14:paraId="027A0AD0">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14:paraId="3EF31456">
            <w:pPr>
              <w:spacing w:line="320" w:lineRule="exact"/>
              <w:jc w:val="center"/>
              <w:rPr>
                <w:rFonts w:ascii="宋体" w:hAnsi="宋体" w:eastAsia="宋体" w:cs="宋体"/>
                <w:color w:val="auto"/>
                <w:sz w:val="24"/>
                <w:szCs w:val="24"/>
              </w:rPr>
            </w:pPr>
            <w:r>
              <w:rPr>
                <w:rFonts w:hint="eastAsia" w:ascii="宋体" w:hAnsi="宋体" w:eastAsia="宋体" w:cs="宋体"/>
                <w:b/>
                <w:bCs/>
                <w:color w:val="auto"/>
                <w:sz w:val="21"/>
                <w:szCs w:val="21"/>
              </w:rPr>
              <w:t>（无、正、负偏离）</w:t>
            </w:r>
          </w:p>
        </w:tc>
      </w:tr>
      <w:tr w14:paraId="02EB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18E1DB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2AE1A42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26881A6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21C12A4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07CE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D0F366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040F482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01EA192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088D7E0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70FF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0EEA22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36FCA8A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032131C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605879D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0399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1EA86D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180E623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6DFD4E8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4033A0E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2A58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B29F07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7AFBFF4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35D0945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435EAC6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13CA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612EF5F">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14:paraId="751CDB5C">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14:paraId="3EF44D92">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14:paraId="183465A5">
            <w:pPr>
              <w:spacing w:line="360" w:lineRule="auto"/>
              <w:rPr>
                <w:rFonts w:ascii="宋体" w:hAnsi="宋体" w:eastAsia="宋体" w:cs="宋体"/>
                <w:color w:val="auto"/>
                <w:sz w:val="24"/>
                <w:szCs w:val="24"/>
              </w:rPr>
            </w:pPr>
          </w:p>
        </w:tc>
      </w:tr>
      <w:tr w14:paraId="5436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0A1F7B9">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14:paraId="7F2837D4">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14:paraId="44A6771F">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14:paraId="5C577D83">
            <w:pPr>
              <w:spacing w:line="360" w:lineRule="auto"/>
              <w:rPr>
                <w:rFonts w:ascii="宋体" w:hAnsi="宋体" w:eastAsia="宋体" w:cs="宋体"/>
                <w:color w:val="auto"/>
                <w:sz w:val="24"/>
                <w:szCs w:val="24"/>
              </w:rPr>
            </w:pPr>
          </w:p>
        </w:tc>
      </w:tr>
    </w:tbl>
    <w:p w14:paraId="2EA2466E">
      <w:pPr>
        <w:spacing w:line="360" w:lineRule="auto"/>
        <w:rPr>
          <w:rFonts w:ascii="宋体" w:hAnsi="宋体" w:eastAsia="宋体" w:cs="宋体"/>
          <w:color w:val="auto"/>
          <w:sz w:val="24"/>
          <w:szCs w:val="24"/>
        </w:rPr>
      </w:pPr>
    </w:p>
    <w:p w14:paraId="6288964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说明：请对第一章招标公告、第三章采购需求及第五章合同主要条款及格式中的商务条款进行响应。</w:t>
      </w:r>
    </w:p>
    <w:p w14:paraId="5CD0BE28">
      <w:pPr>
        <w:spacing w:line="360" w:lineRule="auto"/>
        <w:rPr>
          <w:rFonts w:ascii="宋体" w:hAnsi="宋体" w:eastAsia="宋体" w:cs="宋体"/>
          <w:color w:val="auto"/>
          <w:sz w:val="24"/>
          <w:szCs w:val="24"/>
        </w:rPr>
      </w:pPr>
    </w:p>
    <w:p w14:paraId="186F9914">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6A1AEBDC">
      <w:pPr>
        <w:pStyle w:val="12"/>
        <w:ind w:left="1540" w:right="1540"/>
        <w:rPr>
          <w:color w:val="auto"/>
        </w:rPr>
      </w:pPr>
    </w:p>
    <w:p w14:paraId="073800A1">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0F7FAD37">
      <w:pPr>
        <w:spacing w:line="360" w:lineRule="auto"/>
        <w:jc w:val="center"/>
        <w:rPr>
          <w:rFonts w:ascii="宋体" w:hAnsi="宋体" w:eastAsia="宋体" w:cs="宋体"/>
          <w:color w:val="auto"/>
          <w:sz w:val="24"/>
          <w:szCs w:val="24"/>
        </w:rPr>
      </w:pPr>
    </w:p>
    <w:p w14:paraId="3532E1C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552F9A07">
      <w:pPr>
        <w:pStyle w:val="12"/>
        <w:ind w:left="1540" w:right="1540"/>
        <w:rPr>
          <w:color w:val="auto"/>
        </w:rPr>
      </w:pPr>
    </w:p>
    <w:p w14:paraId="13F4914D">
      <w:pPr>
        <w:spacing w:line="360" w:lineRule="auto"/>
        <w:rPr>
          <w:rFonts w:ascii="宋体" w:hAnsi="宋体" w:eastAsia="宋体" w:cs="宋体"/>
          <w:b/>
          <w:color w:val="auto"/>
          <w:sz w:val="24"/>
          <w:szCs w:val="24"/>
        </w:rPr>
      </w:pPr>
      <w:r>
        <w:rPr>
          <w:rFonts w:hint="eastAsia" w:ascii="宋体" w:hAnsi="宋体" w:eastAsia="宋体" w:cs="宋体"/>
          <w:b/>
          <w:bCs/>
          <w:color w:val="auto"/>
          <w:sz w:val="24"/>
          <w:szCs w:val="24"/>
        </w:rPr>
        <w:t>附件</w:t>
      </w:r>
      <w:bookmarkEnd w:id="57"/>
      <w:bookmarkEnd w:id="58"/>
      <w:bookmarkEnd w:id="59"/>
      <w:bookmarkStart w:id="66" w:name="_Toc120614284"/>
      <w:r>
        <w:rPr>
          <w:rFonts w:hint="eastAsia" w:ascii="宋体" w:hAnsi="宋体" w:eastAsia="宋体" w:cs="宋体"/>
          <w:b/>
          <w:bCs/>
          <w:color w:val="auto"/>
          <w:sz w:val="24"/>
          <w:szCs w:val="24"/>
        </w:rPr>
        <w:t>六</w:t>
      </w:r>
    </w:p>
    <w:p w14:paraId="53ACF479">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技术参数响应表</w:t>
      </w:r>
    </w:p>
    <w:p w14:paraId="7E3F1B02">
      <w:pPr>
        <w:pStyle w:val="12"/>
        <w:ind w:left="0" w:leftChars="0" w:right="1540"/>
        <w:rPr>
          <w:color w:val="auto"/>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3232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5B8E7701">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5" w:type="dxa"/>
            <w:vAlign w:val="center"/>
          </w:tcPr>
          <w:p w14:paraId="02126FD3">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836" w:type="dxa"/>
            <w:vAlign w:val="center"/>
          </w:tcPr>
          <w:p w14:paraId="7A701E1B">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投标响应</w:t>
            </w:r>
          </w:p>
        </w:tc>
        <w:tc>
          <w:tcPr>
            <w:tcW w:w="2176" w:type="dxa"/>
            <w:vAlign w:val="center"/>
          </w:tcPr>
          <w:p w14:paraId="7DBBA682">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14:paraId="36C5A47A">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1"/>
                <w:szCs w:val="21"/>
              </w:rPr>
              <w:t>（无、正、负偏离）</w:t>
            </w:r>
          </w:p>
        </w:tc>
      </w:tr>
      <w:tr w14:paraId="156C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D404E51">
            <w:pPr>
              <w:spacing w:line="360" w:lineRule="auto"/>
              <w:jc w:val="center"/>
              <w:rPr>
                <w:rFonts w:ascii="宋体" w:hAnsi="宋体" w:eastAsia="宋体" w:cs="宋体"/>
                <w:color w:val="auto"/>
                <w:sz w:val="24"/>
                <w:szCs w:val="24"/>
              </w:rPr>
            </w:pPr>
          </w:p>
        </w:tc>
        <w:tc>
          <w:tcPr>
            <w:tcW w:w="2335" w:type="dxa"/>
          </w:tcPr>
          <w:p w14:paraId="7059ED8A">
            <w:pPr>
              <w:spacing w:line="360" w:lineRule="auto"/>
              <w:jc w:val="center"/>
              <w:rPr>
                <w:rFonts w:ascii="宋体" w:hAnsi="宋体" w:eastAsia="宋体" w:cs="宋体"/>
                <w:color w:val="auto"/>
                <w:sz w:val="24"/>
                <w:szCs w:val="24"/>
              </w:rPr>
            </w:pPr>
          </w:p>
        </w:tc>
        <w:tc>
          <w:tcPr>
            <w:tcW w:w="2836" w:type="dxa"/>
          </w:tcPr>
          <w:p w14:paraId="242A07C1">
            <w:pPr>
              <w:spacing w:line="360" w:lineRule="auto"/>
              <w:jc w:val="center"/>
              <w:rPr>
                <w:rFonts w:ascii="宋体" w:hAnsi="宋体" w:eastAsia="宋体" w:cs="宋体"/>
                <w:color w:val="auto"/>
                <w:sz w:val="24"/>
                <w:szCs w:val="24"/>
              </w:rPr>
            </w:pPr>
          </w:p>
        </w:tc>
        <w:tc>
          <w:tcPr>
            <w:tcW w:w="2176" w:type="dxa"/>
          </w:tcPr>
          <w:p w14:paraId="0D381930">
            <w:pPr>
              <w:spacing w:line="360" w:lineRule="auto"/>
              <w:jc w:val="center"/>
              <w:rPr>
                <w:rFonts w:ascii="宋体" w:hAnsi="宋体" w:eastAsia="宋体" w:cs="宋体"/>
                <w:color w:val="auto"/>
                <w:sz w:val="24"/>
                <w:szCs w:val="24"/>
              </w:rPr>
            </w:pPr>
          </w:p>
        </w:tc>
      </w:tr>
      <w:tr w14:paraId="6EF9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4389DA4">
            <w:pPr>
              <w:spacing w:line="360" w:lineRule="auto"/>
              <w:jc w:val="center"/>
              <w:rPr>
                <w:rFonts w:ascii="宋体" w:hAnsi="宋体" w:eastAsia="宋体" w:cs="宋体"/>
                <w:color w:val="auto"/>
                <w:sz w:val="24"/>
                <w:szCs w:val="24"/>
              </w:rPr>
            </w:pPr>
          </w:p>
        </w:tc>
        <w:tc>
          <w:tcPr>
            <w:tcW w:w="2335" w:type="dxa"/>
          </w:tcPr>
          <w:p w14:paraId="43325BA0">
            <w:pPr>
              <w:spacing w:line="360" w:lineRule="auto"/>
              <w:jc w:val="center"/>
              <w:rPr>
                <w:rFonts w:ascii="宋体" w:hAnsi="宋体" w:eastAsia="宋体" w:cs="宋体"/>
                <w:color w:val="auto"/>
                <w:sz w:val="24"/>
                <w:szCs w:val="24"/>
              </w:rPr>
            </w:pPr>
          </w:p>
        </w:tc>
        <w:tc>
          <w:tcPr>
            <w:tcW w:w="2836" w:type="dxa"/>
          </w:tcPr>
          <w:p w14:paraId="797BF28D">
            <w:pPr>
              <w:spacing w:line="360" w:lineRule="auto"/>
              <w:jc w:val="center"/>
              <w:rPr>
                <w:rFonts w:ascii="宋体" w:hAnsi="宋体" w:eastAsia="宋体" w:cs="宋体"/>
                <w:color w:val="auto"/>
                <w:sz w:val="24"/>
                <w:szCs w:val="24"/>
              </w:rPr>
            </w:pPr>
          </w:p>
        </w:tc>
        <w:tc>
          <w:tcPr>
            <w:tcW w:w="2176" w:type="dxa"/>
          </w:tcPr>
          <w:p w14:paraId="3D892C1C">
            <w:pPr>
              <w:spacing w:line="360" w:lineRule="auto"/>
              <w:jc w:val="center"/>
              <w:rPr>
                <w:rFonts w:ascii="宋体" w:hAnsi="宋体" w:eastAsia="宋体" w:cs="宋体"/>
                <w:color w:val="auto"/>
                <w:sz w:val="24"/>
                <w:szCs w:val="24"/>
              </w:rPr>
            </w:pPr>
          </w:p>
        </w:tc>
      </w:tr>
      <w:tr w14:paraId="32C0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CD49BE0">
            <w:pPr>
              <w:spacing w:line="360" w:lineRule="auto"/>
              <w:jc w:val="center"/>
              <w:rPr>
                <w:rFonts w:ascii="宋体" w:hAnsi="宋体" w:eastAsia="宋体" w:cs="宋体"/>
                <w:color w:val="auto"/>
                <w:sz w:val="24"/>
                <w:szCs w:val="24"/>
              </w:rPr>
            </w:pPr>
          </w:p>
        </w:tc>
        <w:tc>
          <w:tcPr>
            <w:tcW w:w="2335" w:type="dxa"/>
          </w:tcPr>
          <w:p w14:paraId="4D1AA8E6">
            <w:pPr>
              <w:spacing w:line="360" w:lineRule="auto"/>
              <w:jc w:val="center"/>
              <w:rPr>
                <w:rFonts w:ascii="宋体" w:hAnsi="宋体" w:eastAsia="宋体" w:cs="宋体"/>
                <w:color w:val="auto"/>
                <w:sz w:val="24"/>
                <w:szCs w:val="24"/>
              </w:rPr>
            </w:pPr>
          </w:p>
        </w:tc>
        <w:tc>
          <w:tcPr>
            <w:tcW w:w="2836" w:type="dxa"/>
          </w:tcPr>
          <w:p w14:paraId="11376409">
            <w:pPr>
              <w:spacing w:line="360" w:lineRule="auto"/>
              <w:jc w:val="center"/>
              <w:rPr>
                <w:rFonts w:ascii="宋体" w:hAnsi="宋体" w:eastAsia="宋体" w:cs="宋体"/>
                <w:color w:val="auto"/>
                <w:sz w:val="24"/>
                <w:szCs w:val="24"/>
              </w:rPr>
            </w:pPr>
          </w:p>
        </w:tc>
        <w:tc>
          <w:tcPr>
            <w:tcW w:w="2176" w:type="dxa"/>
          </w:tcPr>
          <w:p w14:paraId="76C07FB0">
            <w:pPr>
              <w:spacing w:line="360" w:lineRule="auto"/>
              <w:jc w:val="center"/>
              <w:rPr>
                <w:rFonts w:ascii="宋体" w:hAnsi="宋体" w:eastAsia="宋体" w:cs="宋体"/>
                <w:color w:val="auto"/>
                <w:sz w:val="24"/>
                <w:szCs w:val="24"/>
              </w:rPr>
            </w:pPr>
          </w:p>
        </w:tc>
      </w:tr>
      <w:tr w14:paraId="146E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86E1CF1">
            <w:pPr>
              <w:spacing w:line="360" w:lineRule="auto"/>
              <w:jc w:val="center"/>
              <w:rPr>
                <w:rFonts w:ascii="宋体" w:hAnsi="宋体" w:eastAsia="宋体" w:cs="宋体"/>
                <w:color w:val="auto"/>
                <w:sz w:val="24"/>
                <w:szCs w:val="24"/>
              </w:rPr>
            </w:pPr>
          </w:p>
        </w:tc>
        <w:tc>
          <w:tcPr>
            <w:tcW w:w="2335" w:type="dxa"/>
          </w:tcPr>
          <w:p w14:paraId="516A2A53">
            <w:pPr>
              <w:spacing w:line="360" w:lineRule="auto"/>
              <w:jc w:val="center"/>
              <w:rPr>
                <w:rFonts w:ascii="宋体" w:hAnsi="宋体" w:eastAsia="宋体" w:cs="宋体"/>
                <w:color w:val="auto"/>
                <w:sz w:val="24"/>
                <w:szCs w:val="24"/>
              </w:rPr>
            </w:pPr>
          </w:p>
        </w:tc>
        <w:tc>
          <w:tcPr>
            <w:tcW w:w="2836" w:type="dxa"/>
          </w:tcPr>
          <w:p w14:paraId="502695AC">
            <w:pPr>
              <w:spacing w:line="360" w:lineRule="auto"/>
              <w:jc w:val="center"/>
              <w:rPr>
                <w:rFonts w:ascii="宋体" w:hAnsi="宋体" w:eastAsia="宋体" w:cs="宋体"/>
                <w:color w:val="auto"/>
                <w:sz w:val="24"/>
                <w:szCs w:val="24"/>
              </w:rPr>
            </w:pPr>
          </w:p>
        </w:tc>
        <w:tc>
          <w:tcPr>
            <w:tcW w:w="2176" w:type="dxa"/>
          </w:tcPr>
          <w:p w14:paraId="5C22F1E3">
            <w:pPr>
              <w:spacing w:line="360" w:lineRule="auto"/>
              <w:jc w:val="center"/>
              <w:rPr>
                <w:rFonts w:ascii="宋体" w:hAnsi="宋体" w:eastAsia="宋体" w:cs="宋体"/>
                <w:color w:val="auto"/>
                <w:sz w:val="24"/>
                <w:szCs w:val="24"/>
              </w:rPr>
            </w:pPr>
          </w:p>
        </w:tc>
      </w:tr>
      <w:tr w14:paraId="78A4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DAF5AFE">
            <w:pPr>
              <w:spacing w:line="360" w:lineRule="auto"/>
              <w:jc w:val="center"/>
              <w:rPr>
                <w:rFonts w:ascii="宋体" w:hAnsi="宋体" w:eastAsia="宋体" w:cs="宋体"/>
                <w:color w:val="auto"/>
                <w:sz w:val="24"/>
                <w:szCs w:val="24"/>
              </w:rPr>
            </w:pPr>
          </w:p>
        </w:tc>
        <w:tc>
          <w:tcPr>
            <w:tcW w:w="2335" w:type="dxa"/>
          </w:tcPr>
          <w:p w14:paraId="08335DC1">
            <w:pPr>
              <w:spacing w:line="360" w:lineRule="auto"/>
              <w:jc w:val="center"/>
              <w:rPr>
                <w:rFonts w:ascii="宋体" w:hAnsi="宋体" w:eastAsia="宋体" w:cs="宋体"/>
                <w:color w:val="auto"/>
                <w:sz w:val="24"/>
                <w:szCs w:val="24"/>
              </w:rPr>
            </w:pPr>
          </w:p>
        </w:tc>
        <w:tc>
          <w:tcPr>
            <w:tcW w:w="2836" w:type="dxa"/>
          </w:tcPr>
          <w:p w14:paraId="09748F9B">
            <w:pPr>
              <w:spacing w:line="360" w:lineRule="auto"/>
              <w:jc w:val="center"/>
              <w:rPr>
                <w:rFonts w:ascii="宋体" w:hAnsi="宋体" w:eastAsia="宋体" w:cs="宋体"/>
                <w:color w:val="auto"/>
                <w:sz w:val="24"/>
                <w:szCs w:val="24"/>
              </w:rPr>
            </w:pPr>
          </w:p>
        </w:tc>
        <w:tc>
          <w:tcPr>
            <w:tcW w:w="2176" w:type="dxa"/>
          </w:tcPr>
          <w:p w14:paraId="69F5B58D">
            <w:pPr>
              <w:spacing w:line="360" w:lineRule="auto"/>
              <w:jc w:val="center"/>
              <w:rPr>
                <w:rFonts w:ascii="宋体" w:hAnsi="宋体" w:eastAsia="宋体" w:cs="宋体"/>
                <w:color w:val="auto"/>
                <w:sz w:val="24"/>
                <w:szCs w:val="24"/>
              </w:rPr>
            </w:pPr>
          </w:p>
        </w:tc>
      </w:tr>
      <w:tr w14:paraId="4DAD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E118D1E">
            <w:pPr>
              <w:spacing w:line="360" w:lineRule="auto"/>
              <w:jc w:val="center"/>
              <w:rPr>
                <w:rFonts w:ascii="宋体" w:hAnsi="宋体" w:eastAsia="宋体" w:cs="宋体"/>
                <w:color w:val="auto"/>
                <w:sz w:val="24"/>
                <w:szCs w:val="24"/>
              </w:rPr>
            </w:pPr>
          </w:p>
          <w:p w14:paraId="4D082DC1">
            <w:pPr>
              <w:spacing w:line="360" w:lineRule="auto"/>
              <w:jc w:val="center"/>
              <w:rPr>
                <w:rFonts w:ascii="宋体" w:hAnsi="宋体" w:eastAsia="宋体" w:cs="宋体"/>
                <w:color w:val="auto"/>
                <w:sz w:val="24"/>
                <w:szCs w:val="24"/>
              </w:rPr>
            </w:pPr>
          </w:p>
        </w:tc>
        <w:tc>
          <w:tcPr>
            <w:tcW w:w="2335" w:type="dxa"/>
          </w:tcPr>
          <w:p w14:paraId="721C1A4B">
            <w:pPr>
              <w:spacing w:line="360" w:lineRule="auto"/>
              <w:jc w:val="center"/>
              <w:rPr>
                <w:rFonts w:ascii="宋体" w:hAnsi="宋体" w:eastAsia="宋体" w:cs="宋体"/>
                <w:color w:val="auto"/>
                <w:sz w:val="24"/>
                <w:szCs w:val="24"/>
              </w:rPr>
            </w:pPr>
          </w:p>
        </w:tc>
        <w:tc>
          <w:tcPr>
            <w:tcW w:w="2836" w:type="dxa"/>
          </w:tcPr>
          <w:p w14:paraId="2485719C">
            <w:pPr>
              <w:spacing w:line="360" w:lineRule="auto"/>
              <w:jc w:val="center"/>
              <w:rPr>
                <w:rFonts w:ascii="宋体" w:hAnsi="宋体" w:eastAsia="宋体" w:cs="宋体"/>
                <w:color w:val="auto"/>
                <w:sz w:val="24"/>
                <w:szCs w:val="24"/>
              </w:rPr>
            </w:pPr>
          </w:p>
        </w:tc>
        <w:tc>
          <w:tcPr>
            <w:tcW w:w="2176" w:type="dxa"/>
          </w:tcPr>
          <w:p w14:paraId="146DF76E">
            <w:pPr>
              <w:spacing w:line="360" w:lineRule="auto"/>
              <w:jc w:val="center"/>
              <w:rPr>
                <w:rFonts w:ascii="宋体" w:hAnsi="宋体" w:eastAsia="宋体" w:cs="宋体"/>
                <w:color w:val="auto"/>
                <w:sz w:val="24"/>
                <w:szCs w:val="24"/>
              </w:rPr>
            </w:pPr>
          </w:p>
        </w:tc>
      </w:tr>
      <w:tr w14:paraId="5EA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B86F1DA">
            <w:pPr>
              <w:spacing w:line="360" w:lineRule="auto"/>
              <w:jc w:val="center"/>
              <w:rPr>
                <w:rFonts w:ascii="宋体" w:hAnsi="宋体" w:eastAsia="宋体" w:cs="宋体"/>
                <w:color w:val="auto"/>
                <w:sz w:val="24"/>
                <w:szCs w:val="24"/>
              </w:rPr>
            </w:pPr>
          </w:p>
        </w:tc>
        <w:tc>
          <w:tcPr>
            <w:tcW w:w="2335" w:type="dxa"/>
          </w:tcPr>
          <w:p w14:paraId="7ADBEB8E">
            <w:pPr>
              <w:spacing w:line="360" w:lineRule="auto"/>
              <w:jc w:val="center"/>
              <w:rPr>
                <w:rFonts w:ascii="宋体" w:hAnsi="宋体" w:eastAsia="宋体" w:cs="宋体"/>
                <w:color w:val="auto"/>
                <w:sz w:val="24"/>
                <w:szCs w:val="24"/>
              </w:rPr>
            </w:pPr>
          </w:p>
        </w:tc>
        <w:tc>
          <w:tcPr>
            <w:tcW w:w="2836" w:type="dxa"/>
          </w:tcPr>
          <w:p w14:paraId="5E3964F6">
            <w:pPr>
              <w:spacing w:line="360" w:lineRule="auto"/>
              <w:jc w:val="center"/>
              <w:rPr>
                <w:rFonts w:ascii="宋体" w:hAnsi="宋体" w:eastAsia="宋体" w:cs="宋体"/>
                <w:color w:val="auto"/>
                <w:sz w:val="24"/>
                <w:szCs w:val="24"/>
              </w:rPr>
            </w:pPr>
          </w:p>
        </w:tc>
        <w:tc>
          <w:tcPr>
            <w:tcW w:w="2176" w:type="dxa"/>
          </w:tcPr>
          <w:p w14:paraId="713FD71F">
            <w:pPr>
              <w:spacing w:line="360" w:lineRule="auto"/>
              <w:jc w:val="center"/>
              <w:rPr>
                <w:rFonts w:ascii="宋体" w:hAnsi="宋体" w:eastAsia="宋体" w:cs="宋体"/>
                <w:color w:val="auto"/>
                <w:sz w:val="24"/>
                <w:szCs w:val="24"/>
              </w:rPr>
            </w:pPr>
          </w:p>
        </w:tc>
      </w:tr>
      <w:tr w14:paraId="19A9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1C79FCA">
            <w:pPr>
              <w:spacing w:line="360" w:lineRule="auto"/>
              <w:jc w:val="center"/>
              <w:rPr>
                <w:rFonts w:ascii="宋体" w:hAnsi="宋体" w:eastAsia="宋体" w:cs="宋体"/>
                <w:color w:val="auto"/>
                <w:sz w:val="24"/>
                <w:szCs w:val="24"/>
              </w:rPr>
            </w:pPr>
          </w:p>
        </w:tc>
        <w:tc>
          <w:tcPr>
            <w:tcW w:w="2335" w:type="dxa"/>
          </w:tcPr>
          <w:p w14:paraId="4C0E4CE0">
            <w:pPr>
              <w:spacing w:line="360" w:lineRule="auto"/>
              <w:jc w:val="center"/>
              <w:rPr>
                <w:rFonts w:ascii="宋体" w:hAnsi="宋体" w:eastAsia="宋体" w:cs="宋体"/>
                <w:color w:val="auto"/>
                <w:sz w:val="24"/>
                <w:szCs w:val="24"/>
              </w:rPr>
            </w:pPr>
          </w:p>
        </w:tc>
        <w:tc>
          <w:tcPr>
            <w:tcW w:w="2836" w:type="dxa"/>
          </w:tcPr>
          <w:p w14:paraId="3CB71978">
            <w:pPr>
              <w:spacing w:line="360" w:lineRule="auto"/>
              <w:jc w:val="center"/>
              <w:rPr>
                <w:rFonts w:ascii="宋体" w:hAnsi="宋体" w:eastAsia="宋体" w:cs="宋体"/>
                <w:color w:val="auto"/>
                <w:sz w:val="24"/>
                <w:szCs w:val="24"/>
              </w:rPr>
            </w:pPr>
          </w:p>
        </w:tc>
        <w:tc>
          <w:tcPr>
            <w:tcW w:w="2176" w:type="dxa"/>
          </w:tcPr>
          <w:p w14:paraId="52B8B312">
            <w:pPr>
              <w:spacing w:line="360" w:lineRule="auto"/>
              <w:jc w:val="center"/>
              <w:rPr>
                <w:rFonts w:ascii="宋体" w:hAnsi="宋体" w:eastAsia="宋体" w:cs="宋体"/>
                <w:color w:val="auto"/>
                <w:sz w:val="24"/>
                <w:szCs w:val="24"/>
              </w:rPr>
            </w:pPr>
          </w:p>
        </w:tc>
      </w:tr>
    </w:tbl>
    <w:p w14:paraId="748C4DF6">
      <w:pPr>
        <w:spacing w:line="360" w:lineRule="auto"/>
        <w:rPr>
          <w:rFonts w:ascii="宋体" w:hAnsi="宋体" w:eastAsia="宋体" w:cs="宋体"/>
          <w:color w:val="auto"/>
          <w:sz w:val="24"/>
          <w:szCs w:val="24"/>
        </w:rPr>
      </w:pPr>
    </w:p>
    <w:p w14:paraId="16DF213A">
      <w:pPr>
        <w:spacing w:line="360" w:lineRule="auto"/>
        <w:rPr>
          <w:rFonts w:ascii="宋体" w:hAnsi="宋体" w:eastAsia="宋体" w:cs="宋体"/>
          <w:color w:val="auto"/>
          <w:sz w:val="24"/>
          <w:szCs w:val="24"/>
        </w:rPr>
      </w:pPr>
    </w:p>
    <w:p w14:paraId="6DB238B6">
      <w:pPr>
        <w:spacing w:line="360" w:lineRule="auto"/>
        <w:rPr>
          <w:rFonts w:ascii="宋体" w:hAnsi="宋体" w:eastAsia="宋体" w:cs="宋体"/>
          <w:color w:val="auto"/>
          <w:sz w:val="24"/>
          <w:szCs w:val="24"/>
        </w:rPr>
      </w:pPr>
    </w:p>
    <w:p w14:paraId="48DB169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4ED444DB">
      <w:pPr>
        <w:pStyle w:val="12"/>
        <w:ind w:left="1540" w:right="1540"/>
        <w:rPr>
          <w:color w:val="auto"/>
        </w:rPr>
      </w:pPr>
    </w:p>
    <w:p w14:paraId="5A33E0D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20F54A8D">
      <w:pPr>
        <w:spacing w:line="360" w:lineRule="auto"/>
        <w:rPr>
          <w:rFonts w:ascii="宋体" w:hAnsi="宋体" w:eastAsia="宋体" w:cs="宋体"/>
          <w:color w:val="auto"/>
          <w:sz w:val="24"/>
          <w:szCs w:val="24"/>
        </w:rPr>
      </w:pPr>
    </w:p>
    <w:p w14:paraId="2C70D78A">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420B4F5C">
      <w:pPr>
        <w:autoSpaceDE w:val="0"/>
        <w:autoSpaceDN w:val="0"/>
        <w:spacing w:line="360" w:lineRule="auto"/>
        <w:rPr>
          <w:rFonts w:ascii="Arial" w:hAnsi="Arial" w:eastAsia="黑体" w:cs="Arial"/>
          <w:color w:val="auto"/>
          <w:sz w:val="28"/>
          <w:szCs w:val="36"/>
        </w:rPr>
      </w:pPr>
      <w:r>
        <w:rPr>
          <w:rFonts w:ascii="Arial" w:hAnsi="Arial" w:eastAsia="宋体" w:cs="Arial"/>
          <w:b/>
          <w:color w:val="auto"/>
          <w:sz w:val="24"/>
          <w:szCs w:val="24"/>
        </w:rPr>
        <w:t>附件</w:t>
      </w:r>
      <w:r>
        <w:rPr>
          <w:rFonts w:hint="eastAsia" w:ascii="Arial" w:hAnsi="Arial" w:eastAsia="宋体" w:cs="Arial"/>
          <w:b/>
          <w:color w:val="auto"/>
          <w:sz w:val="24"/>
          <w:szCs w:val="24"/>
        </w:rPr>
        <w:t>七</w:t>
      </w:r>
    </w:p>
    <w:p w14:paraId="7701620E">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无重大违法记录声明</w:t>
      </w:r>
    </w:p>
    <w:p w14:paraId="73CDC4D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14:paraId="1A6CA83E">
      <w:pPr>
        <w:spacing w:line="360" w:lineRule="auto"/>
        <w:ind w:firstLine="384" w:firstLineChars="160"/>
        <w:rPr>
          <w:rFonts w:ascii="宋体" w:hAnsi="宋体" w:eastAsia="宋体" w:cs="宋体"/>
          <w:color w:val="auto"/>
          <w:sz w:val="24"/>
          <w:szCs w:val="24"/>
        </w:rPr>
      </w:pPr>
      <w:r>
        <w:rPr>
          <w:rFonts w:hint="eastAsia" w:ascii="宋体" w:hAnsi="宋体" w:eastAsia="宋体" w:cs="宋体"/>
          <w:color w:val="auto"/>
          <w:sz w:val="24"/>
          <w:szCs w:val="24"/>
        </w:rPr>
        <w:t>我单位郑重声明：</w:t>
      </w:r>
    </w:p>
    <w:p w14:paraId="5178E49C">
      <w:pPr>
        <w:shd w:val="clear" w:color="auto" w:fill="FFFFFF"/>
        <w:spacing w:line="360" w:lineRule="auto"/>
        <w:ind w:firstLine="352" w:firstLineChars="147"/>
        <w:rPr>
          <w:rFonts w:ascii="宋体" w:hAnsi="宋体" w:eastAsia="宋体" w:cs="宋体"/>
          <w:b/>
          <w:color w:val="auto"/>
          <w:sz w:val="24"/>
          <w:szCs w:val="24"/>
        </w:rPr>
      </w:pPr>
      <w:r>
        <w:rPr>
          <w:rFonts w:hint="eastAsia" w:ascii="宋体" w:hAnsi="宋体" w:eastAsia="宋体" w:cs="宋体"/>
          <w:color w:val="auto"/>
          <w:sz w:val="24"/>
          <w:szCs w:val="24"/>
        </w:rPr>
        <w:t>我单位参加政府采购活动前3年内在经营活动中</w:t>
      </w:r>
      <w:r>
        <w:rPr>
          <w:rFonts w:hint="eastAsia" w:ascii="宋体" w:hAnsi="宋体" w:eastAsia="宋体" w:cs="宋体"/>
          <w:b/>
          <w:bCs/>
          <w:color w:val="auto"/>
          <w:sz w:val="24"/>
          <w:szCs w:val="24"/>
        </w:rPr>
        <w:t>没有</w:t>
      </w:r>
      <w:r>
        <w:rPr>
          <w:rFonts w:hint="eastAsia" w:ascii="宋体" w:hAnsi="宋体" w:eastAsia="宋体" w:cs="宋体"/>
          <w:b/>
          <w:color w:val="auto"/>
          <w:sz w:val="24"/>
          <w:szCs w:val="24"/>
        </w:rPr>
        <w:t>重大违法记录，且不是失信被执行人、重大税收违法案件当事人名单、政府采购严重违法失信行为记录名单的供应商。</w:t>
      </w:r>
    </w:p>
    <w:p w14:paraId="5275539D">
      <w:pPr>
        <w:spacing w:line="360" w:lineRule="auto"/>
        <w:ind w:firstLine="480" w:firstLineChars="200"/>
        <w:rPr>
          <w:rFonts w:ascii="宋体" w:hAnsi="宋体" w:eastAsia="宋体" w:cs="宋体"/>
          <w:color w:val="auto"/>
          <w:sz w:val="24"/>
          <w:szCs w:val="24"/>
        </w:rPr>
      </w:pPr>
    </w:p>
    <w:p w14:paraId="58EBD3B7">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（说明：政府采购法第二十二条第一款第五项所称重大违法记录，是指供应商因违法经营受到刑事处罚或者责令停产停业、吊销许可证或者执照、较大数额罚款等行政处罚。）</w:t>
      </w:r>
    </w:p>
    <w:p w14:paraId="17561922">
      <w:pPr>
        <w:pStyle w:val="12"/>
        <w:ind w:left="1540" w:right="1540"/>
        <w:rPr>
          <w:rFonts w:ascii="宋体" w:hAnsi="宋体" w:eastAsia="宋体" w:cs="宋体"/>
          <w:color w:val="auto"/>
          <w:sz w:val="24"/>
          <w:szCs w:val="24"/>
        </w:rPr>
      </w:pPr>
    </w:p>
    <w:p w14:paraId="18A1541B">
      <w:pPr>
        <w:pStyle w:val="12"/>
        <w:ind w:left="1540" w:right="1540"/>
        <w:rPr>
          <w:rFonts w:ascii="宋体" w:hAnsi="宋体" w:eastAsia="宋体" w:cs="宋体"/>
          <w:color w:val="auto"/>
          <w:sz w:val="24"/>
          <w:szCs w:val="24"/>
        </w:rPr>
      </w:pPr>
    </w:p>
    <w:p w14:paraId="42173E43">
      <w:pPr>
        <w:pStyle w:val="12"/>
        <w:ind w:left="1540" w:right="1540"/>
        <w:rPr>
          <w:rFonts w:ascii="宋体" w:hAnsi="宋体" w:eastAsia="宋体" w:cs="宋体"/>
          <w:color w:val="auto"/>
          <w:sz w:val="24"/>
          <w:szCs w:val="24"/>
        </w:rPr>
      </w:pPr>
    </w:p>
    <w:p w14:paraId="2B1FDD08">
      <w:pPr>
        <w:spacing w:line="360" w:lineRule="auto"/>
        <w:rPr>
          <w:rFonts w:ascii="宋体" w:hAnsi="宋体" w:eastAsia="宋体" w:cs="宋体"/>
          <w:color w:val="auto"/>
          <w:sz w:val="24"/>
          <w:szCs w:val="24"/>
        </w:rPr>
      </w:pPr>
    </w:p>
    <w:p w14:paraId="52FD4D1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2A8B33AF">
      <w:pPr>
        <w:pStyle w:val="12"/>
        <w:ind w:left="1540" w:right="1540"/>
        <w:rPr>
          <w:color w:val="auto"/>
        </w:rPr>
      </w:pPr>
    </w:p>
    <w:p w14:paraId="4B0CFC5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2E7E5F52">
      <w:pPr>
        <w:spacing w:line="360" w:lineRule="auto"/>
        <w:rPr>
          <w:rFonts w:ascii="宋体" w:hAnsi="宋体" w:eastAsia="宋体" w:cs="宋体"/>
          <w:color w:val="auto"/>
          <w:sz w:val="24"/>
          <w:szCs w:val="24"/>
        </w:rPr>
      </w:pPr>
    </w:p>
    <w:p w14:paraId="18556310">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716941D8">
      <w:pPr>
        <w:pStyle w:val="6"/>
        <w:spacing w:line="360" w:lineRule="auto"/>
        <w:rPr>
          <w:rFonts w:ascii="宋体" w:hAnsi="宋体" w:eastAsia="宋体" w:cs="宋体"/>
          <w:color w:val="auto"/>
          <w:sz w:val="24"/>
          <w:szCs w:val="24"/>
        </w:rPr>
      </w:pPr>
    </w:p>
    <w:bookmarkEnd w:id="66"/>
    <w:p w14:paraId="555490FF">
      <w:pPr>
        <w:pStyle w:val="33"/>
        <w:ind w:firstLine="0"/>
        <w:rPr>
          <w:rFonts w:ascii="宋体" w:hAnsi="宋体" w:cs="宋体"/>
          <w:color w:val="auto"/>
        </w:rPr>
      </w:pPr>
    </w:p>
    <w:p w14:paraId="48E1D291">
      <w:pPr>
        <w:pStyle w:val="33"/>
        <w:ind w:firstLine="0"/>
        <w:rPr>
          <w:rFonts w:ascii="宋体" w:hAnsi="宋体" w:cs="宋体"/>
          <w:color w:val="auto"/>
        </w:rPr>
      </w:pPr>
    </w:p>
    <w:p w14:paraId="6FE1A821">
      <w:pPr>
        <w:pStyle w:val="33"/>
        <w:ind w:firstLine="0"/>
        <w:rPr>
          <w:rFonts w:ascii="宋体" w:hAnsi="宋体" w:cs="宋体"/>
          <w:color w:val="auto"/>
        </w:rPr>
      </w:pPr>
    </w:p>
    <w:p w14:paraId="377B3290">
      <w:pPr>
        <w:autoSpaceDE w:val="0"/>
        <w:autoSpaceDN w:val="0"/>
        <w:spacing w:after="0" w:line="360" w:lineRule="auto"/>
        <w:rPr>
          <w:rFonts w:ascii="Arial" w:hAnsi="Arial" w:eastAsia="宋体" w:cs="Arial"/>
          <w:b/>
          <w:color w:val="auto"/>
          <w:sz w:val="24"/>
          <w:szCs w:val="24"/>
        </w:rPr>
      </w:pPr>
      <w:bookmarkStart w:id="67" w:name="_Hlk60665956"/>
      <w:r>
        <w:rPr>
          <w:rFonts w:ascii="Arial" w:hAnsi="Arial" w:eastAsia="宋体" w:cs="Arial"/>
          <w:b/>
          <w:color w:val="auto"/>
          <w:sz w:val="24"/>
          <w:szCs w:val="24"/>
        </w:rPr>
        <w:t>附件</w:t>
      </w:r>
      <w:r>
        <w:rPr>
          <w:rFonts w:hint="eastAsia" w:ascii="Arial" w:hAnsi="Arial" w:eastAsia="宋体" w:cs="Arial"/>
          <w:b/>
          <w:color w:val="auto"/>
          <w:sz w:val="24"/>
          <w:szCs w:val="24"/>
        </w:rPr>
        <w:t>八</w:t>
      </w:r>
    </w:p>
    <w:p w14:paraId="6EF9369F">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具备履行合同所必需的设备和专业技术能力声明</w:t>
      </w:r>
    </w:p>
    <w:p w14:paraId="043A300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14:paraId="12A1C417">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（投标人名称）郑重声明：</w:t>
      </w:r>
    </w:p>
    <w:p w14:paraId="49E78C37">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我公司具备履行本项采购合同所必需的设备和专业技术能力，为履行本项采购合同我单位具备如下主要设备和主要专业技术能力：</w:t>
      </w:r>
    </w:p>
    <w:p w14:paraId="44831253">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主要设备有：                         </w:t>
      </w:r>
    </w:p>
    <w:p w14:paraId="77BBF8EB">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主要专业技术能力有：                 </w:t>
      </w:r>
    </w:p>
    <w:p w14:paraId="659C61EA">
      <w:pPr>
        <w:spacing w:line="360" w:lineRule="auto"/>
        <w:rPr>
          <w:rFonts w:ascii="宋体" w:hAnsi="宋体" w:eastAsia="宋体" w:cs="宋体"/>
          <w:color w:val="auto"/>
          <w:sz w:val="24"/>
          <w:szCs w:val="24"/>
        </w:rPr>
      </w:pPr>
    </w:p>
    <w:p w14:paraId="42E16166">
      <w:pPr>
        <w:spacing w:line="360" w:lineRule="auto"/>
        <w:rPr>
          <w:rFonts w:ascii="宋体" w:hAnsi="宋体" w:eastAsia="宋体" w:cs="宋体"/>
          <w:color w:val="auto"/>
          <w:sz w:val="24"/>
          <w:szCs w:val="24"/>
        </w:rPr>
      </w:pPr>
    </w:p>
    <w:p w14:paraId="76E407EA">
      <w:pPr>
        <w:spacing w:line="360" w:lineRule="auto"/>
        <w:rPr>
          <w:rFonts w:ascii="宋体" w:hAnsi="宋体" w:eastAsia="宋体" w:cs="宋体"/>
          <w:color w:val="auto"/>
          <w:sz w:val="24"/>
          <w:szCs w:val="24"/>
        </w:rPr>
      </w:pPr>
    </w:p>
    <w:p w14:paraId="19D4F3DA">
      <w:pPr>
        <w:spacing w:line="360" w:lineRule="auto"/>
        <w:rPr>
          <w:rFonts w:ascii="宋体" w:hAnsi="宋体" w:eastAsia="宋体" w:cs="宋体"/>
          <w:color w:val="auto"/>
          <w:sz w:val="24"/>
          <w:szCs w:val="24"/>
        </w:rPr>
      </w:pPr>
    </w:p>
    <w:p w14:paraId="721F0EB7">
      <w:pPr>
        <w:spacing w:line="360" w:lineRule="auto"/>
        <w:rPr>
          <w:rFonts w:ascii="宋体" w:hAnsi="宋体" w:eastAsia="宋体" w:cs="宋体"/>
          <w:color w:val="auto"/>
          <w:sz w:val="24"/>
          <w:szCs w:val="24"/>
        </w:rPr>
      </w:pPr>
    </w:p>
    <w:p w14:paraId="535F782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37A0FE2C">
      <w:pPr>
        <w:pStyle w:val="12"/>
        <w:ind w:left="1540" w:right="1540"/>
        <w:rPr>
          <w:color w:val="auto"/>
        </w:rPr>
      </w:pPr>
    </w:p>
    <w:p w14:paraId="63634AE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4B0B4ECC">
      <w:pPr>
        <w:spacing w:line="360" w:lineRule="auto"/>
        <w:rPr>
          <w:rFonts w:ascii="宋体" w:hAnsi="宋体" w:eastAsia="宋体" w:cs="宋体"/>
          <w:color w:val="auto"/>
          <w:sz w:val="24"/>
          <w:szCs w:val="24"/>
        </w:rPr>
      </w:pPr>
    </w:p>
    <w:p w14:paraId="06FE900F">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6475CDEB">
      <w:pPr>
        <w:spacing w:line="360" w:lineRule="auto"/>
        <w:rPr>
          <w:rFonts w:ascii="宋体" w:hAnsi="宋体" w:eastAsia="宋体" w:cs="宋体"/>
          <w:color w:val="auto"/>
          <w:sz w:val="24"/>
          <w:szCs w:val="24"/>
        </w:rPr>
      </w:pPr>
    </w:p>
    <w:p w14:paraId="75FE3ED5">
      <w:pPr>
        <w:spacing w:line="460" w:lineRule="exact"/>
        <w:ind w:firstLine="492"/>
        <w:rPr>
          <w:rFonts w:ascii="宋体" w:hAnsi="宋体" w:eastAsia="宋体" w:cs="宋体"/>
          <w:color w:val="auto"/>
          <w:sz w:val="24"/>
          <w:szCs w:val="24"/>
        </w:rPr>
      </w:pPr>
    </w:p>
    <w:p w14:paraId="3013412F">
      <w:pPr>
        <w:spacing w:line="460" w:lineRule="exact"/>
        <w:ind w:firstLine="492"/>
        <w:rPr>
          <w:rFonts w:ascii="宋体" w:hAnsi="宋体" w:eastAsia="宋体" w:cs="宋体"/>
          <w:color w:val="auto"/>
          <w:sz w:val="24"/>
          <w:szCs w:val="24"/>
        </w:rPr>
      </w:pPr>
    </w:p>
    <w:p w14:paraId="2F3D2CFA">
      <w:pPr>
        <w:autoSpaceDE w:val="0"/>
        <w:autoSpaceDN w:val="0"/>
        <w:spacing w:after="0" w:line="360" w:lineRule="auto"/>
        <w:rPr>
          <w:rFonts w:ascii="Arial" w:hAnsi="Arial" w:eastAsia="宋体" w:cs="Arial"/>
          <w:b/>
          <w:color w:val="auto"/>
          <w:sz w:val="24"/>
          <w:szCs w:val="24"/>
        </w:rPr>
      </w:pPr>
    </w:p>
    <w:p w14:paraId="4496325E">
      <w:pPr>
        <w:autoSpaceDE w:val="0"/>
        <w:autoSpaceDN w:val="0"/>
        <w:spacing w:after="0" w:line="360" w:lineRule="auto"/>
        <w:rPr>
          <w:rFonts w:ascii="Arial" w:hAnsi="Arial" w:eastAsia="宋体" w:cs="Arial"/>
          <w:b/>
          <w:color w:val="auto"/>
          <w:sz w:val="24"/>
          <w:szCs w:val="24"/>
        </w:rPr>
      </w:pPr>
      <w:r>
        <w:rPr>
          <w:rFonts w:ascii="Arial" w:hAnsi="Arial" w:eastAsia="宋体" w:cs="Arial"/>
          <w:b/>
          <w:color w:val="auto"/>
          <w:sz w:val="24"/>
          <w:szCs w:val="24"/>
        </w:rPr>
        <w:t>附件</w:t>
      </w:r>
      <w:r>
        <w:rPr>
          <w:rFonts w:hint="eastAsia" w:ascii="Arial" w:hAnsi="Arial" w:eastAsia="宋体" w:cs="Arial"/>
          <w:b/>
          <w:color w:val="auto"/>
          <w:sz w:val="24"/>
          <w:szCs w:val="24"/>
        </w:rPr>
        <w:t>九</w:t>
      </w:r>
    </w:p>
    <w:p w14:paraId="2FC0F9C3">
      <w:pPr>
        <w:spacing w:line="360" w:lineRule="auto"/>
        <w:jc w:val="center"/>
        <w:rPr>
          <w:rFonts w:ascii="宋体" w:hAnsi="宋体" w:eastAsia="宋体" w:cs="宋体"/>
          <w:b/>
          <w:color w:val="auto"/>
          <w:sz w:val="28"/>
          <w:szCs w:val="28"/>
        </w:rPr>
      </w:pPr>
      <w:bookmarkStart w:id="68" w:name="_Toc7690"/>
      <w:bookmarkStart w:id="69" w:name="_Toc896"/>
      <w:r>
        <w:rPr>
          <w:rFonts w:hint="eastAsia" w:ascii="宋体" w:hAnsi="宋体" w:eastAsia="宋体" w:cs="宋体"/>
          <w:b/>
          <w:color w:val="auto"/>
          <w:sz w:val="28"/>
          <w:szCs w:val="28"/>
        </w:rPr>
        <w:t>中小企业声明函（货物）</w:t>
      </w:r>
      <w:bookmarkEnd w:id="68"/>
      <w:bookmarkEnd w:id="69"/>
    </w:p>
    <w:p w14:paraId="018A5B73">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本公司（联合体）郑重声明，根据《政府采购促进中小企业发展管理办法》（财库﹝2020﹞46 号）的规定，本公司参加</w:t>
      </w:r>
      <w:r>
        <w:rPr>
          <w:rFonts w:hint="eastAsia" w:ascii="宋体" w:hAnsi="宋体" w:eastAsia="宋体" w:cs="宋体"/>
          <w:snapToGrid w:val="0"/>
          <w:color w:val="auto"/>
          <w:sz w:val="24"/>
          <w:szCs w:val="24"/>
          <w:u w:val="single"/>
        </w:rPr>
        <w:t xml:space="preserve">  [单位名称]  </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u w:val="single"/>
        </w:rPr>
        <w:t xml:space="preserve">  [项目名称] </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6A0C01F0">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u w:val="single"/>
        </w:rPr>
        <w:t xml:space="preserve"> [标的名称]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14:paraId="2594E658">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w:t>
      </w:r>
      <w:r>
        <w:rPr>
          <w:rFonts w:hint="eastAsia" w:ascii="宋体" w:hAnsi="宋体" w:eastAsia="宋体" w:cs="宋体"/>
          <w:snapToGrid w:val="0"/>
          <w:color w:val="auto"/>
          <w:sz w:val="24"/>
          <w:szCs w:val="24"/>
          <w:u w:val="single"/>
        </w:rPr>
        <w:t xml:space="preserve">[标的名称]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14:paraId="196AB3AC">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w:t>
      </w:r>
    </w:p>
    <w:p w14:paraId="25936F9B">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以上企业，不属于大企业的分支机构，不存在控股股东为大企业的情形，也不存在与大企业的负责人为同一人的情形。</w:t>
      </w:r>
    </w:p>
    <w:p w14:paraId="5FD57D60">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如组成联合体或者接受分包合同的中小企业与联合体内的其他企业，分包企业之间不存在直接控制、管理关系；</w:t>
      </w:r>
    </w:p>
    <w:p w14:paraId="604BC52D">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本企业对上述声明内容的真实性负责。如有虚假，将依法承担相应责任。</w:t>
      </w:r>
    </w:p>
    <w:p w14:paraId="4ACE2716">
      <w:pPr>
        <w:pStyle w:val="9"/>
        <w:adjustRightInd w:val="0"/>
        <w:snapToGrid w:val="0"/>
        <w:spacing w:line="360" w:lineRule="auto"/>
        <w:ind w:firstLine="480" w:firstLineChars="200"/>
        <w:rPr>
          <w:rFonts w:ascii="宋体" w:hAnsi="宋体" w:eastAsia="宋体" w:cs="宋体"/>
          <w:snapToGrid w:val="0"/>
          <w:color w:val="auto"/>
          <w:sz w:val="24"/>
          <w:szCs w:val="24"/>
        </w:rPr>
      </w:pPr>
    </w:p>
    <w:p w14:paraId="7F8EF2D6">
      <w:pPr>
        <w:pStyle w:val="9"/>
        <w:adjustRightInd w:val="0"/>
        <w:snapToGrid w:val="0"/>
        <w:spacing w:line="300" w:lineRule="auto"/>
        <w:rPr>
          <w:rFonts w:ascii="宋体" w:hAnsi="宋体" w:eastAsia="宋体" w:cs="宋体"/>
          <w:snapToGrid w:val="0"/>
          <w:color w:val="auto"/>
          <w:sz w:val="24"/>
          <w:szCs w:val="24"/>
        </w:rPr>
      </w:pPr>
    </w:p>
    <w:p w14:paraId="1D1D05C0">
      <w:pPr>
        <w:spacing w:line="360" w:lineRule="auto"/>
        <w:ind w:left="5500" w:leftChars="2500"/>
        <w:rPr>
          <w:rFonts w:ascii="宋体" w:hAnsi="宋体" w:eastAsia="宋体" w:cs="宋体"/>
          <w:color w:val="auto"/>
          <w:sz w:val="24"/>
          <w:szCs w:val="24"/>
        </w:rPr>
      </w:pPr>
    </w:p>
    <w:p w14:paraId="5AEFB7C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7E2FB58D">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投标人名称（盖章）：</w:t>
      </w:r>
    </w:p>
    <w:p w14:paraId="36E9278B">
      <w:pPr>
        <w:spacing w:line="360" w:lineRule="auto"/>
        <w:ind w:firstLine="5040" w:firstLineChars="2100"/>
        <w:rPr>
          <w:rFonts w:ascii="宋体" w:hAnsi="宋体" w:eastAsia="宋体" w:cs="宋体"/>
          <w:snapToGrid w:val="0"/>
          <w:color w:val="auto"/>
          <w:sz w:val="24"/>
          <w:szCs w:val="24"/>
        </w:rPr>
      </w:pPr>
      <w:r>
        <w:rPr>
          <w:rFonts w:hint="eastAsia" w:ascii="宋体" w:hAnsi="宋体" w:eastAsia="宋体" w:cs="宋体"/>
          <w:color w:val="auto"/>
          <w:sz w:val="24"/>
          <w:szCs w:val="24"/>
        </w:rPr>
        <w:t>日  期：</w:t>
      </w:r>
      <w:bookmarkEnd w:id="67"/>
      <w:r>
        <w:rPr>
          <w:rFonts w:hint="eastAsia" w:ascii="宋体" w:hAnsi="宋体" w:eastAsia="宋体" w:cs="宋体"/>
          <w:color w:val="auto"/>
          <w:sz w:val="24"/>
          <w:szCs w:val="24"/>
        </w:rPr>
        <w:t xml:space="preserve">  年  月  日</w:t>
      </w:r>
    </w:p>
    <w:p w14:paraId="61D6ECDD">
      <w:pPr>
        <w:pStyle w:val="33"/>
        <w:ind w:firstLine="0"/>
        <w:rPr>
          <w:rFonts w:ascii="宋体" w:hAnsi="宋体" w:cs="宋体"/>
          <w:color w:val="auto"/>
        </w:rPr>
      </w:pPr>
      <w:r>
        <w:rPr>
          <w:rFonts w:hint="eastAsia" w:ascii="宋体" w:hAnsi="宋体" w:cs="宋体"/>
          <w:color w:val="auto"/>
        </w:rPr>
        <w:br w:type="page"/>
      </w:r>
    </w:p>
    <w:p w14:paraId="58AB43E8">
      <w:pPr>
        <w:pStyle w:val="33"/>
        <w:ind w:firstLine="0"/>
        <w:rPr>
          <w:rFonts w:ascii="宋体" w:hAnsi="宋体" w:cs="宋体"/>
          <w:color w:val="auto"/>
        </w:rPr>
      </w:pPr>
      <w:r>
        <w:rPr>
          <w:rFonts w:cs="Arial"/>
          <w:b/>
          <w:color w:val="auto"/>
        </w:rPr>
        <w:t>附件</w:t>
      </w:r>
      <w:r>
        <w:rPr>
          <w:rFonts w:hint="eastAsia" w:cs="Arial"/>
          <w:b/>
          <w:color w:val="auto"/>
        </w:rPr>
        <w:t>十</w:t>
      </w:r>
    </w:p>
    <w:p w14:paraId="42608793">
      <w:pPr>
        <w:spacing w:line="360" w:lineRule="auto"/>
        <w:jc w:val="center"/>
        <w:rPr>
          <w:rFonts w:ascii="宋体" w:hAnsi="宋体" w:eastAsia="宋体" w:cs="宋体"/>
          <w:b/>
          <w:color w:val="auto"/>
          <w:sz w:val="28"/>
          <w:szCs w:val="28"/>
        </w:rPr>
      </w:pPr>
      <w:bookmarkStart w:id="70" w:name="_Toc1046"/>
      <w:bookmarkStart w:id="71" w:name="_Toc4019"/>
      <w:r>
        <w:rPr>
          <w:rFonts w:hint="eastAsia" w:ascii="宋体" w:hAnsi="宋体" w:eastAsia="宋体" w:cs="宋体"/>
          <w:b/>
          <w:color w:val="auto"/>
          <w:sz w:val="28"/>
          <w:szCs w:val="28"/>
        </w:rPr>
        <w:t>残疾人福利性单位声明函</w:t>
      </w:r>
      <w:bookmarkEnd w:id="70"/>
      <w:bookmarkEnd w:id="71"/>
    </w:p>
    <w:p w14:paraId="63A3144A">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auto"/>
          <w:sz w:val="24"/>
          <w:szCs w:val="24"/>
        </w:rPr>
        <w:t>且本单位参加</w:t>
      </w:r>
      <w:r>
        <w:rPr>
          <w:rFonts w:hint="eastAsia" w:ascii="宋体" w:hAnsi="宋体" w:eastAsia="宋体" w:cs="宋体"/>
          <w:color w:val="auto"/>
          <w:sz w:val="24"/>
          <w:szCs w:val="24"/>
          <w:u w:val="single"/>
        </w:rPr>
        <w:t>_</w:t>
      </w:r>
      <w:bookmarkStart w:id="72" w:name="_Hlk60666078"/>
      <w:r>
        <w:rPr>
          <w:rFonts w:hint="eastAsia" w:ascii="宋体" w:hAnsi="宋体" w:eastAsia="宋体" w:cs="宋体"/>
          <w:snapToGrid w:val="0"/>
          <w:color w:val="auto"/>
          <w:sz w:val="24"/>
          <w:szCs w:val="24"/>
          <w:u w:val="single"/>
        </w:rPr>
        <w:t xml:space="preserve"> [采购人名称] </w:t>
      </w:r>
      <w:bookmarkEnd w:id="72"/>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单位的采购文件编号为</w:t>
      </w:r>
      <w:r>
        <w:rPr>
          <w:rFonts w:hint="eastAsia" w:ascii="宋体" w:hAnsi="宋体" w:eastAsia="宋体" w:cs="宋体"/>
          <w:color w:val="auto"/>
          <w:sz w:val="24"/>
          <w:szCs w:val="24"/>
          <w:u w:val="single"/>
        </w:rPr>
        <w:t>_</w:t>
      </w:r>
      <w:bookmarkStart w:id="73" w:name="_Hlk60666088"/>
      <w:r>
        <w:rPr>
          <w:rFonts w:hint="eastAsia" w:ascii="宋体" w:hAnsi="宋体" w:eastAsia="宋体" w:cs="宋体"/>
          <w:snapToGrid w:val="0"/>
          <w:color w:val="auto"/>
          <w:sz w:val="24"/>
          <w:szCs w:val="24"/>
          <w:u w:val="single"/>
        </w:rPr>
        <w:t xml:space="preserve"> [项目编号] </w:t>
      </w:r>
      <w:bookmarkEnd w:id="73"/>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bookmarkStart w:id="74" w:name="_Hlk60666094"/>
      <w:r>
        <w:rPr>
          <w:rFonts w:hint="eastAsia" w:ascii="宋体" w:hAnsi="宋体" w:eastAsia="宋体" w:cs="宋体"/>
          <w:snapToGrid w:val="0"/>
          <w:color w:val="auto"/>
          <w:sz w:val="24"/>
          <w:szCs w:val="24"/>
          <w:u w:val="single"/>
        </w:rPr>
        <w:t>[项目名称]</w:t>
      </w:r>
      <w:bookmarkEnd w:id="74"/>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项目采购活动提供全部由本单位制造的货物（全部由本单位承担工程/提供服务），或者提供其他残疾人福利性单位</w:t>
      </w:r>
      <w:bookmarkStart w:id="75" w:name="_Hlk60666108"/>
      <w:r>
        <w:rPr>
          <w:rFonts w:hint="eastAsia" w:ascii="宋体" w:hAnsi="宋体" w:eastAsia="宋体" w:cs="宋体"/>
          <w:color w:val="auto"/>
          <w:sz w:val="24"/>
          <w:szCs w:val="24"/>
          <w:u w:val="single"/>
        </w:rPr>
        <w:t xml:space="preserve">  [残疾人福利性单位名称]  </w:t>
      </w:r>
      <w:bookmarkEnd w:id="75"/>
      <w:r>
        <w:rPr>
          <w:rFonts w:hint="eastAsia" w:ascii="宋体" w:hAnsi="宋体" w:eastAsia="宋体" w:cs="宋体"/>
          <w:color w:val="auto"/>
          <w:sz w:val="24"/>
          <w:szCs w:val="24"/>
        </w:rPr>
        <w:t>制造的货物（不包括使用非残疾人福利性单位注册商标的货物）。</w:t>
      </w:r>
    </w:p>
    <w:p w14:paraId="2F9E8D45">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22120095">
      <w:pPr>
        <w:spacing w:before="48" w:beforeLines="20" w:line="360" w:lineRule="auto"/>
        <w:ind w:firstLine="480" w:firstLineChars="200"/>
        <w:rPr>
          <w:rFonts w:ascii="宋体" w:hAnsi="宋体" w:eastAsia="宋体" w:cs="宋体"/>
          <w:color w:val="auto"/>
          <w:sz w:val="24"/>
          <w:szCs w:val="24"/>
        </w:rPr>
      </w:pPr>
    </w:p>
    <w:p w14:paraId="55E96A9A">
      <w:pPr>
        <w:spacing w:line="588" w:lineRule="exact"/>
        <w:ind w:firstLine="480" w:firstLineChars="200"/>
        <w:rPr>
          <w:rFonts w:ascii="宋体" w:hAnsi="宋体" w:eastAsia="宋体" w:cs="宋体"/>
          <w:b/>
          <w:bCs/>
          <w:color w:val="auto"/>
          <w:sz w:val="24"/>
          <w:szCs w:val="24"/>
        </w:rPr>
      </w:pPr>
      <w:bookmarkStart w:id="76" w:name="_Hlk60666116"/>
      <w:r>
        <w:rPr>
          <w:rFonts w:hint="eastAsia" w:ascii="宋体" w:hAnsi="宋体" w:eastAsia="宋体" w:cs="宋体"/>
          <w:snapToGrid w:val="0"/>
          <w:color w:val="auto"/>
          <w:sz w:val="24"/>
          <w:szCs w:val="24"/>
        </w:rPr>
        <w:t xml:space="preserve"> </w:t>
      </w:r>
    </w:p>
    <w:bookmarkEnd w:id="76"/>
    <w:p w14:paraId="2EFA35A0">
      <w:pPr>
        <w:spacing w:line="588" w:lineRule="exact"/>
        <w:ind w:firstLine="504" w:firstLineChars="200"/>
        <w:rPr>
          <w:rFonts w:ascii="宋体" w:hAnsi="宋体" w:eastAsia="宋体" w:cs="宋体"/>
          <w:color w:val="auto"/>
          <w:spacing w:val="6"/>
          <w:sz w:val="24"/>
          <w:szCs w:val="24"/>
        </w:rPr>
      </w:pPr>
    </w:p>
    <w:p w14:paraId="35952CE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5167276F">
      <w:pPr>
        <w:spacing w:line="588" w:lineRule="exact"/>
        <w:rPr>
          <w:rFonts w:ascii="宋体" w:hAnsi="宋体" w:eastAsia="宋体" w:cs="宋体"/>
          <w:color w:val="auto"/>
          <w:spacing w:val="6"/>
          <w:sz w:val="24"/>
          <w:szCs w:val="24"/>
        </w:rPr>
      </w:pPr>
      <w:r>
        <w:rPr>
          <w:rFonts w:hint="eastAsia" w:ascii="宋体" w:hAnsi="宋体" w:eastAsia="宋体" w:cs="宋体"/>
          <w:color w:val="auto"/>
          <w:sz w:val="24"/>
          <w:szCs w:val="24"/>
        </w:rPr>
        <w:t>投标人名称（盖章）：</w:t>
      </w:r>
    </w:p>
    <w:p w14:paraId="01360262">
      <w:pPr>
        <w:spacing w:line="360" w:lineRule="auto"/>
        <w:ind w:left="5500" w:leftChars="2500"/>
        <w:rPr>
          <w:rFonts w:ascii="宋体" w:hAnsi="宋体" w:eastAsia="宋体" w:cs="宋体"/>
          <w:color w:val="auto"/>
          <w:sz w:val="24"/>
          <w:szCs w:val="24"/>
        </w:rPr>
      </w:pPr>
    </w:p>
    <w:p w14:paraId="7DCE269D">
      <w:pPr>
        <w:spacing w:line="360" w:lineRule="auto"/>
        <w:ind w:left="5500" w:leftChars="2500"/>
        <w:rPr>
          <w:rFonts w:ascii="宋体" w:hAnsi="宋体" w:eastAsia="宋体" w:cs="宋体"/>
          <w:color w:val="auto"/>
          <w:sz w:val="24"/>
          <w:szCs w:val="24"/>
        </w:rPr>
      </w:pPr>
    </w:p>
    <w:p w14:paraId="7E136F49">
      <w:pPr>
        <w:spacing w:line="360" w:lineRule="auto"/>
        <w:ind w:left="5500" w:leftChars="2500"/>
        <w:rPr>
          <w:rFonts w:ascii="宋体" w:hAnsi="宋体" w:eastAsia="宋体" w:cs="宋体"/>
          <w:color w:val="auto"/>
          <w:sz w:val="24"/>
          <w:szCs w:val="24"/>
        </w:rPr>
      </w:pPr>
    </w:p>
    <w:p w14:paraId="24B2F47F">
      <w:pPr>
        <w:spacing w:line="360" w:lineRule="auto"/>
        <w:ind w:left="5500" w:leftChars="2500"/>
        <w:rPr>
          <w:rFonts w:ascii="宋体" w:hAnsi="宋体" w:eastAsia="宋体" w:cs="宋体"/>
          <w:color w:val="auto"/>
          <w:sz w:val="24"/>
          <w:szCs w:val="24"/>
        </w:rPr>
      </w:pPr>
      <w:r>
        <w:rPr>
          <w:rFonts w:hint="eastAsia" w:ascii="宋体" w:hAnsi="宋体" w:eastAsia="宋体" w:cs="宋体"/>
          <w:color w:val="auto"/>
          <w:sz w:val="24"/>
          <w:szCs w:val="24"/>
        </w:rPr>
        <w:t>日  期：  年   月   日</w:t>
      </w:r>
    </w:p>
    <w:p w14:paraId="54E35297">
      <w:pPr>
        <w:spacing w:line="320" w:lineRule="exact"/>
        <w:rPr>
          <w:rFonts w:ascii="宋体" w:hAnsi="宋体" w:eastAsia="宋体" w:cs="宋体"/>
          <w:color w:val="auto"/>
          <w:sz w:val="24"/>
          <w:szCs w:val="24"/>
        </w:rPr>
      </w:pPr>
    </w:p>
    <w:p w14:paraId="66EC8DFC">
      <w:pPr>
        <w:pStyle w:val="33"/>
        <w:ind w:firstLine="0"/>
        <w:rPr>
          <w:rFonts w:ascii="宋体" w:hAnsi="宋体" w:cs="宋体"/>
          <w:color w:val="auto"/>
        </w:rPr>
      </w:pPr>
    </w:p>
    <w:p w14:paraId="7F13968C">
      <w:pPr>
        <w:pStyle w:val="33"/>
        <w:ind w:firstLine="0"/>
        <w:rPr>
          <w:rFonts w:ascii="宋体" w:hAnsi="宋体" w:cs="宋体"/>
          <w:color w:val="auto"/>
        </w:rPr>
      </w:pPr>
    </w:p>
    <w:bookmarkEnd w:id="77"/>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253BF">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20</w:t>
    </w:r>
    <w:r>
      <w:rPr>
        <w:rFonts w:ascii="宋体" w:hAnsi="宋体"/>
      </w:rPr>
      <w:fldChar w:fldCharType="end"/>
    </w:r>
  </w:p>
  <w:p w14:paraId="5F1F0DFC">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3599">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65EF3A2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E12D0">
    <w:pPr>
      <w:pStyle w:val="16"/>
    </w:pPr>
  </w:p>
  <w:p w14:paraId="49C1BBE2">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D990">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3CE9A"/>
    <w:multiLevelType w:val="singleLevel"/>
    <w:tmpl w:val="B6A3CE9A"/>
    <w:lvl w:ilvl="0" w:tentative="0">
      <w:start w:val="2"/>
      <w:numFmt w:val="chineseCounting"/>
      <w:suff w:val="nothing"/>
      <w:lvlText w:val="（%1）"/>
      <w:lvlJc w:val="left"/>
      <w:rPr>
        <w:rFonts w:hint="eastAsia"/>
      </w:rPr>
    </w:lvl>
  </w:abstractNum>
  <w:abstractNum w:abstractNumId="1">
    <w:nsid w:val="DDBD1092"/>
    <w:multiLevelType w:val="singleLevel"/>
    <w:tmpl w:val="DDBD1092"/>
    <w:lvl w:ilvl="0" w:tentative="0">
      <w:start w:val="5"/>
      <w:numFmt w:val="chineseCounting"/>
      <w:suff w:val="space"/>
      <w:lvlText w:val="第%1章"/>
      <w:lvlJc w:val="left"/>
      <w:rPr>
        <w:rFonts w:hint="eastAsia"/>
      </w:rPr>
    </w:lvl>
  </w:abstractNum>
  <w:abstractNum w:abstractNumId="2">
    <w:nsid w:val="E1B281E9"/>
    <w:multiLevelType w:val="singleLevel"/>
    <w:tmpl w:val="E1B281E9"/>
    <w:lvl w:ilvl="0" w:tentative="0">
      <w:start w:val="2"/>
      <w:numFmt w:val="chineseCounting"/>
      <w:suff w:val="nothing"/>
      <w:lvlText w:val="%1、"/>
      <w:lvlJc w:val="left"/>
      <w:rPr>
        <w:rFonts w:hint="eastAsia"/>
      </w:rPr>
    </w:lvl>
  </w:abstractNum>
  <w:abstractNum w:abstractNumId="3">
    <w:nsid w:val="E9122AE8"/>
    <w:multiLevelType w:val="singleLevel"/>
    <w:tmpl w:val="E9122AE8"/>
    <w:lvl w:ilvl="0" w:tentative="0">
      <w:start w:val="2"/>
      <w:numFmt w:val="decimal"/>
      <w:suff w:val="nothing"/>
      <w:lvlText w:val="（%1）"/>
      <w:lvlJc w:val="left"/>
    </w:lvl>
  </w:abstractNum>
  <w:abstractNum w:abstractNumId="4">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mQwZjI0MmU5YTg5ODk2N2FkYjMyNWI5NTM5NjEifQ=="/>
  </w:docVars>
  <w:rsids>
    <w:rsidRoot w:val="00D31D50"/>
    <w:rsid w:val="00026CA5"/>
    <w:rsid w:val="000458DB"/>
    <w:rsid w:val="000508AB"/>
    <w:rsid w:val="00050D10"/>
    <w:rsid w:val="00053D8C"/>
    <w:rsid w:val="0008466D"/>
    <w:rsid w:val="0009546A"/>
    <w:rsid w:val="000B08EC"/>
    <w:rsid w:val="000B0E83"/>
    <w:rsid w:val="000B538B"/>
    <w:rsid w:val="000C5FF5"/>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249F"/>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43092"/>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054F"/>
    <w:rsid w:val="00BC757B"/>
    <w:rsid w:val="00BC7A5C"/>
    <w:rsid w:val="00BD2AED"/>
    <w:rsid w:val="00BD6A49"/>
    <w:rsid w:val="00BD77ED"/>
    <w:rsid w:val="00BE0B50"/>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07A2"/>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3475B"/>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752E00"/>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BD2307"/>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3F344C8"/>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384E49"/>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0720A5"/>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0369C"/>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32C8E"/>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EDB6CBC"/>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8F48E9"/>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4"/>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35"/>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qFormat/>
    <w:uiPriority w:val="99"/>
    <w:pPr>
      <w:ind w:left="600" w:leftChars="600"/>
    </w:pPr>
    <w:rPr>
      <w:rFonts w:ascii="Calibri" w:hAnsi="Calibri"/>
    </w:rPr>
  </w:style>
  <w:style w:type="paragraph" w:styleId="6">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54"/>
    <w:autoRedefine/>
    <w:unhideWhenUsed/>
    <w:qFormat/>
    <w:uiPriority w:val="0"/>
  </w:style>
  <w:style w:type="paragraph" w:styleId="9">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autoRedefine/>
    <w:qFormat/>
    <w:uiPriority w:val="0"/>
    <w:pPr>
      <w:spacing w:line="440" w:lineRule="exact"/>
      <w:ind w:firstLine="403" w:firstLineChars="192"/>
    </w:pPr>
    <w:rPr>
      <w:rFonts w:ascii="宋体" w:hAnsi="宋体" w:eastAsia="宋体" w:cs="宋体"/>
      <w:szCs w:val="21"/>
    </w:rPr>
  </w:style>
  <w:style w:type="paragraph" w:styleId="11">
    <w:name w:val="envelope return"/>
    <w:basedOn w:val="1"/>
    <w:autoRedefine/>
    <w:qFormat/>
    <w:uiPriority w:val="0"/>
    <w:rPr>
      <w:rFonts w:ascii="Arial" w:hAnsi="Arial"/>
    </w:rPr>
  </w:style>
  <w:style w:type="paragraph" w:styleId="12">
    <w:name w:val="Block Text"/>
    <w:basedOn w:val="1"/>
    <w:autoRedefine/>
    <w:unhideWhenUsed/>
    <w:qFormat/>
    <w:uiPriority w:val="99"/>
    <w:pPr>
      <w:spacing w:after="120"/>
      <w:ind w:left="1440" w:leftChars="700" w:right="1440" w:rightChars="700"/>
    </w:p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8"/>
    <w:next w:val="8"/>
    <w:link w:val="55"/>
    <w:autoRedefine/>
    <w:semiHidden/>
    <w:unhideWhenUsed/>
    <w:qFormat/>
    <w:uiPriority w:val="99"/>
    <w:rPr>
      <w:b/>
      <w:bCs/>
    </w:rPr>
  </w:style>
  <w:style w:type="paragraph" w:styleId="22">
    <w:name w:val="Body Text First Indent 2"/>
    <w:basedOn w:val="10"/>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Char"/>
    <w:basedOn w:val="25"/>
    <w:link w:val="17"/>
    <w:autoRedefine/>
    <w:qFormat/>
    <w:uiPriority w:val="99"/>
    <w:rPr>
      <w:rFonts w:ascii="Tahoma" w:hAnsi="Tahoma"/>
      <w:sz w:val="18"/>
      <w:szCs w:val="18"/>
    </w:rPr>
  </w:style>
  <w:style w:type="character" w:customStyle="1" w:styleId="30">
    <w:name w:val="页脚 Char"/>
    <w:basedOn w:val="25"/>
    <w:link w:val="16"/>
    <w:autoRedefine/>
    <w:qFormat/>
    <w:uiPriority w:val="99"/>
    <w:rPr>
      <w:rFonts w:ascii="Tahoma" w:hAnsi="Tahoma"/>
      <w:sz w:val="18"/>
      <w:szCs w:val="18"/>
    </w:rPr>
  </w:style>
  <w:style w:type="character" w:customStyle="1" w:styleId="31">
    <w:name w:val="标题 1 Char"/>
    <w:basedOn w:val="25"/>
    <w:link w:val="3"/>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Char"/>
    <w:basedOn w:val="25"/>
    <w:link w:val="5"/>
    <w:autoRedefine/>
    <w:qFormat/>
    <w:uiPriority w:val="0"/>
    <w:rPr>
      <w:rFonts w:ascii="Times New Roman" w:hAnsi="Times New Roman" w:eastAsia="宋体" w:cs="Times New Roman"/>
      <w:b/>
      <w:bCs/>
      <w:kern w:val="2"/>
      <w:sz w:val="32"/>
      <w:szCs w:val="32"/>
    </w:rPr>
  </w:style>
  <w:style w:type="character" w:customStyle="1" w:styleId="35">
    <w:name w:val="标题 4 Char"/>
    <w:basedOn w:val="25"/>
    <w:link w:val="7"/>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Char"/>
    <w:link w:val="6"/>
    <w:autoRedefine/>
    <w:qFormat/>
    <w:uiPriority w:val="0"/>
    <w:rPr>
      <w:kern w:val="2"/>
      <w:sz w:val="21"/>
      <w:szCs w:val="21"/>
    </w:rPr>
  </w:style>
  <w:style w:type="character" w:customStyle="1" w:styleId="41">
    <w:name w:val="标题 Char"/>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Char1"/>
    <w:basedOn w:val="25"/>
    <w:link w:val="14"/>
    <w:autoRedefine/>
    <w:semiHidden/>
    <w:qFormat/>
    <w:uiPriority w:val="99"/>
    <w:rPr>
      <w:rFonts w:ascii="宋体" w:hAnsi="Courier New" w:eastAsia="宋体" w:cs="Courier New"/>
      <w:sz w:val="21"/>
      <w:szCs w:val="21"/>
    </w:rPr>
  </w:style>
  <w:style w:type="character" w:customStyle="1" w:styleId="45">
    <w:name w:val="标题 2 Char"/>
    <w:basedOn w:val="25"/>
    <w:link w:val="4"/>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Char1"/>
    <w:basedOn w:val="25"/>
    <w:link w:val="9"/>
    <w:autoRedefine/>
    <w:semiHidden/>
    <w:qFormat/>
    <w:uiPriority w:val="99"/>
    <w:rPr>
      <w:rFonts w:ascii="Tahoma" w:hAnsi="Tahoma"/>
    </w:rPr>
  </w:style>
  <w:style w:type="character" w:customStyle="1" w:styleId="51">
    <w:name w:val="批注框文本 Char"/>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Char"/>
    <w:basedOn w:val="25"/>
    <w:link w:val="8"/>
    <w:autoRedefine/>
    <w:qFormat/>
    <w:uiPriority w:val="0"/>
    <w:rPr>
      <w:rFonts w:ascii="Tahoma" w:hAnsi="Tahoma" w:eastAsia="微软雅黑" w:cstheme="minorBidi"/>
      <w:sz w:val="22"/>
      <w:szCs w:val="22"/>
    </w:rPr>
  </w:style>
  <w:style w:type="character" w:customStyle="1" w:styleId="55">
    <w:name w:val="批注主题 Char"/>
    <w:basedOn w:val="54"/>
    <w:link w:val="21"/>
    <w:autoRedefine/>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02E54-2DB0-47DE-9440-249DEA3FC27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43</Pages>
  <Words>16153</Words>
  <Characters>16937</Characters>
  <Lines>145</Lines>
  <Paragraphs>40</Paragraphs>
  <TotalTime>20</TotalTime>
  <ScaleCrop>false</ScaleCrop>
  <LinksUpToDate>false</LinksUpToDate>
  <CharactersWithSpaces>19261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审计与法务处</cp:lastModifiedBy>
  <dcterms:modified xsi:type="dcterms:W3CDTF">2024-11-13T02:21:10Z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F7927BF223F842798D1DA2006731C3C4_13</vt:lpwstr>
  </property>
</Properties>
</file>