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江苏省基层卫生人员实训指导中心平台系统开发服务项目的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：NJMUZB3012021021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-105" w:rightChars="-50" w:hanging="1680" w:hangingChars="7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二、项目名称：江苏省基层卫生人员实训指导中心平台系统开发服务项目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：杭州卓健信息科技股份有限公司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供应商地址：浙江省杭州市江干区天城路68号万事利科技大厦1幢17楼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壹拾捌万玖仟伍佰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18,9500.00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四、主要标的信息</w:t>
      </w:r>
    </w:p>
    <w:tbl>
      <w:tblPr>
        <w:tblStyle w:val="20"/>
        <w:tblW w:w="6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江苏省基层卫生人员实训指导中心平台系统开发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服务内容：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服务标准：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服务期限：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评审专家名单：万荣春，窦炜，陈云萍，肖俊荣，华东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自本公告发布之日起1个</w:t>
      </w:r>
      <w:bookmarkStart w:id="6" w:name="_GoBack"/>
      <w:bookmarkEnd w:id="6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、凡对本次公告内容提出询问，请按以下方式联系。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bookmarkStart w:id="2" w:name="_Toc28359009"/>
      <w:bookmarkStart w:id="3" w:name="_Toc28359086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1. 采购人信息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960" w:firstLineChars="4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名 称：南京医科大学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960" w:firstLineChars="4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地址：南京市江宁区龙眠大道101号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2. 采购代理机构信息</w:t>
      </w:r>
      <w:bookmarkEnd w:id="2"/>
      <w:bookmarkEnd w:id="3"/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名称：江苏省华采招标有限公司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地址：南京市雨花台区软件大道109号（雨花客厅）2幢909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bookmarkStart w:id="4" w:name="_Toc28359087"/>
      <w:bookmarkStart w:id="5" w:name="_Toc28359010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3. 项目联系方式</w:t>
      </w:r>
      <w:bookmarkEnd w:id="4"/>
      <w:bookmarkEnd w:id="5"/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项目联系人：倪莲蕾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电　话：025-83603328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6CA11"/>
    <w:multiLevelType w:val="singleLevel"/>
    <w:tmpl w:val="9916CA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3D7546"/>
    <w:rsid w:val="03B532E2"/>
    <w:rsid w:val="04134A01"/>
    <w:rsid w:val="0506723F"/>
    <w:rsid w:val="05AC6551"/>
    <w:rsid w:val="06234F7A"/>
    <w:rsid w:val="064C2A52"/>
    <w:rsid w:val="06B87469"/>
    <w:rsid w:val="07711E8D"/>
    <w:rsid w:val="084F1BCB"/>
    <w:rsid w:val="08C46AA2"/>
    <w:rsid w:val="095A6610"/>
    <w:rsid w:val="0A2E0844"/>
    <w:rsid w:val="0C3E1B5A"/>
    <w:rsid w:val="0C722F63"/>
    <w:rsid w:val="0E1C7C14"/>
    <w:rsid w:val="0F257B45"/>
    <w:rsid w:val="0F582D76"/>
    <w:rsid w:val="0F817E58"/>
    <w:rsid w:val="0F907277"/>
    <w:rsid w:val="0FBB3C50"/>
    <w:rsid w:val="103257B6"/>
    <w:rsid w:val="10767557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A661DAE"/>
    <w:rsid w:val="1A772265"/>
    <w:rsid w:val="1AB12F2D"/>
    <w:rsid w:val="1B625FCD"/>
    <w:rsid w:val="1BB548EC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AA741EE"/>
    <w:rsid w:val="2D93195D"/>
    <w:rsid w:val="2EF1248F"/>
    <w:rsid w:val="2F312015"/>
    <w:rsid w:val="2FF40E42"/>
    <w:rsid w:val="31925D33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3D2F77"/>
    <w:rsid w:val="3B4A443C"/>
    <w:rsid w:val="3B767BC2"/>
    <w:rsid w:val="3C9A358E"/>
    <w:rsid w:val="3CB52386"/>
    <w:rsid w:val="3D7E31E1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DC452F"/>
    <w:rsid w:val="4A7A5F57"/>
    <w:rsid w:val="4AE14703"/>
    <w:rsid w:val="4B8E6C20"/>
    <w:rsid w:val="4C290BEC"/>
    <w:rsid w:val="4D164A56"/>
    <w:rsid w:val="4D607EF6"/>
    <w:rsid w:val="4DAB031E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2997CBC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DCA05C6"/>
    <w:rsid w:val="6EF74D21"/>
    <w:rsid w:val="6F2C1D50"/>
    <w:rsid w:val="6FB63791"/>
    <w:rsid w:val="704B2FA6"/>
    <w:rsid w:val="71087582"/>
    <w:rsid w:val="72002593"/>
    <w:rsid w:val="738B1A8E"/>
    <w:rsid w:val="73F355E2"/>
    <w:rsid w:val="74C96457"/>
    <w:rsid w:val="74E15AB6"/>
    <w:rsid w:val="7520215C"/>
    <w:rsid w:val="765E7E70"/>
    <w:rsid w:val="76C3415D"/>
    <w:rsid w:val="7C19176D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8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9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3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4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5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6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7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color w:val="333333"/>
      <w:u w:val="none"/>
    </w:rPr>
  </w:style>
  <w:style w:type="character" w:styleId="24">
    <w:name w:val="Emphasis"/>
    <w:basedOn w:val="21"/>
    <w:qFormat/>
    <w:uiPriority w:val="0"/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color w:val="333333"/>
      <w:u w:val="none"/>
    </w:rPr>
  </w:style>
  <w:style w:type="character" w:styleId="27">
    <w:name w:val="HTML Code"/>
    <w:basedOn w:val="21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HTML Keyboard"/>
    <w:basedOn w:val="2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2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0">
    <w:name w:val="hover4"/>
    <w:basedOn w:val="2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2021-08-12T01:16:33Z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2857280FAC60407DAD11BD694039531F</vt:lpwstr>
  </property>
</Properties>
</file>