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bookmark54"/>
      <w:bookmarkStart w:id="1" w:name="bookmark53"/>
      <w:bookmarkStart w:id="2" w:name="bookmark52"/>
      <w:r>
        <w:rPr>
          <w:rFonts w:hint="eastAsia" w:cs="宋体"/>
          <w:b/>
          <w:bCs/>
          <w:sz w:val="36"/>
          <w:szCs w:val="32"/>
          <w:lang w:eastAsia="zh-CN"/>
        </w:rPr>
        <w:t>南京医科大学解剖骨骼技术服务采购</w:t>
      </w:r>
      <w:r>
        <w:rPr>
          <w:rFonts w:hint="eastAsia" w:cs="宋体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NJDCX-202205051315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南京医科大学解剖骨骼技术服务采购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、中标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信息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供应商名称：郑州宏科卫教贸易有限公司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供应商地址：郑州市二七区南三环连云路都市广场B座1521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金额：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人民币374800元整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交货期限：30日历天。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  <w:t>主要标的信息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</w:p>
    <w:tbl>
      <w:tblPr>
        <w:tblStyle w:val="8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720"/>
        <w:gridCol w:w="18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颅底（内面观）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脊柱整体观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骨盆（男性）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肋骨（12对）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胸骨（前面观）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2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86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2175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  <w:t>评审专家名单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孙兆秀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杜冉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杨永林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赵国文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古慕峰（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采购人）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 w:leftChars="0"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：无。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凡对本次公告内容提出询问，请按以下方式联系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1、项目联系方式：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</w:rPr>
        <w:t>025-52639995转8009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采购代理机构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地址：南京市秦淮区光华东街6号世界之窗创意产业园15号楼4楼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instrText xml:space="preserve"> HYPERLINK "mailto:njdcx_gczx@163.com" </w:instrTex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njdcx_gczx@163.com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3、采购单位：南京医科大学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联系人：吕老师        联系电话：025-86868572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地址：南京市江宁区龙眠大道101号</w:t>
      </w:r>
    </w:p>
    <w:p>
      <w:pPr>
        <w:ind w:firstLine="480" w:firstLineChars="200"/>
        <w:rPr>
          <w:rFonts w:hint="eastAsia" w:ascii="宋体" w:hAnsi="宋体" w:eastAsia="宋体" w:cs="宋体"/>
          <w:sz w:val="28"/>
          <w:szCs w:val="28"/>
        </w:rPr>
      </w:pPr>
      <w:bookmarkStart w:id="3" w:name="bookmark59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各有关当事人对结果持有异议的，可以在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中标结果公示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发布之日起七个工作日内，以书面形式向南京达琛鑫工程咨询有限公司提出质疑，逾期将不再受理。</w:t>
      </w:r>
    </w:p>
    <w:p>
      <w:pPr>
        <w:pStyle w:val="12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p>
      <w:pPr>
        <w:pStyle w:val="12"/>
        <w:rPr>
          <w:rFonts w:hint="eastAsia" w:ascii="宋体" w:hAnsi="宋体" w:eastAsia="宋体" w:cs="宋体"/>
          <w:sz w:val="28"/>
          <w:szCs w:val="28"/>
        </w:rPr>
      </w:pPr>
      <w:bookmarkStart w:id="4" w:name="_GoBack"/>
      <w:bookmarkEnd w:id="4"/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FE41E"/>
    <w:multiLevelType w:val="singleLevel"/>
    <w:tmpl w:val="A98FE4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FA7C65"/>
    <w:multiLevelType w:val="singleLevel"/>
    <w:tmpl w:val="44FA7C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2MyYTNmZjE0NjJlYzA2ZTJkZjVjMWE5ZTY4MjYifQ=="/>
  </w:docVars>
  <w:rsids>
    <w:rsidRoot w:val="00000000"/>
    <w:rsid w:val="050A5A72"/>
    <w:rsid w:val="091737E2"/>
    <w:rsid w:val="0ABE134D"/>
    <w:rsid w:val="0BBC0D77"/>
    <w:rsid w:val="0C1919F8"/>
    <w:rsid w:val="0F0E6E0E"/>
    <w:rsid w:val="10C976B8"/>
    <w:rsid w:val="17063353"/>
    <w:rsid w:val="19376C4B"/>
    <w:rsid w:val="1CFE340E"/>
    <w:rsid w:val="1DBE02D7"/>
    <w:rsid w:val="213B4FB3"/>
    <w:rsid w:val="22D31FF9"/>
    <w:rsid w:val="255B4BEF"/>
    <w:rsid w:val="277E5337"/>
    <w:rsid w:val="28527D7F"/>
    <w:rsid w:val="287467CC"/>
    <w:rsid w:val="2B0E51E8"/>
    <w:rsid w:val="2E097327"/>
    <w:rsid w:val="30FD4782"/>
    <w:rsid w:val="33134E71"/>
    <w:rsid w:val="34097549"/>
    <w:rsid w:val="346301A9"/>
    <w:rsid w:val="36857A34"/>
    <w:rsid w:val="370F7E63"/>
    <w:rsid w:val="374475E5"/>
    <w:rsid w:val="38284985"/>
    <w:rsid w:val="39977363"/>
    <w:rsid w:val="39D543B8"/>
    <w:rsid w:val="3B734AD3"/>
    <w:rsid w:val="3D640D9B"/>
    <w:rsid w:val="404D51C8"/>
    <w:rsid w:val="414C567A"/>
    <w:rsid w:val="422F10F6"/>
    <w:rsid w:val="43A61854"/>
    <w:rsid w:val="44815D09"/>
    <w:rsid w:val="45982428"/>
    <w:rsid w:val="45AF6099"/>
    <w:rsid w:val="4885336C"/>
    <w:rsid w:val="48FE16BC"/>
    <w:rsid w:val="493E1B18"/>
    <w:rsid w:val="4C6D5DCE"/>
    <w:rsid w:val="53D51980"/>
    <w:rsid w:val="547F39EC"/>
    <w:rsid w:val="556413BA"/>
    <w:rsid w:val="586C625F"/>
    <w:rsid w:val="598C737A"/>
    <w:rsid w:val="5B1819D8"/>
    <w:rsid w:val="5C281D7A"/>
    <w:rsid w:val="5C692874"/>
    <w:rsid w:val="5CBB1589"/>
    <w:rsid w:val="611D1B9E"/>
    <w:rsid w:val="61C26E81"/>
    <w:rsid w:val="64BB7D9D"/>
    <w:rsid w:val="69191B40"/>
    <w:rsid w:val="6B862490"/>
    <w:rsid w:val="6C553651"/>
    <w:rsid w:val="6FCF2F31"/>
    <w:rsid w:val="717F6088"/>
    <w:rsid w:val="71AA097B"/>
    <w:rsid w:val="73C14143"/>
    <w:rsid w:val="740D2F20"/>
    <w:rsid w:val="75B60D4D"/>
    <w:rsid w:val="78756F24"/>
    <w:rsid w:val="78AB7915"/>
    <w:rsid w:val="7A5F071D"/>
    <w:rsid w:val="7DB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报告正文"/>
    <w:basedOn w:val="1"/>
    <w:qFormat/>
    <w:uiPriority w:val="0"/>
    <w:pPr>
      <w:adjustRightInd w:val="0"/>
      <w:snapToGrid w:val="0"/>
      <w:ind w:firstLine="560" w:firstLineChars="200"/>
    </w:pPr>
    <w:rPr>
      <w:kern w:val="0"/>
      <w:szCs w:val="20"/>
      <w:lang w:val="zh-CN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588</Characters>
  <Lines>0</Lines>
  <Paragraphs>0</Paragraphs>
  <TotalTime>7</TotalTime>
  <ScaleCrop>false</ScaleCrop>
  <LinksUpToDate>false</LinksUpToDate>
  <CharactersWithSpaces>607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徐舒舒</cp:lastModifiedBy>
  <dcterms:modified xsi:type="dcterms:W3CDTF">2022-05-27T07:51:51Z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FC796280F4EC473985A619E65612290A</vt:lpwstr>
  </property>
</Properties>
</file>