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auto"/>
          <w:sz w:val="28"/>
          <w:szCs w:val="28"/>
          <w:highlight w:val="none"/>
          <w:lang w:val="en-US" w:eastAsia="zh-CN"/>
        </w:rPr>
      </w:pPr>
      <w:bookmarkStart w:id="30" w:name="_GoBack"/>
      <w:bookmarkEnd w:id="30"/>
      <w:r>
        <w:rPr>
          <w:rFonts w:hint="eastAsia" w:ascii="宋体" w:hAnsi="宋体" w:eastAsia="宋体" w:cs="宋体"/>
          <w:color w:val="auto"/>
          <w:sz w:val="36"/>
          <w:szCs w:val="36"/>
          <w:highlight w:val="none"/>
          <w:lang w:val="en-US" w:eastAsia="zh-CN"/>
        </w:rPr>
        <w:t>招标公告</w:t>
      </w:r>
    </w:p>
    <w:p w14:paraId="79BDCD7B">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180EF89">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南京医科大学江宁校区08幢窗帘购置项目</w:t>
      </w:r>
      <w:r>
        <w:rPr>
          <w:rFonts w:hint="eastAsia" w:ascii="宋体" w:hAnsi="宋体" w:eastAsia="宋体" w:cs="宋体"/>
          <w:color w:val="auto"/>
          <w:szCs w:val="21"/>
          <w:highlight w:val="none"/>
        </w:rPr>
        <w:t>招标项目的潜在投标人应在</w:t>
      </w:r>
      <w:r>
        <w:rPr>
          <w:rFonts w:hint="eastAsia" w:ascii="宋体" w:hAnsi="宋体" w:eastAsia="宋体" w:cs="宋体"/>
          <w:color w:val="auto"/>
          <w:szCs w:val="21"/>
          <w:highlight w:val="none"/>
          <w:u w:val="single"/>
        </w:rPr>
        <w:t>南京市中山路99号12楼1212室</w:t>
      </w:r>
      <w:r>
        <w:rPr>
          <w:rFonts w:hint="eastAsia" w:ascii="宋体" w:hAnsi="宋体" w:eastAsia="宋体" w:cs="宋体"/>
          <w:color w:val="auto"/>
          <w:szCs w:val="21"/>
          <w:highlight w:val="none"/>
        </w:rPr>
        <w:t>获取招标文件，并于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w:t>
      </w:r>
      <w:r>
        <w:rPr>
          <w:rFonts w:hint="eastAsia" w:ascii="宋体" w:hAnsi="宋体" w:eastAsia="宋体" w:cs="宋体"/>
          <w:color w:val="auto"/>
          <w:szCs w:val="21"/>
          <w:highlight w:val="none"/>
        </w:rPr>
        <w:t>（北京时间）前递交投标文件。</w:t>
      </w:r>
    </w:p>
    <w:p w14:paraId="4A720268">
      <w:pPr>
        <w:spacing w:line="360" w:lineRule="auto"/>
        <w:jc w:val="left"/>
        <w:rPr>
          <w:rFonts w:hint="eastAsia" w:ascii="宋体" w:hAnsi="宋体" w:eastAsia="宋体" w:cs="宋体"/>
          <w:color w:val="auto"/>
          <w:szCs w:val="21"/>
          <w:highlight w:val="none"/>
        </w:rPr>
      </w:pPr>
      <w:bookmarkStart w:id="0" w:name="_Toc28359079"/>
      <w:bookmarkStart w:id="1" w:name="_Toc28359002"/>
      <w:bookmarkStart w:id="2" w:name="_Toc35393621"/>
      <w:bookmarkStart w:id="3" w:name="_Toc35393790"/>
      <w:bookmarkStart w:id="4" w:name="_Hlk24379207"/>
      <w:r>
        <w:rPr>
          <w:rFonts w:hint="eastAsia" w:ascii="宋体" w:hAnsi="宋体" w:eastAsia="宋体" w:cs="宋体"/>
          <w:color w:val="auto"/>
          <w:szCs w:val="21"/>
          <w:highlight w:val="none"/>
        </w:rPr>
        <w:t>一、项目基本情况</w:t>
      </w:r>
      <w:bookmarkEnd w:id="0"/>
      <w:bookmarkEnd w:id="1"/>
      <w:bookmarkEnd w:id="2"/>
      <w:bookmarkEnd w:id="3"/>
    </w:p>
    <w:p w14:paraId="12D32CF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项目编号：SNZX-</w:t>
      </w:r>
      <w:r>
        <w:rPr>
          <w:rFonts w:hint="eastAsia" w:ascii="宋体" w:hAnsi="宋体" w:eastAsia="宋体" w:cs="宋体"/>
          <w:color w:val="auto"/>
          <w:szCs w:val="21"/>
          <w:highlight w:val="none"/>
          <w:lang w:eastAsia="zh-CN"/>
        </w:rPr>
        <w:t>20260298</w:t>
      </w:r>
      <w:r>
        <w:rPr>
          <w:rFonts w:hint="eastAsia" w:ascii="宋体" w:hAnsi="宋体" w:eastAsia="宋体" w:cs="宋体"/>
          <w:color w:val="auto"/>
          <w:szCs w:val="21"/>
          <w:highlight w:val="none"/>
        </w:rPr>
        <w:t xml:space="preserve"> </w:t>
      </w:r>
    </w:p>
    <w:p w14:paraId="4A71F014">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项目名称</w:t>
      </w:r>
      <w:bookmarkEnd w:id="4"/>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南京医科大学江宁校区08幢窗帘购置项目</w:t>
      </w:r>
    </w:p>
    <w:p w14:paraId="1014070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预算金额：</w:t>
      </w:r>
      <w:r>
        <w:rPr>
          <w:rFonts w:hint="eastAsia" w:ascii="宋体" w:hAnsi="宋体" w:eastAsia="宋体" w:cs="宋体"/>
          <w:color w:val="auto"/>
          <w:szCs w:val="21"/>
          <w:highlight w:val="none"/>
          <w:lang w:val="en-US" w:eastAsia="zh-CN"/>
        </w:rPr>
        <w:t>31.68</w:t>
      </w:r>
      <w:r>
        <w:rPr>
          <w:rFonts w:hint="eastAsia" w:ascii="宋体" w:hAnsi="宋体" w:eastAsia="宋体" w:cs="宋体"/>
          <w:color w:val="auto"/>
          <w:szCs w:val="21"/>
          <w:highlight w:val="none"/>
        </w:rPr>
        <w:t>万元</w:t>
      </w:r>
    </w:p>
    <w:p w14:paraId="6B5DA61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31.68</w:t>
      </w:r>
      <w:r>
        <w:rPr>
          <w:rFonts w:hint="eastAsia" w:ascii="宋体" w:hAnsi="宋体" w:eastAsia="宋体" w:cs="宋体"/>
          <w:color w:val="auto"/>
          <w:szCs w:val="21"/>
          <w:highlight w:val="none"/>
        </w:rPr>
        <w:t>万元，投标报价超过最高限价的为无效投标。</w:t>
      </w:r>
    </w:p>
    <w:p w14:paraId="02BA0D2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采购需求：</w:t>
      </w:r>
      <w:r>
        <w:rPr>
          <w:rFonts w:hint="eastAsia" w:ascii="宋体" w:hAnsi="宋体" w:eastAsia="宋体" w:cs="宋体"/>
          <w:color w:val="auto"/>
          <w:szCs w:val="21"/>
          <w:highlight w:val="none"/>
          <w:lang w:eastAsia="zh-CN"/>
        </w:rPr>
        <w:t>南京医科大学江宁校区08幢窗帘购置项目</w:t>
      </w:r>
      <w:r>
        <w:rPr>
          <w:rFonts w:hint="eastAsia" w:ascii="宋体" w:hAnsi="宋体" w:eastAsia="宋体" w:cs="宋体"/>
          <w:color w:val="auto"/>
          <w:szCs w:val="21"/>
          <w:highlight w:val="none"/>
        </w:rPr>
        <w:t>，具体详见招标文件。</w:t>
      </w:r>
    </w:p>
    <w:p w14:paraId="6FBB0DA8">
      <w:pPr>
        <w:autoSpaceDE w:val="0"/>
        <w:autoSpaceDN w:val="0"/>
        <w:spacing w:line="360" w:lineRule="auto"/>
        <w:ind w:firstLine="420"/>
        <w:rPr>
          <w:rFonts w:hint="eastAsia" w:ascii="宋体" w:hAnsi="宋体" w:eastAsia="宋体" w:cs="宋体"/>
          <w:i/>
          <w:iCs/>
          <w:color w:val="auto"/>
          <w:sz w:val="21"/>
          <w:szCs w:val="21"/>
          <w:highlight w:val="none"/>
          <w:u w:val="single"/>
          <w:lang w:val="zh-CN"/>
        </w:rPr>
      </w:pPr>
      <w:r>
        <w:rPr>
          <w:rFonts w:hint="eastAsia" w:ascii="宋体" w:hAnsi="宋体" w:eastAsia="宋体" w:cs="宋体"/>
          <w:color w:val="auto"/>
          <w:szCs w:val="21"/>
          <w:highlight w:val="none"/>
        </w:rPr>
        <w:t>合同履行期限（交货期）：</w:t>
      </w:r>
      <w:bookmarkStart w:id="5" w:name="_Toc28359003"/>
      <w:bookmarkStart w:id="6" w:name="_Toc35393622"/>
      <w:bookmarkStart w:id="7" w:name="_Toc28359080"/>
      <w:bookmarkStart w:id="8" w:name="_Toc35393791"/>
      <w:r>
        <w:rPr>
          <w:rFonts w:hint="eastAsia" w:ascii="宋体" w:hAnsi="宋体" w:eastAsia="宋体" w:cs="宋体"/>
          <w:color w:val="auto"/>
          <w:szCs w:val="21"/>
          <w:highlight w:val="none"/>
          <w:lang w:val="zh-CN"/>
        </w:rPr>
        <w:t>合同签订生效后，从第二天算计起，</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日历天内全部</w:t>
      </w:r>
      <w:r>
        <w:rPr>
          <w:rFonts w:hint="eastAsia" w:ascii="宋体" w:hAnsi="宋体" w:eastAsia="宋体" w:cs="宋体"/>
          <w:color w:val="auto"/>
          <w:szCs w:val="21"/>
          <w:highlight w:val="none"/>
          <w:lang w:val="zh-CN" w:eastAsia="zh-CN"/>
        </w:rPr>
        <w:t>货物</w:t>
      </w:r>
      <w:r>
        <w:rPr>
          <w:rFonts w:hint="eastAsia" w:ascii="宋体" w:hAnsi="宋体" w:eastAsia="宋体" w:cs="宋体"/>
          <w:color w:val="auto"/>
          <w:szCs w:val="21"/>
          <w:highlight w:val="none"/>
          <w:lang w:val="zh-CN"/>
        </w:rPr>
        <w:t>、材料运抵现场，并安装、调试结束，验收合格，交付采购人使用。</w:t>
      </w:r>
    </w:p>
    <w:p w14:paraId="3696BB87">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p>
    <w:p w14:paraId="4FA4EC48">
      <w:pPr>
        <w:spacing w:line="360" w:lineRule="auto"/>
        <w:ind w:firstLine="420" w:firstLineChars="200"/>
        <w:jc w:val="left"/>
        <w:rPr>
          <w:rFonts w:ascii="Times New Roman" w:hAnsi="Times New Roman" w:eastAsia="宋体" w:cs="Times New Roman"/>
          <w:color w:val="auto"/>
          <w:highlight w:val="none"/>
        </w:rPr>
      </w:pPr>
      <w:r>
        <w:rPr>
          <w:rFonts w:hint="eastAsia" w:ascii="宋体" w:hAnsi="宋体" w:eastAsia="宋体" w:cs="Times New Roman"/>
          <w:color w:val="auto"/>
          <w:szCs w:val="21"/>
          <w:highlight w:val="none"/>
        </w:rPr>
        <w:t>是否专门面向中小企业：否</w:t>
      </w:r>
    </w:p>
    <w:p w14:paraId="0509668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本项目采购标的所属行业为：</w:t>
      </w:r>
      <w:r>
        <w:rPr>
          <w:rFonts w:hint="eastAsia" w:ascii="宋体" w:hAnsi="宋体" w:eastAsia="宋体" w:cs="宋体"/>
          <w:color w:val="auto"/>
          <w:szCs w:val="21"/>
          <w:highlight w:val="none"/>
        </w:rPr>
        <w:t>根据《关于印发中小企业划型标准规定的通知》(工信部联企业(2011)300 号)及《国家统计局关于印发(统计上大中小微型企业划分办法(2017)〉的通知》(国统字(2017〕213 号)等文件规定，本项目所属行业为“工业”。</w:t>
      </w:r>
    </w:p>
    <w:bookmarkEnd w:id="5"/>
    <w:bookmarkEnd w:id="6"/>
    <w:bookmarkEnd w:id="7"/>
    <w:bookmarkEnd w:id="8"/>
    <w:p w14:paraId="54AEA00E">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二、申请人的资格要求：</w:t>
      </w:r>
    </w:p>
    <w:p w14:paraId="2573E99D">
      <w:pPr>
        <w:spacing w:line="360" w:lineRule="auto"/>
        <w:ind w:firstLine="420" w:firstLineChars="200"/>
        <w:jc w:val="left"/>
        <w:rPr>
          <w:rFonts w:ascii="宋体" w:hAnsi="宋体" w:eastAsia="宋体" w:cs="宋体"/>
          <w:color w:val="auto"/>
          <w:szCs w:val="21"/>
          <w:highlight w:val="none"/>
        </w:rPr>
      </w:pPr>
      <w:bookmarkStart w:id="9" w:name="_Toc35393792"/>
      <w:bookmarkStart w:id="10" w:name="_Toc35393623"/>
      <w:bookmarkStart w:id="11" w:name="_Toc28359082"/>
      <w:bookmarkStart w:id="12" w:name="_Toc28359005"/>
      <w:bookmarkStart w:id="13" w:name="_Toc35393793"/>
      <w:bookmarkStart w:id="14" w:name="_Toc35393624"/>
      <w:r>
        <w:rPr>
          <w:rFonts w:hint="eastAsia" w:ascii="宋体" w:hAnsi="宋体" w:eastAsia="宋体" w:cs="宋体"/>
          <w:color w:val="auto"/>
          <w:szCs w:val="21"/>
          <w:highlight w:val="none"/>
        </w:rPr>
        <w:t>（一）满足《中华人民共和国政府采购法》第二十二条规定；</w:t>
      </w:r>
    </w:p>
    <w:p w14:paraId="74010A7C">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1.具有独立承担民事责任的能力（提供法人或者其他组织的营业执照；供应商为自然人的提供其身份证，提供相关证明材料复印件并加盖公章）；</w:t>
      </w:r>
    </w:p>
    <w:p w14:paraId="5A1BE227">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eastAsia="宋体" w:cs="宋体"/>
          <w:color w:val="auto"/>
          <w:szCs w:val="21"/>
          <w:highlight w:val="none"/>
        </w:rPr>
        <w:t>；</w:t>
      </w:r>
    </w:p>
    <w:p w14:paraId="7A7E62B3">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3.具有履行合同所必需的设备和专业技术能力（投标人根据履行采购项目合同需要，提供履行合同所必需的设备和专业技术能力的证明材料，提供相关证明材料复印件并加盖公章或承诺书原件）；</w:t>
      </w:r>
    </w:p>
    <w:p w14:paraId="1883594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有依法缴纳税收和社会保障资金的良好记录（提供投标截止时间前六个月内任意一个月的纳税证明文件（依法免缴的应提供相应文件说明）；并提供投标截止时间前六个月内任意一个月依法为员工缴纳社会保障资金的证明材料（依法不需要缴纳社会保障资金的应提供相应文件说明））；</w:t>
      </w:r>
    </w:p>
    <w:p w14:paraId="02FF7512">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5.参加政府采购活动前三年内，在经营活动中没有重大违法记录（提供承诺书原件）；</w:t>
      </w:r>
    </w:p>
    <w:p w14:paraId="10776680">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6.法律、行政法规规定的其他条件，提供相关证明材料：无。</w:t>
      </w:r>
    </w:p>
    <w:p w14:paraId="59846BF5">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7.注:①前款第（5）项中所称重大违法记录，是指投标人因违法经营受到刑事处罚或者责令停产停业、吊销许可证或者执照、较大数额罚款等行政处罚。</w:t>
      </w:r>
    </w:p>
    <w:p w14:paraId="343518FB">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②投标人在参加政府采购活动前3年内因违法经营被禁止在一定期限内参加政府采购活动，期限届满的，可以参加政府采购活动。</w:t>
      </w:r>
    </w:p>
    <w:p w14:paraId="02593ED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（二）落实政府采购政策需满足的资格要求：如为中小微型企业、监狱企业、残疾人福利性单位，提供的产品为国家认定的节能产品和环保产品的须按要求提供相关材料。</w:t>
      </w:r>
    </w:p>
    <w:p w14:paraId="092A966F">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（三）本项目的特定资格要求：无。</w:t>
      </w:r>
    </w:p>
    <w:p w14:paraId="6AE04EA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（四）本项目不接受转包、分包。</w:t>
      </w:r>
    </w:p>
    <w:p w14:paraId="390DA14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（五）拒绝下述供应商参加本次采购活动：</w:t>
      </w:r>
    </w:p>
    <w:p w14:paraId="7848B43D">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1.供应商单位负责人为同一人或者存在直接控股、管理关系的不同供应商，不得参加同一合同项下的采购活动。</w:t>
      </w:r>
    </w:p>
    <w:p w14:paraId="59CAB949">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2.凡为采购项目提供整体设计、规范编制或者项目管理、监理、检测等服务的供应商，不得再参加本项目的采购活动。</w:t>
      </w:r>
    </w:p>
    <w:p w14:paraId="5C8AD616">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拒绝列入失信被执行人、重大税收违法失信主体、政府采购严重违法失信行为记录名单中的供应商参加本项目的采购活动。采购人或代理机构通过“信用中国”网站（www.creditchina.gov.cn）、“中国政府采购网”网站（www.ccgp.gov.cn）等渠道查询供应商信用记录并保存。</w:t>
      </w:r>
    </w:p>
    <w:p w14:paraId="07E5E33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（六）本项目不接受进口产品投标。（注：本文件所称进口产品是指通过中国海关报关验放进入中国境内且产自关境外的产品）</w:t>
      </w:r>
    </w:p>
    <w:p w14:paraId="77C70D36">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三、获取招标文件</w:t>
      </w:r>
      <w:bookmarkEnd w:id="9"/>
      <w:bookmarkEnd w:id="10"/>
    </w:p>
    <w:p w14:paraId="65B6C67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1、时间：2026年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日上午09:00至2026年</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日下午17:00，每天上午9:00至11:30，下午14:00至17:00（北京时间，法定节假日除外）</w:t>
      </w:r>
    </w:p>
    <w:p w14:paraId="11CB808E">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获取方式：网址为：</w:t>
      </w:r>
      <w:r>
        <w:rPr>
          <w:rFonts w:hint="eastAsia" w:ascii="宋体" w:hAnsi="宋体" w:eastAsia="宋体" w:cs="宋体"/>
          <w:color w:val="auto"/>
          <w:szCs w:val="21"/>
          <w:highlight w:val="none"/>
          <w:lang w:val="en-US" w:eastAsia="zh-CN"/>
        </w:rPr>
        <w:t>https://njsnzx.cn/#/detail?id=3163</w:t>
      </w:r>
      <w:r>
        <w:rPr>
          <w:rFonts w:hint="eastAsia" w:ascii="宋体" w:hAnsi="宋体" w:eastAsia="宋体" w:cs="宋体"/>
          <w:color w:val="auto"/>
          <w:szCs w:val="21"/>
          <w:highlight w:val="none"/>
        </w:rPr>
        <w:t>；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未按照上述要求合法获取招标（采购）文件的，招标（采购）人将不予受理其投标（响应）。</w:t>
      </w:r>
    </w:p>
    <w:p w14:paraId="5F6F524A">
      <w:pPr>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售价：￥500元，本公告包含的招标文件售价总和。</w:t>
      </w:r>
    </w:p>
    <w:p w14:paraId="20BA2DFC">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四、提交投标文件</w:t>
      </w:r>
      <w:bookmarkEnd w:id="11"/>
      <w:bookmarkEnd w:id="12"/>
      <w:r>
        <w:rPr>
          <w:rFonts w:hint="eastAsia" w:ascii="宋体" w:hAnsi="宋体" w:eastAsia="宋体" w:cs="宋体"/>
          <w:color w:val="auto"/>
          <w:szCs w:val="21"/>
          <w:highlight w:val="none"/>
        </w:rPr>
        <w:t>截止时间、开标时间和地点</w:t>
      </w:r>
      <w:bookmarkEnd w:id="13"/>
      <w:bookmarkEnd w:id="14"/>
    </w:p>
    <w:p w14:paraId="2182D45F">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截止时间及开标时间：</w:t>
      </w:r>
      <w:r>
        <w:rPr>
          <w:rFonts w:hint="eastAsia" w:ascii="宋体" w:hAnsi="宋体" w:eastAsia="宋体" w:cs="宋体"/>
          <w:color w:val="auto"/>
          <w:szCs w:val="21"/>
          <w:highlight w:val="none"/>
          <w:u w:val="single"/>
        </w:rPr>
        <w:t>2026年</w:t>
      </w:r>
      <w:r>
        <w:rPr>
          <w:rFonts w:hint="eastAsia" w:ascii="宋体" w:hAnsi="宋体" w:eastAsia="宋体" w:cs="宋体"/>
          <w:color w:val="auto"/>
          <w:szCs w:val="21"/>
          <w:highlight w:val="none"/>
          <w:u w:val="single"/>
          <w:lang w:val="en-US" w:eastAsia="zh-CN"/>
        </w:rPr>
        <w:t>7</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24</w:t>
      </w:r>
      <w:r>
        <w:rPr>
          <w:rFonts w:hint="eastAsia" w:ascii="宋体" w:hAnsi="宋体" w:eastAsia="宋体" w:cs="宋体"/>
          <w:color w:val="auto"/>
          <w:szCs w:val="21"/>
          <w:highlight w:val="none"/>
          <w:u w:val="single"/>
        </w:rPr>
        <w:t>日</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u w:val="single"/>
        </w:rPr>
        <w:t>分（北京时间）</w:t>
      </w:r>
    </w:p>
    <w:p w14:paraId="331A005A">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南京市中山路99号12楼1212室</w:t>
      </w:r>
    </w:p>
    <w:p w14:paraId="078C4D3F">
      <w:pPr>
        <w:spacing w:line="360" w:lineRule="auto"/>
        <w:jc w:val="left"/>
        <w:rPr>
          <w:rFonts w:hint="eastAsia" w:ascii="宋体" w:hAnsi="宋体" w:eastAsia="宋体" w:cs="宋体"/>
          <w:color w:val="auto"/>
          <w:szCs w:val="21"/>
          <w:highlight w:val="none"/>
        </w:rPr>
      </w:pPr>
      <w:bookmarkStart w:id="15" w:name="_Toc28359084"/>
      <w:bookmarkStart w:id="16" w:name="_Toc35393794"/>
      <w:bookmarkStart w:id="17" w:name="_Toc35393625"/>
      <w:bookmarkStart w:id="18" w:name="_Toc28359007"/>
      <w:r>
        <w:rPr>
          <w:rFonts w:hint="eastAsia" w:ascii="宋体" w:hAnsi="宋体" w:eastAsia="宋体" w:cs="宋体"/>
          <w:color w:val="auto"/>
          <w:szCs w:val="21"/>
          <w:highlight w:val="none"/>
        </w:rPr>
        <w:t>五、公告期限</w:t>
      </w:r>
      <w:bookmarkEnd w:id="15"/>
      <w:bookmarkEnd w:id="16"/>
      <w:bookmarkEnd w:id="17"/>
      <w:bookmarkEnd w:id="18"/>
    </w:p>
    <w:p w14:paraId="2C7C277B">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自本公告发布之日起5个工作日。</w:t>
      </w:r>
    </w:p>
    <w:p w14:paraId="32035900">
      <w:pPr>
        <w:spacing w:line="360" w:lineRule="auto"/>
        <w:jc w:val="left"/>
        <w:rPr>
          <w:rFonts w:hint="eastAsia" w:ascii="宋体" w:hAnsi="宋体" w:eastAsia="宋体" w:cs="宋体"/>
          <w:color w:val="auto"/>
          <w:szCs w:val="21"/>
          <w:highlight w:val="none"/>
        </w:rPr>
      </w:pPr>
      <w:bookmarkStart w:id="19" w:name="_Toc35393626"/>
      <w:bookmarkStart w:id="20" w:name="_Toc35393795"/>
      <w:r>
        <w:rPr>
          <w:rFonts w:hint="eastAsia" w:ascii="宋体" w:hAnsi="宋体" w:eastAsia="宋体" w:cs="宋体"/>
          <w:color w:val="auto"/>
          <w:szCs w:val="21"/>
          <w:highlight w:val="none"/>
        </w:rPr>
        <w:t>六、其他补充事宜</w:t>
      </w:r>
      <w:bookmarkEnd w:id="19"/>
      <w:bookmarkEnd w:id="20"/>
    </w:p>
    <w:p w14:paraId="457A1B2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1.集中勘察或答疑：</w:t>
      </w:r>
    </w:p>
    <w:p w14:paraId="786FC1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本项目不安排现场勘查环节</w:t>
      </w:r>
      <w:r>
        <w:rPr>
          <w:rFonts w:hint="eastAsia" w:ascii="宋体" w:hAnsi="宋体" w:eastAsia="宋体" w:cs="宋体"/>
          <w:color w:val="auto"/>
          <w:szCs w:val="21"/>
          <w:highlight w:val="none"/>
        </w:rPr>
        <w:t>。</w:t>
      </w:r>
    </w:p>
    <w:p w14:paraId="726A456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hint="eastAsia" w:ascii="宋体" w:hAnsi="宋体" w:eastAsia="宋体" w:cs="宋体"/>
          <w:color w:val="auto"/>
          <w:szCs w:val="21"/>
          <w:highlight w:val="none"/>
        </w:rPr>
      </w:pPr>
      <w:bookmarkStart w:id="21" w:name="_Toc28359008"/>
      <w:bookmarkStart w:id="22" w:name="_Toc35393796"/>
      <w:bookmarkStart w:id="23" w:name="_Toc28359085"/>
      <w:bookmarkStart w:id="24" w:name="_Toc35393627"/>
      <w:r>
        <w:rPr>
          <w:rFonts w:hint="eastAsia" w:ascii="宋体" w:hAnsi="宋体" w:eastAsia="宋体" w:cs="宋体"/>
          <w:color w:val="auto"/>
          <w:szCs w:val="21"/>
          <w:highlight w:val="none"/>
        </w:rPr>
        <w:t>3.公告媒体</w:t>
      </w:r>
    </w:p>
    <w:p w14:paraId="21158AF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4.采购项目需要落实的政府采购政策：</w:t>
      </w:r>
    </w:p>
    <w:p w14:paraId="7DA42018">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（1）政府采购促进中小企业发展</w:t>
      </w:r>
    </w:p>
    <w:p w14:paraId="1C703A3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（2）政府采购支持监狱企业发展</w:t>
      </w:r>
    </w:p>
    <w:p w14:paraId="18756536">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（3）政府采购促进残疾人就业</w:t>
      </w:r>
    </w:p>
    <w:p w14:paraId="6AB8824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（4）政府采购鼓励采购节能环保产品</w:t>
      </w:r>
    </w:p>
    <w:p w14:paraId="436C0BA8">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七、对本次招标提出询问，请按以下方式联系。</w:t>
      </w:r>
      <w:bookmarkEnd w:id="21"/>
      <w:bookmarkEnd w:id="22"/>
      <w:bookmarkEnd w:id="23"/>
      <w:bookmarkEnd w:id="24"/>
    </w:p>
    <w:p w14:paraId="230808A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842B87D">
      <w:pPr>
        <w:spacing w:line="360" w:lineRule="auto"/>
        <w:ind w:firstLine="420" w:firstLineChars="200"/>
        <w:jc w:val="left"/>
        <w:rPr>
          <w:rFonts w:hint="eastAsia" w:ascii="宋体" w:hAnsi="宋体" w:eastAsia="宋体" w:cs="宋体"/>
          <w:color w:val="auto"/>
          <w:szCs w:val="21"/>
          <w:highlight w:val="none"/>
        </w:rPr>
      </w:pPr>
      <w:bookmarkStart w:id="25" w:name="_Toc28359009"/>
      <w:bookmarkStart w:id="26" w:name="_Toc28359086"/>
      <w:r>
        <w:rPr>
          <w:rFonts w:hint="eastAsia" w:ascii="宋体" w:hAnsi="宋体" w:eastAsia="宋体" w:cs="宋体"/>
          <w:color w:val="auto"/>
          <w:szCs w:val="21"/>
          <w:highlight w:val="none"/>
        </w:rPr>
        <w:t>单位名称：南京医科大学</w:t>
      </w:r>
    </w:p>
    <w:p w14:paraId="700519EA">
      <w:pPr>
        <w:spacing w:line="360" w:lineRule="auto"/>
        <w:ind w:firstLine="452" w:firstLineChars="200"/>
        <w:jc w:val="left"/>
        <w:rPr>
          <w:rFonts w:hint="eastAsia" w:ascii="宋体" w:hAnsi="宋体" w:eastAsia="宋体" w:cs="宋体"/>
          <w:color w:val="auto"/>
          <w:spacing w:val="8"/>
          <w:kern w:val="0"/>
          <w:szCs w:val="21"/>
          <w:highlight w:val="none"/>
        </w:rPr>
      </w:pPr>
      <w:r>
        <w:rPr>
          <w:rFonts w:hint="eastAsia" w:ascii="宋体" w:hAnsi="宋体" w:eastAsia="宋体" w:cs="宋体"/>
          <w:color w:val="auto"/>
          <w:spacing w:val="8"/>
          <w:kern w:val="0"/>
          <w:szCs w:val="21"/>
          <w:highlight w:val="none"/>
        </w:rPr>
        <w:t>单位地址：</w:t>
      </w:r>
      <w:r>
        <w:rPr>
          <w:rFonts w:hint="eastAsia" w:ascii="宋体" w:hAnsi="宋体" w:eastAsia="宋体" w:cs="宋体"/>
          <w:color w:val="auto"/>
          <w:spacing w:val="8"/>
          <w:kern w:val="0"/>
          <w:szCs w:val="21"/>
          <w:highlight w:val="none"/>
          <w:shd w:val="clear" w:color="auto" w:fill="FFFFFF"/>
        </w:rPr>
        <w:t>南京市江宁区龙眠大道101号</w:t>
      </w:r>
    </w:p>
    <w:p w14:paraId="40064D40">
      <w:pPr>
        <w:spacing w:line="360" w:lineRule="auto"/>
        <w:ind w:firstLine="420" w:firstLineChars="200"/>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联系人：</w:t>
      </w:r>
      <w:r>
        <w:rPr>
          <w:rFonts w:hint="eastAsia" w:ascii="Times New Roman" w:hAnsi="Times New Roman" w:eastAsia="宋体" w:cs="Times New Roman"/>
          <w:color w:val="auto"/>
          <w:szCs w:val="21"/>
          <w:highlight w:val="none"/>
          <w:lang w:eastAsia="zh-CN"/>
        </w:rPr>
        <w:t>吕</w:t>
      </w:r>
      <w:r>
        <w:rPr>
          <w:rFonts w:hint="eastAsia" w:ascii="Times New Roman" w:hAnsi="Times New Roman" w:eastAsia="宋体" w:cs="Times New Roman"/>
          <w:color w:val="auto"/>
          <w:szCs w:val="21"/>
          <w:highlight w:val="none"/>
        </w:rPr>
        <w:t>老师</w:t>
      </w:r>
    </w:p>
    <w:p w14:paraId="03FAC50A">
      <w:pPr>
        <w:spacing w:line="360" w:lineRule="auto"/>
        <w:ind w:firstLine="420" w:firstLineChars="200"/>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rPr>
        <w:t>联系方式：</w:t>
      </w:r>
      <w:r>
        <w:rPr>
          <w:rFonts w:hint="eastAsia" w:ascii="Times New Roman" w:hAnsi="Times New Roman" w:eastAsia="宋体" w:cs="Times New Roman"/>
          <w:color w:val="auto"/>
          <w:szCs w:val="21"/>
          <w:highlight w:val="none"/>
          <w:lang w:val="en-US" w:eastAsia="zh-CN"/>
        </w:rPr>
        <w:t xml:space="preserve"> </w:t>
      </w:r>
      <w:r>
        <w:rPr>
          <w:rFonts w:hint="eastAsia" w:ascii="Times New Roman" w:hAnsi="Times New Roman" w:eastAsia="宋体" w:cs="Times New Roman"/>
          <w:color w:val="auto"/>
          <w:highlight w:val="none"/>
          <w:lang w:val="en-US" w:eastAsia="zh-CN"/>
        </w:rPr>
        <w:t>025-86869284</w:t>
      </w:r>
    </w:p>
    <w:p w14:paraId="4375B3D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25"/>
      <w:bookmarkEnd w:id="26"/>
    </w:p>
    <w:p w14:paraId="1581FAA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bookmarkStart w:id="27" w:name="OLE_LINK1"/>
      <w:r>
        <w:rPr>
          <w:rFonts w:hint="eastAsia" w:ascii="宋体" w:hAnsi="宋体" w:eastAsia="宋体" w:cs="宋体"/>
          <w:color w:val="auto"/>
          <w:szCs w:val="21"/>
          <w:highlight w:val="none"/>
        </w:rPr>
        <w:t>南京苏宁工程咨询有限公司</w:t>
      </w:r>
      <w:bookmarkEnd w:id="27"/>
    </w:p>
    <w:p w14:paraId="3678C8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单位地址：南京市鼓楼区中山路99号12楼1212室</w:t>
      </w:r>
    </w:p>
    <w:p w14:paraId="529FAB8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bookmarkStart w:id="28" w:name="_Toc28359010"/>
      <w:bookmarkStart w:id="29" w:name="_Toc28359087"/>
      <w:r>
        <w:rPr>
          <w:rFonts w:hint="eastAsia" w:ascii="宋体" w:hAnsi="宋体" w:eastAsia="宋体" w:cs="宋体"/>
          <w:color w:val="auto"/>
          <w:szCs w:val="21"/>
          <w:highlight w:val="none"/>
        </w:rPr>
        <w:t>李佳蓉025-84200809</w:t>
      </w:r>
    </w:p>
    <w:p w14:paraId="52856B0F">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3.项目联系方式</w:t>
      </w:r>
      <w:bookmarkEnd w:id="28"/>
      <w:bookmarkEnd w:id="29"/>
    </w:p>
    <w:p w14:paraId="67D5798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项目联系人：李佳蓉 </w:t>
      </w:r>
    </w:p>
    <w:p w14:paraId="6368FDAE">
      <w:pPr>
        <w:spacing w:line="360" w:lineRule="auto"/>
        <w:ind w:firstLine="420" w:firstLineChars="20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联系电话：025-84200809</w:t>
      </w:r>
    </w:p>
    <w:p w14:paraId="1972E2B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F26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2026-07-03T08:17:38Z</dcterms:created>
  <dc:creator>asus</dc:creator>
  <cp:lastModifiedBy>Nie</cp:lastModifiedBy>
  <dcterms:modified xsi:type="dcterms:W3CDTF">2026-07-03T08:18:32Z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eyJoZGlkIjoiZTlkOWU4YzFkN2MzZmI5ZmQyOGY0ZTBmYzM3ZDMyY2EiLCJ1c2VySWQiOiIyNDUzOTE4ODIifQ==</vt:lpwstr>
  </property>
  <property fmtid="{D5CDD505-2E9C-101B-9397-08002B2CF9AE}" pid="4" name="ICV">
    <vt:lpwstr>4D107384CCFB489CAB3C94C56D55526C_12</vt:lpwstr>
  </property>
</Properties>
</file>