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A8CC2">
      <w:pPr>
        <w:autoSpaceDE w:val="0"/>
        <w:autoSpaceDN w:val="0"/>
        <w:adjustRightInd w:val="0"/>
        <w:jc w:val="center"/>
        <w:outlineLvl w:val="0"/>
        <w:rPr>
          <w:rFonts w:hint="eastAsia" w:ascii="宋体" w:hAnsi="宋体" w:eastAsia="宋体" w:cs="宋体"/>
          <w:color w:val="000000"/>
          <w:sz w:val="28"/>
          <w:szCs w:val="28"/>
          <w:highlight w:val="none"/>
          <w:lang w:eastAsia="zh-CN"/>
        </w:rPr>
      </w:pPr>
      <w:bookmarkStart w:id="0" w:name="_Toc1156"/>
      <w:r>
        <w:rPr>
          <w:rFonts w:hint="eastAsia" w:ascii="宋体" w:hAnsi="宋体" w:eastAsia="宋体" w:cs="宋体"/>
          <w:color w:val="000000"/>
          <w:sz w:val="36"/>
          <w:szCs w:val="36"/>
          <w:highlight w:val="none"/>
          <w:lang w:val="zh-CN"/>
        </w:rPr>
        <w:t>竞争性磋商</w:t>
      </w:r>
      <w:bookmarkEnd w:id="0"/>
      <w:r>
        <w:rPr>
          <w:rFonts w:hint="eastAsia" w:ascii="宋体" w:hAnsi="宋体" w:eastAsia="宋体" w:cs="宋体"/>
          <w:color w:val="000000"/>
          <w:sz w:val="36"/>
          <w:szCs w:val="36"/>
          <w:highlight w:val="none"/>
          <w:lang w:val="en-US" w:eastAsia="zh-CN"/>
        </w:rPr>
        <w:t>公告</w:t>
      </w:r>
    </w:p>
    <w:p w14:paraId="3A9E5310">
      <w:pPr>
        <w:pBdr>
          <w:top w:val="single" w:color="auto" w:sz="4" w:space="0"/>
          <w:left w:val="single" w:color="auto" w:sz="4" w:space="0"/>
          <w:bottom w:val="single" w:color="auto" w:sz="4" w:space="0"/>
          <w:right w:val="single" w:color="auto" w:sz="4" w:space="0"/>
        </w:pBd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项目概况</w:t>
      </w:r>
    </w:p>
    <w:p w14:paraId="15CAA679">
      <w:pPr>
        <w:pBdr>
          <w:top w:val="single" w:color="auto" w:sz="4" w:space="0"/>
          <w:left w:val="single" w:color="auto" w:sz="4" w:space="0"/>
          <w:bottom w:val="single" w:color="auto" w:sz="4" w:space="0"/>
          <w:right w:val="single" w:color="auto" w:sz="4" w:space="0"/>
        </w:pBdr>
        <w:spacing w:line="312" w:lineRule="auto"/>
        <w:ind w:firstLine="420" w:firstLineChars="200"/>
        <w:jc w:val="left"/>
        <w:rPr>
          <w:rFonts w:ascii="宋体" w:hAnsi="宋体" w:eastAsia="宋体" w:cs="宋体"/>
          <w:color w:val="000000"/>
          <w:szCs w:val="21"/>
          <w:highlight w:val="none"/>
        </w:rPr>
      </w:pPr>
      <w:bookmarkStart w:id="32" w:name="_GoBack"/>
      <w:r>
        <w:rPr>
          <w:rFonts w:hint="eastAsia" w:ascii="宋体" w:hAnsi="宋体" w:eastAsia="宋体" w:cs="宋体"/>
          <w:color w:val="000000"/>
          <w:szCs w:val="21"/>
          <w:highlight w:val="none"/>
          <w:u w:val="single"/>
          <w:lang w:eastAsia="zh-CN"/>
        </w:rPr>
        <w:t>南京医科大学智算中心技术服务外包项目</w:t>
      </w:r>
      <w:bookmarkEnd w:id="32"/>
      <w:r>
        <w:rPr>
          <w:rFonts w:hint="eastAsia" w:ascii="宋体" w:hAnsi="宋体" w:eastAsia="宋体" w:cs="宋体"/>
          <w:color w:val="000000"/>
          <w:szCs w:val="21"/>
          <w:highlight w:val="none"/>
        </w:rPr>
        <w:t>的潜在供应商应在</w:t>
      </w:r>
      <w:r>
        <w:rPr>
          <w:rFonts w:hint="eastAsia" w:ascii="宋体" w:hAnsi="宋体" w:eastAsia="宋体" w:cs="宋体"/>
          <w:color w:val="000000"/>
          <w:szCs w:val="21"/>
          <w:highlight w:val="none"/>
          <w:u w:val="single"/>
        </w:rPr>
        <w:t>南京市中山路99号12楼1212室</w:t>
      </w:r>
      <w:r>
        <w:rPr>
          <w:rFonts w:hint="eastAsia" w:ascii="宋体" w:hAnsi="宋体" w:eastAsia="宋体" w:cs="宋体"/>
          <w:color w:val="000000"/>
          <w:szCs w:val="21"/>
          <w:highlight w:val="none"/>
        </w:rPr>
        <w:t>获取磋商文件，并于</w:t>
      </w:r>
      <w:r>
        <w:rPr>
          <w:rFonts w:hint="eastAsia" w:ascii="宋体" w:hAnsi="宋体" w:eastAsia="宋体" w:cs="宋体"/>
          <w:color w:val="000000"/>
          <w:szCs w:val="21"/>
          <w:highlight w:val="none"/>
          <w:u w:val="single"/>
        </w:rPr>
        <w:t>2026年</w:t>
      </w:r>
      <w:r>
        <w:rPr>
          <w:rFonts w:hint="eastAsia" w:ascii="宋体" w:hAnsi="宋体" w:eastAsia="宋体" w:cs="宋体"/>
          <w:color w:val="000000"/>
          <w:szCs w:val="21"/>
          <w:highlight w:val="none"/>
          <w:u w:val="single"/>
          <w:lang w:val="en-US" w:eastAsia="zh-CN"/>
        </w:rPr>
        <w:t>11</w:t>
      </w:r>
      <w:r>
        <w:rPr>
          <w:rFonts w:hint="eastAsia" w:ascii="宋体" w:hAnsi="宋体" w:eastAsia="宋体" w:cs="宋体"/>
          <w:color w:val="000000"/>
          <w:szCs w:val="21"/>
          <w:highlight w:val="none"/>
          <w:u w:val="single"/>
        </w:rPr>
        <w:t>月</w:t>
      </w:r>
      <w:r>
        <w:rPr>
          <w:rFonts w:hint="eastAsia" w:ascii="宋体" w:hAnsi="宋体" w:eastAsia="宋体" w:cs="宋体"/>
          <w:color w:val="000000"/>
          <w:szCs w:val="21"/>
          <w:highlight w:val="none"/>
          <w:u w:val="single"/>
          <w:lang w:val="en-US" w:eastAsia="zh-CN"/>
        </w:rPr>
        <w:t>6</w:t>
      </w:r>
      <w:r>
        <w:rPr>
          <w:rFonts w:hint="eastAsia" w:ascii="宋体" w:hAnsi="宋体" w:eastAsia="宋体" w:cs="宋体"/>
          <w:color w:val="000000"/>
          <w:szCs w:val="21"/>
          <w:highlight w:val="none"/>
          <w:u w:val="single"/>
        </w:rPr>
        <w:t>日</w:t>
      </w:r>
      <w:r>
        <w:rPr>
          <w:rFonts w:hint="eastAsia" w:ascii="宋体" w:hAnsi="宋体" w:eastAsia="宋体" w:cs="宋体"/>
          <w:color w:val="000000"/>
          <w:szCs w:val="21"/>
          <w:highlight w:val="none"/>
          <w:u w:val="single"/>
          <w:lang w:val="en-US" w:eastAsia="zh-CN"/>
        </w:rPr>
        <w:t>9</w:t>
      </w:r>
      <w:r>
        <w:rPr>
          <w:rFonts w:hint="eastAsia" w:ascii="宋体" w:hAnsi="宋体" w:eastAsia="宋体" w:cs="宋体"/>
          <w:color w:val="000000"/>
          <w:szCs w:val="21"/>
          <w:highlight w:val="none"/>
          <w:u w:val="single"/>
        </w:rPr>
        <w:t>点</w:t>
      </w:r>
      <w:r>
        <w:rPr>
          <w:rFonts w:hint="eastAsia" w:ascii="宋体" w:hAnsi="宋体" w:eastAsia="宋体" w:cs="宋体"/>
          <w:color w:val="000000"/>
          <w:szCs w:val="21"/>
          <w:highlight w:val="none"/>
          <w:u w:val="single"/>
          <w:lang w:val="en-US" w:eastAsia="zh-CN"/>
        </w:rPr>
        <w:t>30</w:t>
      </w:r>
      <w:r>
        <w:rPr>
          <w:rFonts w:hint="eastAsia" w:ascii="宋体" w:hAnsi="宋体" w:eastAsia="宋体" w:cs="宋体"/>
          <w:color w:val="000000"/>
          <w:szCs w:val="21"/>
          <w:highlight w:val="none"/>
          <w:u w:val="single"/>
        </w:rPr>
        <w:t>分</w:t>
      </w:r>
      <w:r>
        <w:rPr>
          <w:rFonts w:hint="eastAsia" w:ascii="宋体" w:hAnsi="宋体" w:eastAsia="宋体" w:cs="宋体"/>
          <w:color w:val="000000"/>
          <w:szCs w:val="21"/>
          <w:highlight w:val="none"/>
        </w:rPr>
        <w:t>（北京时间）前提交响应文件。</w:t>
      </w:r>
    </w:p>
    <w:p w14:paraId="7F28B938">
      <w:pPr>
        <w:spacing w:line="312" w:lineRule="auto"/>
        <w:jc w:val="left"/>
        <w:rPr>
          <w:rFonts w:ascii="宋体" w:hAnsi="宋体" w:eastAsia="宋体" w:cs="宋体"/>
          <w:color w:val="000000"/>
          <w:szCs w:val="21"/>
          <w:highlight w:val="none"/>
        </w:rPr>
      </w:pPr>
      <w:bookmarkStart w:id="1" w:name="_Toc35393621"/>
      <w:bookmarkStart w:id="2" w:name="_Toc35393790"/>
      <w:bookmarkStart w:id="3" w:name="_Toc28359002"/>
      <w:bookmarkStart w:id="4" w:name="_Toc28359079"/>
      <w:bookmarkStart w:id="5" w:name="_Hlk24379207"/>
      <w:r>
        <w:rPr>
          <w:rFonts w:hint="eastAsia" w:ascii="宋体" w:hAnsi="宋体" w:eastAsia="宋体" w:cs="宋体"/>
          <w:color w:val="000000"/>
          <w:szCs w:val="21"/>
          <w:highlight w:val="none"/>
        </w:rPr>
        <w:t>一、项目基本情况</w:t>
      </w:r>
      <w:bookmarkEnd w:id="1"/>
      <w:bookmarkEnd w:id="2"/>
      <w:bookmarkEnd w:id="3"/>
      <w:bookmarkEnd w:id="4"/>
    </w:p>
    <w:bookmarkEnd w:id="5"/>
    <w:p w14:paraId="6F752609">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项目编号：SNZX-20260531</w:t>
      </w:r>
    </w:p>
    <w:p w14:paraId="311E5CE8">
      <w:pPr>
        <w:spacing w:line="312" w:lineRule="auto"/>
        <w:ind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项目名称：</w:t>
      </w:r>
      <w:r>
        <w:rPr>
          <w:rFonts w:hint="eastAsia" w:ascii="宋体" w:hAnsi="宋体" w:eastAsia="宋体" w:cs="宋体"/>
          <w:color w:val="000000"/>
          <w:szCs w:val="21"/>
          <w:highlight w:val="none"/>
          <w:lang w:eastAsia="zh-CN"/>
        </w:rPr>
        <w:t>南京医科大学智算中心技术服务外包项目</w:t>
      </w:r>
    </w:p>
    <w:p w14:paraId="47777398">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采购方式：竞争性磋商</w:t>
      </w:r>
    </w:p>
    <w:p w14:paraId="69A5A2B8">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预算金额：</w:t>
      </w:r>
      <w:r>
        <w:rPr>
          <w:rFonts w:hint="eastAsia" w:ascii="宋体" w:hAnsi="宋体" w:eastAsia="宋体" w:cs="宋体"/>
          <w:color w:val="000000"/>
          <w:szCs w:val="21"/>
          <w:highlight w:val="none"/>
          <w:lang w:val="en-US" w:eastAsia="zh-CN"/>
        </w:rPr>
        <w:t>75</w:t>
      </w:r>
      <w:r>
        <w:rPr>
          <w:rFonts w:hint="eastAsia" w:ascii="宋体" w:hAnsi="宋体" w:eastAsia="宋体" w:cs="宋体"/>
          <w:color w:val="000000"/>
          <w:szCs w:val="21"/>
          <w:highlight w:val="none"/>
        </w:rPr>
        <w:t>万元</w:t>
      </w:r>
    </w:p>
    <w:p w14:paraId="5B3F8DD8">
      <w:pPr>
        <w:spacing w:line="312"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最高限价：</w:t>
      </w:r>
      <w:r>
        <w:rPr>
          <w:rFonts w:hint="eastAsia" w:ascii="宋体" w:hAnsi="宋体" w:eastAsia="宋体" w:cs="宋体"/>
          <w:color w:val="000000"/>
          <w:szCs w:val="21"/>
          <w:highlight w:val="none"/>
          <w:lang w:val="en-US" w:eastAsia="zh-CN"/>
        </w:rPr>
        <w:t>详见下表</w:t>
      </w:r>
      <w:r>
        <w:rPr>
          <w:rFonts w:hint="eastAsia" w:ascii="宋体" w:hAnsi="宋体" w:eastAsia="宋体" w:cs="宋体"/>
          <w:color w:val="000000"/>
          <w:szCs w:val="21"/>
          <w:highlight w:val="none"/>
        </w:rPr>
        <w:t>，响应报价超过最高限价</w:t>
      </w:r>
      <w:r>
        <w:rPr>
          <w:rFonts w:hint="eastAsia" w:ascii="宋体" w:hAnsi="宋体" w:eastAsia="宋体" w:cs="宋体"/>
          <w:color w:val="000000"/>
          <w:szCs w:val="21"/>
          <w:highlight w:val="none"/>
          <w:lang w:val="en-US" w:eastAsia="zh-CN"/>
        </w:rPr>
        <w:t>或单项限价</w:t>
      </w:r>
      <w:r>
        <w:rPr>
          <w:rFonts w:hint="eastAsia" w:ascii="宋体" w:hAnsi="宋体" w:eastAsia="宋体" w:cs="宋体"/>
          <w:color w:val="000000"/>
          <w:szCs w:val="21"/>
          <w:highlight w:val="none"/>
        </w:rPr>
        <w:t>的为无效响应。</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2281"/>
        <w:gridCol w:w="1461"/>
        <w:gridCol w:w="1123"/>
        <w:gridCol w:w="2653"/>
      </w:tblGrid>
      <w:tr w14:paraId="646C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38" w:type="dxa"/>
          </w:tcPr>
          <w:p w14:paraId="1C70D5E8">
            <w:pPr>
              <w:spacing w:line="360" w:lineRule="auto"/>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分包</w:t>
            </w:r>
          </w:p>
        </w:tc>
        <w:tc>
          <w:tcPr>
            <w:tcW w:w="2709" w:type="dxa"/>
          </w:tcPr>
          <w:p w14:paraId="338BC2B8">
            <w:pPr>
              <w:spacing w:line="360" w:lineRule="auto"/>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分包内容</w:t>
            </w:r>
          </w:p>
        </w:tc>
        <w:tc>
          <w:tcPr>
            <w:tcW w:w="1652" w:type="dxa"/>
          </w:tcPr>
          <w:p w14:paraId="330437AA">
            <w:pPr>
              <w:spacing w:line="360" w:lineRule="auto"/>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预算（万元）</w:t>
            </w:r>
          </w:p>
        </w:tc>
        <w:tc>
          <w:tcPr>
            <w:tcW w:w="1235" w:type="dxa"/>
            <w:vAlign w:val="center"/>
          </w:tcPr>
          <w:p w14:paraId="18277CB1">
            <w:pPr>
              <w:spacing w:line="360" w:lineRule="auto"/>
              <w:jc w:val="center"/>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最高限价（万元）</w:t>
            </w:r>
          </w:p>
        </w:tc>
        <w:tc>
          <w:tcPr>
            <w:tcW w:w="3119" w:type="dxa"/>
            <w:vAlign w:val="center"/>
          </w:tcPr>
          <w:p w14:paraId="11904112">
            <w:pPr>
              <w:spacing w:line="360" w:lineRule="auto"/>
              <w:jc w:val="center"/>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单项限价（万元/月）</w:t>
            </w:r>
          </w:p>
        </w:tc>
      </w:tr>
      <w:tr w14:paraId="2AF6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38" w:type="dxa"/>
            <w:vMerge w:val="restart"/>
            <w:vAlign w:val="center"/>
          </w:tcPr>
          <w:p w14:paraId="027D0FBF">
            <w:pPr>
              <w:jc w:val="center"/>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分包1</w:t>
            </w:r>
          </w:p>
          <w:p w14:paraId="0B182758">
            <w:pPr>
              <w:jc w:val="center"/>
              <w:rPr>
                <w:rFonts w:ascii="宋体" w:hAnsi="宋体" w:eastAsia="宋体" w:cs="宋体"/>
                <w:color w:val="000000"/>
                <w:szCs w:val="21"/>
                <w:highlight w:val="none"/>
              </w:rPr>
            </w:pPr>
          </w:p>
        </w:tc>
        <w:tc>
          <w:tcPr>
            <w:tcW w:w="2709" w:type="dxa"/>
            <w:vAlign w:val="center"/>
          </w:tcPr>
          <w:p w14:paraId="350869AC">
            <w:pPr>
              <w:jc w:val="center"/>
              <w:rPr>
                <w:rFonts w:hint="eastAsia" w:ascii="宋体" w:hAnsi="宋体" w:eastAsia="宋体" w:cs="宋体"/>
                <w:color w:val="000000"/>
                <w:szCs w:val="21"/>
                <w:highlight w:val="none"/>
                <w:lang w:eastAsia="zh-CN"/>
              </w:rPr>
            </w:pPr>
            <w:r>
              <w:rPr>
                <w:rFonts w:hint="eastAsia" w:ascii="Times New Roman" w:hAnsi="Times New Roman" w:eastAsia="宋体" w:cs="Times New Roman"/>
                <w:color w:val="000000"/>
                <w:highlight w:val="none"/>
                <w:lang w:eastAsia="zh-CN"/>
              </w:rPr>
              <w:t>功能模块编码和数据支持服务</w:t>
            </w:r>
          </w:p>
        </w:tc>
        <w:tc>
          <w:tcPr>
            <w:tcW w:w="1652" w:type="dxa"/>
            <w:vMerge w:val="restart"/>
            <w:vAlign w:val="center"/>
          </w:tcPr>
          <w:p w14:paraId="5754392F">
            <w:pPr>
              <w:jc w:val="center"/>
              <w:rPr>
                <w:rFonts w:hint="default" w:ascii="宋体" w:hAnsi="宋体" w:eastAsia="宋体" w:cs="宋体"/>
                <w:color w:val="000000"/>
                <w:szCs w:val="21"/>
                <w:highlight w:val="none"/>
                <w:lang w:val="en-US" w:eastAsia="zh-CN"/>
              </w:rPr>
            </w:pPr>
            <w:r>
              <w:rPr>
                <w:rFonts w:hint="eastAsia" w:ascii="宋体" w:hAnsi="宋体" w:eastAsia="宋体" w:cs="Times New Roman"/>
                <w:color w:val="000000"/>
                <w:szCs w:val="21"/>
                <w:highlight w:val="none"/>
                <w:lang w:val="en-US" w:eastAsia="zh-CN"/>
              </w:rPr>
              <w:t>39</w:t>
            </w:r>
          </w:p>
        </w:tc>
        <w:tc>
          <w:tcPr>
            <w:tcW w:w="1235" w:type="dxa"/>
            <w:vMerge w:val="restart"/>
            <w:vAlign w:val="center"/>
          </w:tcPr>
          <w:p w14:paraId="2EC83921">
            <w:pPr>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39</w:t>
            </w:r>
          </w:p>
        </w:tc>
        <w:tc>
          <w:tcPr>
            <w:tcW w:w="3119" w:type="dxa"/>
            <w:vAlign w:val="center"/>
          </w:tcPr>
          <w:p w14:paraId="5021F9D9">
            <w:pPr>
              <w:jc w:val="center"/>
              <w:rPr>
                <w:rFonts w:hint="eastAsia" w:ascii="宋体" w:hAnsi="宋体" w:eastAsia="宋体" w:cs="Times New Roman"/>
                <w:color w:val="000000"/>
                <w:szCs w:val="21"/>
                <w:highlight w:val="none"/>
                <w:lang w:val="en-US" w:eastAsia="zh-CN"/>
              </w:rPr>
            </w:pPr>
            <w:r>
              <w:rPr>
                <w:rFonts w:hint="eastAsia" w:ascii="Times New Roman" w:hAnsi="Times New Roman" w:eastAsia="宋体" w:cs="Times New Roman"/>
                <w:color w:val="000000"/>
                <w:highlight w:val="none"/>
              </w:rPr>
              <w:t>1</w:t>
            </w:r>
            <w:r>
              <w:rPr>
                <w:rFonts w:hint="eastAsia" w:ascii="Times New Roman" w:hAnsi="Times New Roman" w:eastAsia="宋体" w:cs="Times New Roman"/>
                <w:color w:val="000000"/>
                <w:highlight w:val="none"/>
                <w:lang w:val="en-US" w:eastAsia="zh-CN"/>
              </w:rPr>
              <w:t>.45</w:t>
            </w:r>
          </w:p>
        </w:tc>
      </w:tr>
      <w:tr w14:paraId="2812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38" w:type="dxa"/>
            <w:vMerge w:val="continue"/>
            <w:vAlign w:val="center"/>
          </w:tcPr>
          <w:p w14:paraId="5E3177DB">
            <w:pPr>
              <w:jc w:val="center"/>
              <w:rPr>
                <w:rFonts w:ascii="宋体" w:hAnsi="宋体" w:eastAsia="宋体" w:cs="宋体"/>
                <w:color w:val="000000"/>
                <w:szCs w:val="21"/>
                <w:highlight w:val="none"/>
              </w:rPr>
            </w:pPr>
          </w:p>
        </w:tc>
        <w:tc>
          <w:tcPr>
            <w:tcW w:w="2709" w:type="dxa"/>
            <w:vAlign w:val="center"/>
          </w:tcPr>
          <w:p w14:paraId="1F4EF047">
            <w:pPr>
              <w:jc w:val="center"/>
              <w:rPr>
                <w:rFonts w:hint="eastAsia" w:ascii="宋体" w:hAnsi="宋体" w:eastAsia="宋体" w:cs="宋体"/>
                <w:color w:val="000000"/>
                <w:szCs w:val="21"/>
                <w:highlight w:val="none"/>
                <w:lang w:eastAsia="zh-CN"/>
              </w:rPr>
            </w:pPr>
            <w:r>
              <w:rPr>
                <w:rFonts w:hint="eastAsia" w:ascii="Times New Roman" w:hAnsi="Times New Roman" w:eastAsia="宋体" w:cs="Times New Roman"/>
                <w:color w:val="000000"/>
                <w:highlight w:val="none"/>
                <w:lang w:eastAsia="zh-CN"/>
              </w:rPr>
              <w:t>业务流设计与开发服务</w:t>
            </w:r>
          </w:p>
        </w:tc>
        <w:tc>
          <w:tcPr>
            <w:tcW w:w="1652" w:type="dxa"/>
            <w:vMerge w:val="continue"/>
            <w:vAlign w:val="center"/>
          </w:tcPr>
          <w:p w14:paraId="5A24DEEC">
            <w:pPr>
              <w:jc w:val="center"/>
              <w:rPr>
                <w:rFonts w:ascii="宋体" w:hAnsi="宋体" w:eastAsia="宋体" w:cs="宋体"/>
                <w:color w:val="000000"/>
                <w:szCs w:val="21"/>
                <w:highlight w:val="none"/>
              </w:rPr>
            </w:pPr>
          </w:p>
        </w:tc>
        <w:tc>
          <w:tcPr>
            <w:tcW w:w="1235" w:type="dxa"/>
            <w:vMerge w:val="continue"/>
            <w:vAlign w:val="center"/>
          </w:tcPr>
          <w:p w14:paraId="4A66AC5A">
            <w:pPr>
              <w:jc w:val="center"/>
              <w:rPr>
                <w:rFonts w:ascii="宋体" w:hAnsi="宋体" w:eastAsia="宋体" w:cs="宋体"/>
                <w:color w:val="000000"/>
                <w:szCs w:val="21"/>
                <w:highlight w:val="none"/>
              </w:rPr>
            </w:pPr>
          </w:p>
        </w:tc>
        <w:tc>
          <w:tcPr>
            <w:tcW w:w="3119" w:type="dxa"/>
            <w:vAlign w:val="center"/>
          </w:tcPr>
          <w:p w14:paraId="0B1A61EF">
            <w:pPr>
              <w:jc w:val="center"/>
              <w:rPr>
                <w:rFonts w:ascii="宋体" w:hAnsi="宋体" w:eastAsia="宋体" w:cs="宋体"/>
                <w:color w:val="000000"/>
                <w:szCs w:val="21"/>
                <w:highlight w:val="none"/>
              </w:rPr>
            </w:pPr>
            <w:r>
              <w:rPr>
                <w:rFonts w:hint="eastAsia" w:ascii="Times New Roman" w:hAnsi="Times New Roman" w:eastAsia="宋体" w:cs="Times New Roman"/>
                <w:color w:val="000000"/>
                <w:highlight w:val="none"/>
                <w:lang w:val="en-US" w:eastAsia="zh-CN"/>
              </w:rPr>
              <w:t>1.8</w:t>
            </w:r>
          </w:p>
        </w:tc>
      </w:tr>
      <w:tr w14:paraId="2CD2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138" w:type="dxa"/>
            <w:vAlign w:val="center"/>
          </w:tcPr>
          <w:p w14:paraId="65C3AA6E">
            <w:pPr>
              <w:jc w:val="center"/>
              <w:rPr>
                <w:rFonts w:hint="eastAsia" w:ascii="宋体" w:hAnsi="宋体" w:eastAsia="宋体" w:cs="宋体"/>
                <w:color w:val="000000"/>
                <w:szCs w:val="21"/>
                <w:highlight w:val="none"/>
                <w:lang w:eastAsia="zh-CN"/>
              </w:rPr>
            </w:pPr>
            <w:r>
              <w:rPr>
                <w:rFonts w:hint="eastAsia" w:ascii="宋体" w:hAnsi="宋体" w:eastAsia="宋体" w:cs="Times New Roman"/>
                <w:bCs/>
                <w:color w:val="000000"/>
                <w:szCs w:val="21"/>
                <w:highlight w:val="none"/>
              </w:rPr>
              <w:t>分包</w:t>
            </w:r>
            <w:r>
              <w:rPr>
                <w:rFonts w:hint="eastAsia" w:ascii="宋体" w:hAnsi="宋体" w:eastAsia="宋体" w:cs="Times New Roman"/>
                <w:bCs/>
                <w:color w:val="000000"/>
                <w:szCs w:val="21"/>
                <w:highlight w:val="none"/>
                <w:lang w:val="en-US" w:eastAsia="zh-CN"/>
              </w:rPr>
              <w:t>2</w:t>
            </w:r>
          </w:p>
        </w:tc>
        <w:tc>
          <w:tcPr>
            <w:tcW w:w="2709" w:type="dxa"/>
            <w:vAlign w:val="center"/>
          </w:tcPr>
          <w:p w14:paraId="30A15560">
            <w:pPr>
              <w:jc w:val="center"/>
              <w:rPr>
                <w:rFonts w:hint="eastAsia" w:ascii="宋体" w:hAnsi="宋体" w:eastAsia="宋体" w:cs="宋体"/>
                <w:color w:val="000000"/>
                <w:szCs w:val="21"/>
                <w:highlight w:val="none"/>
                <w:lang w:eastAsia="zh-CN"/>
              </w:rPr>
            </w:pPr>
            <w:r>
              <w:rPr>
                <w:rFonts w:hint="eastAsia" w:ascii="Times New Roman" w:hAnsi="Times New Roman" w:eastAsia="宋体" w:cs="Times New Roman"/>
                <w:color w:val="000000"/>
                <w:highlight w:val="none"/>
                <w:lang w:eastAsia="zh-CN"/>
              </w:rPr>
              <w:t>平台架构设计与实现服务</w:t>
            </w:r>
          </w:p>
        </w:tc>
        <w:tc>
          <w:tcPr>
            <w:tcW w:w="1652" w:type="dxa"/>
            <w:vAlign w:val="center"/>
          </w:tcPr>
          <w:p w14:paraId="25CB05F4">
            <w:pPr>
              <w:jc w:val="center"/>
              <w:rPr>
                <w:rFonts w:hint="default" w:ascii="宋体" w:hAnsi="宋体" w:eastAsia="宋体" w:cs="宋体"/>
                <w:color w:val="000000"/>
                <w:szCs w:val="21"/>
                <w:highlight w:val="none"/>
                <w:lang w:val="en-US" w:eastAsia="zh-CN"/>
              </w:rPr>
            </w:pPr>
            <w:r>
              <w:rPr>
                <w:rFonts w:hint="eastAsia" w:ascii="宋体" w:hAnsi="宋体" w:eastAsia="宋体" w:cs="Times New Roman"/>
                <w:color w:val="000000"/>
                <w:szCs w:val="21"/>
                <w:highlight w:val="none"/>
                <w:lang w:val="en-US" w:eastAsia="zh-CN"/>
              </w:rPr>
              <w:t>36</w:t>
            </w:r>
          </w:p>
        </w:tc>
        <w:tc>
          <w:tcPr>
            <w:tcW w:w="1235" w:type="dxa"/>
            <w:vAlign w:val="center"/>
          </w:tcPr>
          <w:p w14:paraId="7F8D2758">
            <w:pPr>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36</w:t>
            </w:r>
          </w:p>
        </w:tc>
        <w:tc>
          <w:tcPr>
            <w:tcW w:w="3119" w:type="dxa"/>
            <w:vAlign w:val="center"/>
          </w:tcPr>
          <w:p w14:paraId="2727223C">
            <w:pPr>
              <w:jc w:val="center"/>
              <w:rPr>
                <w:rFonts w:hint="eastAsia" w:ascii="宋体" w:hAnsi="宋体" w:eastAsia="宋体" w:cs="Times New Roman"/>
                <w:color w:val="000000"/>
                <w:szCs w:val="21"/>
                <w:highlight w:val="none"/>
                <w:lang w:val="en-US" w:eastAsia="zh-CN"/>
              </w:rPr>
            </w:pPr>
            <w:r>
              <w:rPr>
                <w:rFonts w:hint="eastAsia" w:ascii="Times New Roman" w:hAnsi="Times New Roman" w:eastAsia="宋体" w:cs="Times New Roman"/>
                <w:color w:val="000000"/>
                <w:highlight w:val="none"/>
                <w:lang w:val="en-US" w:eastAsia="zh-CN"/>
              </w:rPr>
              <w:t>3</w:t>
            </w:r>
          </w:p>
        </w:tc>
      </w:tr>
    </w:tbl>
    <w:p w14:paraId="5DAA2A86">
      <w:pPr>
        <w:spacing w:line="312" w:lineRule="auto"/>
        <w:ind w:firstLine="420" w:firstLineChars="200"/>
        <w:jc w:val="left"/>
        <w:rPr>
          <w:rFonts w:hint="eastAsia" w:ascii="宋体" w:hAnsi="宋体" w:eastAsia="宋体" w:cs="宋体"/>
          <w:color w:val="000000"/>
          <w:szCs w:val="21"/>
          <w:highlight w:val="none"/>
        </w:rPr>
      </w:pPr>
    </w:p>
    <w:p w14:paraId="5C862F84">
      <w:pPr>
        <w:spacing w:line="312"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采购需求：应用系统开发类技术服务外包，由中标供应商按采购人阶段性任务需求提供</w:t>
      </w:r>
      <w:r>
        <w:rPr>
          <w:rFonts w:hint="eastAsia" w:ascii="宋体" w:hAnsi="宋体" w:eastAsia="宋体" w:cs="宋体"/>
          <w:color w:val="000000"/>
          <w:szCs w:val="21"/>
          <w:highlight w:val="none"/>
          <w:lang w:val="en-US" w:eastAsia="zh-CN"/>
        </w:rPr>
        <w:t>相关服务，配备</w:t>
      </w:r>
      <w:r>
        <w:rPr>
          <w:rFonts w:hint="eastAsia" w:ascii="宋体" w:hAnsi="宋体" w:eastAsia="宋体" w:cs="宋体"/>
          <w:color w:val="000000"/>
          <w:szCs w:val="21"/>
          <w:highlight w:val="none"/>
        </w:rPr>
        <w:t>相应岗位级别的技术人员，在采购人管理下承担校园业务系统开发、集成、运维支持等技术服务工作。具体详见采购文件。</w:t>
      </w:r>
    </w:p>
    <w:p w14:paraId="553F2970">
      <w:pPr>
        <w:spacing w:line="312" w:lineRule="auto"/>
        <w:ind w:firstLine="420" w:firstLineChars="200"/>
        <w:jc w:val="left"/>
        <w:rPr>
          <w:rFonts w:hint="default" w:ascii="Times New Roman" w:hAnsi="Times New Roman" w:eastAsia="宋体" w:cs="Times New Roman"/>
          <w:color w:val="000000"/>
          <w:szCs w:val="21"/>
          <w:highlight w:val="none"/>
          <w:lang w:val="en-US" w:eastAsia="zh-CN"/>
        </w:rPr>
      </w:pPr>
      <w:r>
        <w:rPr>
          <w:rFonts w:hint="eastAsia" w:ascii="宋体" w:hAnsi="宋体" w:eastAsia="宋体" w:cs="宋体"/>
          <w:color w:val="000000"/>
          <w:szCs w:val="21"/>
          <w:highlight w:val="none"/>
        </w:rPr>
        <w:t>合同履行期限：</w:t>
      </w:r>
      <w:bookmarkStart w:id="6" w:name="_Toc35393791"/>
      <w:bookmarkStart w:id="7" w:name="_Toc35393622"/>
      <w:bookmarkStart w:id="8" w:name="_Toc28359080"/>
      <w:bookmarkStart w:id="9" w:name="_Toc28359003"/>
      <w:r>
        <w:rPr>
          <w:rFonts w:hint="eastAsia" w:ascii="宋体" w:hAnsi="宋体" w:eastAsia="宋体" w:cs="宋体"/>
          <w:color w:val="000000"/>
          <w:szCs w:val="21"/>
          <w:highlight w:val="none"/>
          <w:lang w:val="en-US" w:eastAsia="zh-CN"/>
        </w:rPr>
        <w:t>自合同签订之日起，一年。</w:t>
      </w:r>
    </w:p>
    <w:p w14:paraId="667A8348">
      <w:pPr>
        <w:spacing w:line="312" w:lineRule="auto"/>
        <w:ind w:firstLine="420" w:firstLineChars="200"/>
        <w:jc w:val="left"/>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兼投兼中要求：</w:t>
      </w:r>
      <w:r>
        <w:rPr>
          <w:rFonts w:hint="eastAsia" w:ascii="宋体" w:hAnsi="宋体" w:eastAsia="宋体" w:cs="宋体"/>
          <w:color w:val="000000"/>
          <w:szCs w:val="21"/>
          <w:highlight w:val="none"/>
          <w:lang w:val="en-US" w:eastAsia="zh-CN"/>
        </w:rPr>
        <w:t>本项目共有2个包，本次招标为包1、包2，2个包同时进行采购，同一供应商可以同时参加多个分包的磋商活动，但只能中一个包(即“兼投不兼中”)。本项目评标顺序为:包1、包2，在评标阶段按包号顺序评标，若供应商在依次评标的包中被推荐为第一中标候选人</w:t>
      </w:r>
      <w:r>
        <w:rPr>
          <w:rFonts w:hint="eastAsia" w:ascii="宋体" w:hAnsi="宋体" w:eastAsia="宋体" w:cs="宋体"/>
          <w:color w:val="000000"/>
          <w:szCs w:val="21"/>
          <w:highlight w:val="none"/>
        </w:rPr>
        <w:t>，则供应商可以继续参加后续分包的评审，但不得被推荐为后续分包的中标候选人。供应商需按分包分别制作投标文件</w:t>
      </w:r>
      <w:r>
        <w:rPr>
          <w:rFonts w:hint="eastAsia" w:ascii="宋体" w:hAnsi="宋体" w:eastAsia="宋体" w:cs="宋体"/>
          <w:color w:val="000000"/>
          <w:szCs w:val="21"/>
          <w:highlight w:val="none"/>
          <w:lang w:val="en-US" w:eastAsia="zh-CN"/>
        </w:rPr>
        <w:t>。</w:t>
      </w:r>
    </w:p>
    <w:p w14:paraId="767DCB8E">
      <w:pPr>
        <w:spacing w:line="312" w:lineRule="auto"/>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本项目（是/否）接受联合体：否。</w:t>
      </w:r>
    </w:p>
    <w:p w14:paraId="6A0EA01F">
      <w:pPr>
        <w:spacing w:line="312" w:lineRule="auto"/>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二、申请人的资格要求：</w:t>
      </w:r>
      <w:bookmarkEnd w:id="6"/>
      <w:bookmarkEnd w:id="7"/>
      <w:bookmarkEnd w:id="8"/>
      <w:bookmarkEnd w:id="9"/>
    </w:p>
    <w:p w14:paraId="6F0D51B0">
      <w:pPr>
        <w:spacing w:line="312" w:lineRule="auto"/>
        <w:ind w:firstLine="420" w:firstLineChars="200"/>
        <w:jc w:val="left"/>
        <w:rPr>
          <w:rFonts w:ascii="宋体" w:hAnsi="宋体" w:eastAsia="宋体" w:cs="宋体"/>
          <w:color w:val="000000"/>
          <w:szCs w:val="21"/>
          <w:highlight w:val="none"/>
        </w:rPr>
      </w:pPr>
      <w:bookmarkStart w:id="10" w:name="_Toc28359004"/>
      <w:bookmarkStart w:id="11" w:name="_Toc28359081"/>
      <w:bookmarkStart w:id="12" w:name="_Toc35393623"/>
      <w:bookmarkStart w:id="13" w:name="_Toc35393792"/>
      <w:bookmarkStart w:id="14" w:name="_Toc28359082"/>
      <w:bookmarkStart w:id="15" w:name="_Toc28359005"/>
      <w:bookmarkStart w:id="16" w:name="_Toc35393793"/>
      <w:bookmarkStart w:id="17" w:name="_Toc35393624"/>
      <w:r>
        <w:rPr>
          <w:rFonts w:hint="eastAsia" w:ascii="宋体" w:hAnsi="宋体" w:eastAsia="宋体" w:cs="宋体"/>
          <w:color w:val="000000"/>
          <w:szCs w:val="21"/>
          <w:highlight w:val="none"/>
        </w:rPr>
        <w:t>（一）满足《中华人民共和国政府采购法》第二十二条规定；</w:t>
      </w:r>
    </w:p>
    <w:p w14:paraId="51DCF9A1">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w:t>
      </w:r>
      <w:r>
        <w:rPr>
          <w:rFonts w:ascii="宋体" w:hAnsi="宋体" w:eastAsia="宋体" w:cs="宋体"/>
          <w:color w:val="000000"/>
          <w:szCs w:val="21"/>
          <w:highlight w:val="none"/>
        </w:rPr>
        <w:t>具有独立承担民事责任的能力（提供法人或者其他组织的营业执照；供应商为自然人的提供其身份证，提供相关证明材料复印件并加盖公章）；</w:t>
      </w:r>
    </w:p>
    <w:p w14:paraId="6694DDBC">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具有良好的商业信誉和健全的财务会计制度（提供上一年度审计报告，或提交响应文件截止时间前六个月内任意一个月的财务状况报告（至少包括资产负债表和利润表）或提交响应文件截止时间前六个月内银行出具的资信证明）</w:t>
      </w:r>
      <w:r>
        <w:rPr>
          <w:rFonts w:ascii="宋体" w:hAnsi="宋体" w:eastAsia="宋体" w:cs="宋体"/>
          <w:color w:val="000000"/>
          <w:szCs w:val="21"/>
          <w:highlight w:val="none"/>
        </w:rPr>
        <w:t>；</w:t>
      </w:r>
    </w:p>
    <w:p w14:paraId="5A005F12">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3.</w:t>
      </w:r>
      <w:r>
        <w:rPr>
          <w:rFonts w:ascii="宋体" w:hAnsi="宋体" w:eastAsia="宋体" w:cs="宋体"/>
          <w:color w:val="000000"/>
          <w:szCs w:val="21"/>
          <w:highlight w:val="none"/>
        </w:rPr>
        <w:t>具有履行合同所必需的设备和专业技术能力（</w:t>
      </w:r>
      <w:r>
        <w:rPr>
          <w:rFonts w:hint="eastAsia" w:ascii="宋体" w:hAnsi="宋体" w:eastAsia="宋体" w:cs="宋体"/>
          <w:color w:val="000000"/>
          <w:szCs w:val="21"/>
          <w:highlight w:val="none"/>
        </w:rPr>
        <w:t>供应商根据履行采购项目合同需要，提供履行合同所必需的设备和专业技术能力的相关证明材料复印件并加盖公章或声明函原件</w:t>
      </w:r>
      <w:r>
        <w:rPr>
          <w:rFonts w:ascii="宋体" w:hAnsi="宋体" w:eastAsia="宋体" w:cs="宋体"/>
          <w:color w:val="000000"/>
          <w:szCs w:val="21"/>
          <w:highlight w:val="none"/>
        </w:rPr>
        <w:t>）；</w:t>
      </w:r>
    </w:p>
    <w:p w14:paraId="05090780">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4.有依法缴纳税收和社会保障资金的良好记录（提供投标截止时间前六个月内任意一个月的纳税证明文件（依法免缴的应提供相应文件说明）；并提供投标截止时间前六个月内任意一个月的依法为员工缴纳社会保障资金的证明材料（依法不需要缴纳社会保障资金的应提供相应文件说明））；</w:t>
      </w:r>
    </w:p>
    <w:p w14:paraId="04E63126">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5.</w:t>
      </w:r>
      <w:r>
        <w:rPr>
          <w:rFonts w:ascii="宋体" w:hAnsi="宋体" w:eastAsia="宋体" w:cs="宋体"/>
          <w:color w:val="000000"/>
          <w:szCs w:val="21"/>
          <w:highlight w:val="none"/>
        </w:rPr>
        <w:t>参加政府采购活动前三年内，在经营活动中没有重大违法记录（提供承诺书原件）；</w:t>
      </w:r>
    </w:p>
    <w:p w14:paraId="3E67353D">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6.</w:t>
      </w:r>
      <w:r>
        <w:rPr>
          <w:rFonts w:ascii="宋体" w:hAnsi="宋体" w:eastAsia="宋体" w:cs="宋体"/>
          <w:color w:val="000000"/>
          <w:szCs w:val="21"/>
          <w:highlight w:val="none"/>
        </w:rPr>
        <w:t>法律、行政法规规定的其他条件，提供相关证明材料：无。</w:t>
      </w:r>
    </w:p>
    <w:p w14:paraId="14B804DE">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7.注：①前款第5条所称重大违法记录，是指供应商因违法经营受到刑事处罚或者责令停产停业、吊销许可证或者执照、较大数额罚款等行政处罚。</w:t>
      </w:r>
    </w:p>
    <w:p w14:paraId="1D5A4748">
      <w:pPr>
        <w:spacing w:line="312"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②供应商在参加政府采购活动前3年内因违法经营被禁止在一定期限内参加政府采购活动，期限届满的，可以参加政府采购活动。</w:t>
      </w:r>
    </w:p>
    <w:p w14:paraId="633F2F49">
      <w:pPr>
        <w:spacing w:line="312"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（二）落实政府采购政策需满足的资格要求：本项目为专门面向中小企业采购的项目。如为中小微型企业、监狱企业、残疾人福利性单位，提供的产品为国家认定的节能产品和环保产品的须按要求提供相关材料。</w:t>
      </w:r>
    </w:p>
    <w:p w14:paraId="209949E3">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（三）本项目的特定资格要求：无。</w:t>
      </w:r>
    </w:p>
    <w:p w14:paraId="03D60E92">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（四）本项目不接受转包、分包。</w:t>
      </w:r>
    </w:p>
    <w:p w14:paraId="22BE6C81">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（五）拒绝下述供应商参加本次采购活动：</w:t>
      </w:r>
    </w:p>
    <w:p w14:paraId="4CC7CF4F">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1.供应商单位负责人为同一人或者存在直接控股、管理关系的不同供应商，不得参加同一合同项下的采购活动。</w:t>
      </w:r>
    </w:p>
    <w:p w14:paraId="088AF582">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2.凡为采购项目提供整体设计、规范编制或者项目管理、监理、检测等服务的供应商，不得再参加本项目的采购活动。</w:t>
      </w:r>
    </w:p>
    <w:p w14:paraId="6C1133FD">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3.拒绝列入失信被执行人、重大税收违法失信主体、政府采购严重违法失信行为记录名单中的供应商参加本项目的采购活动。采购人或代理机构通过 “信用中国”网站（www.creditchina.gov.cn）、“中国政府采购网”网站（www.ccgp.gov.cn）等渠道查询供应商信用记录并保存。</w:t>
      </w:r>
    </w:p>
    <w:bookmarkEnd w:id="10"/>
    <w:bookmarkEnd w:id="11"/>
    <w:p w14:paraId="11CB053C">
      <w:pPr>
        <w:spacing w:line="312" w:lineRule="auto"/>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三、获取磋商文件</w:t>
      </w:r>
      <w:bookmarkEnd w:id="12"/>
      <w:bookmarkEnd w:id="13"/>
    </w:p>
    <w:p w14:paraId="54B7FDA5">
      <w:pPr>
        <w:spacing w:line="360"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1、获取时间：2026年</w:t>
      </w:r>
      <w:r>
        <w:rPr>
          <w:rFonts w:hint="eastAsia" w:ascii="宋体" w:hAnsi="宋体" w:eastAsia="宋体" w:cs="宋体"/>
          <w:color w:val="000000"/>
          <w:szCs w:val="21"/>
          <w:highlight w:val="none"/>
          <w:lang w:val="en-US" w:eastAsia="zh-CN"/>
        </w:rPr>
        <w:t>10</w:t>
      </w:r>
      <w:r>
        <w:rPr>
          <w:rFonts w:hint="eastAsia" w:ascii="宋体" w:hAnsi="宋体" w:eastAsia="宋体" w:cs="宋体"/>
          <w:color w:val="000000"/>
          <w:szCs w:val="21"/>
          <w:highlight w:val="none"/>
        </w:rPr>
        <w:t>月</w:t>
      </w:r>
      <w:r>
        <w:rPr>
          <w:rFonts w:hint="eastAsia" w:ascii="宋体" w:hAnsi="宋体" w:eastAsia="宋体" w:cs="宋体"/>
          <w:color w:val="000000"/>
          <w:szCs w:val="21"/>
          <w:highlight w:val="none"/>
          <w:lang w:val="en-US" w:eastAsia="zh-CN"/>
        </w:rPr>
        <w:t>27</w:t>
      </w:r>
      <w:r>
        <w:rPr>
          <w:rFonts w:hint="eastAsia" w:ascii="宋体" w:hAnsi="宋体" w:eastAsia="宋体" w:cs="宋体"/>
          <w:color w:val="000000"/>
          <w:szCs w:val="21"/>
          <w:highlight w:val="none"/>
        </w:rPr>
        <w:t>日至2026年</w:t>
      </w:r>
      <w:r>
        <w:rPr>
          <w:rFonts w:hint="eastAsia" w:ascii="宋体" w:hAnsi="宋体" w:eastAsia="宋体" w:cs="宋体"/>
          <w:color w:val="000000"/>
          <w:szCs w:val="21"/>
          <w:highlight w:val="none"/>
          <w:lang w:val="en-US" w:eastAsia="zh-CN"/>
        </w:rPr>
        <w:t>11</w:t>
      </w:r>
      <w:r>
        <w:rPr>
          <w:rFonts w:hint="eastAsia" w:ascii="宋体" w:hAnsi="宋体" w:eastAsia="宋体" w:cs="宋体"/>
          <w:color w:val="000000"/>
          <w:szCs w:val="21"/>
          <w:highlight w:val="none"/>
        </w:rPr>
        <w:t>月</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日，每天上午9:00至11:30，下午14:00至17:00（北京时间，法定节假日除外）</w:t>
      </w:r>
    </w:p>
    <w:p w14:paraId="163127A9">
      <w:pPr>
        <w:spacing w:line="360"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2、获取方式：</w:t>
      </w:r>
    </w:p>
    <w:p w14:paraId="20BC9350">
      <w:pPr>
        <w:spacing w:line="360"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（1）文件提供方式：纸质文件。售价：500元/</w:t>
      </w:r>
      <w:r>
        <w:rPr>
          <w:rFonts w:hint="eastAsia" w:ascii="宋体" w:hAnsi="宋体" w:eastAsia="宋体" w:cs="宋体"/>
          <w:color w:val="000000"/>
          <w:szCs w:val="21"/>
          <w:highlight w:val="none"/>
          <w:lang w:val="en-US" w:eastAsia="zh-CN"/>
        </w:rPr>
        <w:t>分包</w:t>
      </w:r>
      <w:r>
        <w:rPr>
          <w:rFonts w:hint="eastAsia" w:ascii="宋体" w:hAnsi="宋体" w:eastAsia="宋体" w:cs="宋体"/>
          <w:color w:val="000000"/>
          <w:szCs w:val="21"/>
          <w:highlight w:val="none"/>
        </w:rPr>
        <w:t>，售后不退。</w:t>
      </w:r>
    </w:p>
    <w:p w14:paraId="33A00401">
      <w:pPr>
        <w:spacing w:line="360"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（2）支付方式：凡有意参加本项目的供应商，请于上述获取时间内登陆网址，网址为：</w:t>
      </w:r>
      <w:r>
        <w:rPr>
          <w:rFonts w:hint="eastAsia" w:ascii="宋体" w:hAnsi="宋体" w:eastAsia="宋体" w:cs="宋体"/>
          <w:color w:val="000000"/>
          <w:szCs w:val="21"/>
          <w:highlight w:val="none"/>
          <w:lang w:val="en-US" w:eastAsia="zh-CN"/>
        </w:rPr>
        <w:t>分包1：</w:t>
      </w:r>
      <w:r>
        <w:rPr>
          <w:rFonts w:hint="eastAsia" w:ascii="宋体" w:hAnsi="宋体" w:eastAsia="宋体" w:cs="宋体"/>
          <w:color w:val="000000"/>
          <w:szCs w:val="21"/>
          <w:highlight w:val="none"/>
        </w:rPr>
        <w:t>https://njsnzx.cn/#/detail?id=3638，</w:t>
      </w:r>
      <w:r>
        <w:rPr>
          <w:rFonts w:hint="eastAsia" w:ascii="宋体" w:hAnsi="宋体" w:eastAsia="宋体" w:cs="宋体"/>
          <w:color w:val="000000"/>
          <w:szCs w:val="21"/>
          <w:highlight w:val="none"/>
          <w:lang w:val="en-US" w:eastAsia="zh-CN"/>
        </w:rPr>
        <w:t>分包2：</w:t>
      </w:r>
      <w:r>
        <w:rPr>
          <w:rFonts w:hint="eastAsia" w:ascii="宋体" w:hAnsi="宋体" w:eastAsia="宋体" w:cs="宋体"/>
          <w:color w:val="000000"/>
          <w:szCs w:val="21"/>
          <w:highlight w:val="none"/>
        </w:rPr>
        <w:t>https://njsnzx.cn/#/detail?id=3639</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按照网页提示完成采购文件领购申请。申请时须上传以下材料：营业执照副本复印件（加盖公章）、加盖公章的法人授权委托书原件、被受托人身份证复印件（加盖公章），所提供信息务必真实有效。材料上传完成后，进行对应项目费用支付。</w:t>
      </w:r>
    </w:p>
    <w:p w14:paraId="1DBC8731">
      <w:pPr>
        <w:spacing w:line="360"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（3）支付完成后，纸质文件可通过现场领取或邮寄送达两种方式，现场领取地址：南京市中山路99号12楼1212室，需邮寄送达的，请联系代理机构提供邮寄信息。</w:t>
      </w:r>
    </w:p>
    <w:p w14:paraId="78105429">
      <w:pPr>
        <w:spacing w:line="360"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（4）未按照上述要求合法获取招标（采购）文件的，招标（采购）人将不予受理其投标（响应）。</w:t>
      </w:r>
    </w:p>
    <w:p w14:paraId="1F7D0B26">
      <w:pPr>
        <w:spacing w:line="312" w:lineRule="auto"/>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四、提交响应文件</w:t>
      </w:r>
      <w:bookmarkEnd w:id="14"/>
      <w:bookmarkEnd w:id="15"/>
      <w:r>
        <w:rPr>
          <w:rFonts w:hint="eastAsia" w:ascii="宋体" w:hAnsi="宋体" w:eastAsia="宋体" w:cs="宋体"/>
          <w:color w:val="000000"/>
          <w:szCs w:val="21"/>
          <w:highlight w:val="none"/>
        </w:rPr>
        <w:t>截止时间、开标时间和地点</w:t>
      </w:r>
      <w:bookmarkEnd w:id="16"/>
      <w:bookmarkEnd w:id="17"/>
    </w:p>
    <w:p w14:paraId="68BB8405">
      <w:pPr>
        <w:spacing w:line="312" w:lineRule="auto"/>
        <w:ind w:firstLine="420" w:firstLineChars="200"/>
        <w:jc w:val="left"/>
        <w:rPr>
          <w:rFonts w:ascii="宋体" w:hAnsi="宋体" w:eastAsia="宋体" w:cs="宋体"/>
          <w:color w:val="000000"/>
          <w:szCs w:val="21"/>
          <w:highlight w:val="none"/>
          <w:u w:val="single"/>
        </w:rPr>
      </w:pPr>
      <w:r>
        <w:rPr>
          <w:rFonts w:hint="eastAsia" w:ascii="宋体" w:hAnsi="宋体" w:eastAsia="宋体" w:cs="宋体"/>
          <w:color w:val="000000"/>
          <w:szCs w:val="21"/>
          <w:highlight w:val="none"/>
        </w:rPr>
        <w:t>截止时间及开标时间：</w:t>
      </w:r>
      <w:r>
        <w:rPr>
          <w:rFonts w:hint="eastAsia" w:ascii="宋体" w:hAnsi="宋体" w:eastAsia="宋体" w:cs="宋体"/>
          <w:color w:val="000000"/>
          <w:szCs w:val="21"/>
          <w:highlight w:val="none"/>
          <w:u w:val="single"/>
        </w:rPr>
        <w:t>2026年</w:t>
      </w:r>
      <w:r>
        <w:rPr>
          <w:rFonts w:hint="eastAsia" w:ascii="宋体" w:hAnsi="宋体" w:eastAsia="宋体" w:cs="宋体"/>
          <w:color w:val="000000"/>
          <w:szCs w:val="21"/>
          <w:highlight w:val="none"/>
          <w:u w:val="single"/>
          <w:lang w:val="en-US" w:eastAsia="zh-CN"/>
        </w:rPr>
        <w:t>11</w:t>
      </w:r>
      <w:r>
        <w:rPr>
          <w:rFonts w:hint="eastAsia" w:ascii="宋体" w:hAnsi="宋体" w:eastAsia="宋体" w:cs="宋体"/>
          <w:color w:val="000000"/>
          <w:szCs w:val="21"/>
          <w:highlight w:val="none"/>
          <w:u w:val="single"/>
        </w:rPr>
        <w:t>月</w:t>
      </w:r>
      <w:r>
        <w:rPr>
          <w:rFonts w:hint="eastAsia" w:ascii="宋体" w:hAnsi="宋体" w:eastAsia="宋体" w:cs="宋体"/>
          <w:color w:val="000000"/>
          <w:szCs w:val="21"/>
          <w:highlight w:val="none"/>
          <w:u w:val="single"/>
          <w:lang w:val="en-US" w:eastAsia="zh-CN"/>
        </w:rPr>
        <w:t>6</w:t>
      </w:r>
      <w:r>
        <w:rPr>
          <w:rFonts w:hint="eastAsia" w:ascii="宋体" w:hAnsi="宋体" w:eastAsia="宋体" w:cs="宋体"/>
          <w:color w:val="000000"/>
          <w:szCs w:val="21"/>
          <w:highlight w:val="none"/>
          <w:u w:val="single"/>
        </w:rPr>
        <w:t>日</w:t>
      </w:r>
      <w:r>
        <w:rPr>
          <w:rFonts w:hint="eastAsia" w:ascii="宋体" w:hAnsi="宋体" w:eastAsia="宋体" w:cs="宋体"/>
          <w:color w:val="000000"/>
          <w:szCs w:val="21"/>
          <w:highlight w:val="none"/>
          <w:u w:val="single"/>
          <w:lang w:val="en-US" w:eastAsia="zh-CN"/>
        </w:rPr>
        <w:t>9</w:t>
      </w:r>
      <w:r>
        <w:rPr>
          <w:rFonts w:hint="eastAsia" w:ascii="宋体" w:hAnsi="宋体" w:eastAsia="宋体" w:cs="宋体"/>
          <w:color w:val="000000"/>
          <w:szCs w:val="21"/>
          <w:highlight w:val="none"/>
          <w:u w:val="single"/>
        </w:rPr>
        <w:t>点</w:t>
      </w:r>
      <w:r>
        <w:rPr>
          <w:rFonts w:hint="eastAsia" w:ascii="宋体" w:hAnsi="宋体" w:eastAsia="宋体" w:cs="宋体"/>
          <w:color w:val="000000"/>
          <w:szCs w:val="21"/>
          <w:highlight w:val="none"/>
          <w:u w:val="single"/>
          <w:lang w:val="en-US" w:eastAsia="zh-CN"/>
        </w:rPr>
        <w:t>30</w:t>
      </w:r>
      <w:r>
        <w:rPr>
          <w:rFonts w:hint="eastAsia" w:ascii="宋体" w:hAnsi="宋体" w:eastAsia="宋体" w:cs="宋体"/>
          <w:color w:val="000000"/>
          <w:szCs w:val="21"/>
          <w:highlight w:val="none"/>
          <w:u w:val="single"/>
        </w:rPr>
        <w:t>分</w:t>
      </w:r>
    </w:p>
    <w:p w14:paraId="27CC52B7">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地点：</w:t>
      </w:r>
      <w:r>
        <w:rPr>
          <w:rFonts w:hint="eastAsia" w:ascii="宋体" w:hAnsi="宋体" w:eastAsia="宋体" w:cs="宋体"/>
          <w:color w:val="000000"/>
          <w:szCs w:val="21"/>
          <w:highlight w:val="none"/>
          <w:u w:val="single"/>
        </w:rPr>
        <w:t>南京市中山路99号12楼1212室</w:t>
      </w:r>
    </w:p>
    <w:p w14:paraId="0FB25B5D">
      <w:pPr>
        <w:spacing w:line="312" w:lineRule="auto"/>
        <w:jc w:val="left"/>
        <w:rPr>
          <w:rFonts w:ascii="宋体" w:hAnsi="宋体" w:eastAsia="宋体" w:cs="宋体"/>
          <w:color w:val="000000"/>
          <w:szCs w:val="21"/>
          <w:highlight w:val="none"/>
        </w:rPr>
      </w:pPr>
      <w:bookmarkStart w:id="18" w:name="_Toc28359084"/>
      <w:bookmarkStart w:id="19" w:name="_Toc35393794"/>
      <w:bookmarkStart w:id="20" w:name="_Toc35393625"/>
      <w:bookmarkStart w:id="21" w:name="_Toc28359007"/>
      <w:r>
        <w:rPr>
          <w:rFonts w:hint="eastAsia" w:ascii="宋体" w:hAnsi="宋体" w:eastAsia="宋体" w:cs="宋体"/>
          <w:color w:val="000000"/>
          <w:szCs w:val="21"/>
          <w:highlight w:val="none"/>
        </w:rPr>
        <w:t>五、公告期限</w:t>
      </w:r>
      <w:bookmarkEnd w:id="18"/>
      <w:bookmarkEnd w:id="19"/>
      <w:bookmarkEnd w:id="20"/>
      <w:bookmarkEnd w:id="21"/>
    </w:p>
    <w:p w14:paraId="75E7D5BA">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自本公告发布之日起3个工作日。</w:t>
      </w:r>
    </w:p>
    <w:p w14:paraId="738620E0">
      <w:pPr>
        <w:spacing w:line="312" w:lineRule="auto"/>
        <w:jc w:val="left"/>
        <w:rPr>
          <w:rFonts w:ascii="宋体" w:hAnsi="宋体" w:eastAsia="宋体" w:cs="宋体"/>
          <w:color w:val="000000"/>
          <w:szCs w:val="21"/>
          <w:highlight w:val="none"/>
        </w:rPr>
      </w:pPr>
      <w:bookmarkStart w:id="22" w:name="_Toc35393795"/>
      <w:bookmarkStart w:id="23" w:name="_Toc35393626"/>
      <w:r>
        <w:rPr>
          <w:rFonts w:hint="eastAsia" w:ascii="宋体" w:hAnsi="宋体" w:eastAsia="宋体" w:cs="宋体"/>
          <w:color w:val="000000"/>
          <w:szCs w:val="21"/>
          <w:highlight w:val="none"/>
        </w:rPr>
        <w:t>六、其他补充事宜</w:t>
      </w:r>
      <w:bookmarkEnd w:id="22"/>
      <w:bookmarkEnd w:id="23"/>
    </w:p>
    <w:p w14:paraId="39BDA5CB">
      <w:pPr>
        <w:spacing w:line="312" w:lineRule="auto"/>
        <w:ind w:firstLine="420" w:firstLineChars="200"/>
        <w:jc w:val="left"/>
        <w:rPr>
          <w:rFonts w:ascii="Times New Roman" w:hAnsi="Times New Roman" w:eastAsia="宋体" w:cs="Times New Roman"/>
          <w:color w:val="000000"/>
          <w:highlight w:val="none"/>
        </w:rPr>
      </w:pPr>
      <w:r>
        <w:rPr>
          <w:rFonts w:hint="eastAsia" w:ascii="宋体" w:hAnsi="宋体" w:eastAsia="宋体" w:cs="宋体"/>
          <w:color w:val="000000"/>
          <w:szCs w:val="21"/>
          <w:highlight w:val="none"/>
        </w:rPr>
        <w:t>1.</w:t>
      </w:r>
      <w:r>
        <w:rPr>
          <w:rFonts w:hint="eastAsia" w:ascii="宋体" w:hAnsi="宋体" w:eastAsia="宋体" w:cs="Times New Roman"/>
          <w:color w:val="000000"/>
          <w:szCs w:val="21"/>
          <w:highlight w:val="none"/>
        </w:rPr>
        <w:t>是否专门面向中小企业：</w:t>
      </w:r>
      <w:r>
        <w:rPr>
          <w:rFonts w:hint="eastAsia" w:ascii="宋体" w:hAnsi="宋体" w:eastAsia="宋体" w:cs="Times New Roman"/>
          <w:color w:val="000000"/>
          <w:szCs w:val="21"/>
          <w:highlight w:val="none"/>
          <w:lang w:val="en-US" w:eastAsia="zh-CN"/>
        </w:rPr>
        <w:t>是</w:t>
      </w:r>
      <w:r>
        <w:rPr>
          <w:rFonts w:hint="eastAsia" w:ascii="宋体" w:hAnsi="宋体" w:eastAsia="宋体" w:cs="Times New Roman"/>
          <w:color w:val="000000"/>
          <w:szCs w:val="21"/>
          <w:highlight w:val="none"/>
        </w:rPr>
        <w:t>。</w:t>
      </w:r>
    </w:p>
    <w:p w14:paraId="63A0B704">
      <w:pPr>
        <w:spacing w:line="312" w:lineRule="auto"/>
        <w:ind w:firstLine="420" w:firstLineChars="200"/>
        <w:jc w:val="left"/>
        <w:rPr>
          <w:rFonts w:ascii="Times New Roman" w:hAnsi="Times New Roman" w:eastAsia="宋体" w:cs="Times New Roman"/>
          <w:color w:val="000000"/>
          <w:highlight w:val="none"/>
        </w:rPr>
      </w:pPr>
      <w:r>
        <w:rPr>
          <w:rFonts w:hint="eastAsia" w:ascii="宋体" w:hAnsi="宋体" w:eastAsia="宋体" w:cs="Times New Roman"/>
          <w:color w:val="000000"/>
          <w:szCs w:val="21"/>
          <w:highlight w:val="none"/>
        </w:rPr>
        <w:t>2.本项目采购标的所属行业为：软件和信息技术服务业。</w:t>
      </w:r>
    </w:p>
    <w:p w14:paraId="598963A1">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3.集中勘察或答疑：</w:t>
      </w:r>
    </w:p>
    <w:p w14:paraId="5C70B838">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采购人不组织，供应商可自行联系采购人。未踏勘现场或踏勘工作不详细的供应商中标后，不得以不完全了解现场情况为理由而向采购人提出任何索赔或其他要求，对此采购人不承担任何责任并将不作任何答复。</w:t>
      </w:r>
    </w:p>
    <w:p w14:paraId="5126A0CA">
      <w:pPr>
        <w:numPr>
          <w:ilvl w:val="0"/>
          <w:numId w:val="1"/>
        </w:numPr>
        <w:spacing w:line="312"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响应文件份数：</w:t>
      </w:r>
      <w:r>
        <w:rPr>
          <w:rFonts w:hint="eastAsia" w:ascii="宋体" w:hAnsi="宋体" w:eastAsia="宋体" w:cs="宋体"/>
          <w:color w:val="000000"/>
          <w:szCs w:val="21"/>
          <w:highlight w:val="none"/>
          <w:lang w:val="en-US" w:eastAsia="zh-CN"/>
        </w:rPr>
        <w:t>本项目需按分包，分别制作响应文件。</w:t>
      </w:r>
      <w:r>
        <w:rPr>
          <w:rFonts w:hint="eastAsia" w:ascii="宋体" w:hAnsi="宋体" w:eastAsia="宋体" w:cs="宋体"/>
          <w:color w:val="000000"/>
          <w:szCs w:val="21"/>
          <w:highlight w:val="none"/>
        </w:rPr>
        <w:t>一式伍份（壹份正本、肆份副本），（电子版须为响应文件盖公章（红章）正本的PDF扫描件，扫描件内容应与纸质文件完全一致。文件名建议修改为公司名+项目编号简写、U盘形式，随纸质正本文件一并提交）。当纸质正本文件和电子版文件不一致时，以纸质正本文件为准。电子版文件用于存档，供应商需承担前述不一致造成的不利后果。每份纸质文件须清楚标明“正本”或“副本”字样。一旦正本和副本不符，以正本为准。</w:t>
      </w:r>
      <w:bookmarkStart w:id="24" w:name="_Toc35393796"/>
      <w:bookmarkStart w:id="25" w:name="_Toc28359008"/>
      <w:bookmarkStart w:id="26" w:name="_Toc28359085"/>
      <w:bookmarkStart w:id="27" w:name="_Toc35393627"/>
    </w:p>
    <w:p w14:paraId="5CEAC68E">
      <w:pPr>
        <w:numPr>
          <w:ilvl w:val="0"/>
          <w:numId w:val="0"/>
        </w:numPr>
        <w:spacing w:line="312" w:lineRule="auto"/>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5.公告媒体</w:t>
      </w:r>
    </w:p>
    <w:p w14:paraId="207C11CD">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（1）本采购公告在南京医科大学（https://sjfwc.njmu.edu.cn/zbgg/list.htm）公示发布，敬请各供应商关注；</w:t>
      </w:r>
    </w:p>
    <w:p w14:paraId="68667533">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（2）若有关本次采购存在变动或修改，敬请各供应商及时关注南京医科大学（https://sjfwc.njmu.edu.cn/zbgg/list.htm）发布的关于本项目的信息更正公告。</w:t>
      </w:r>
    </w:p>
    <w:p w14:paraId="3CF29667">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6.采购项目需要落实的政府采购政策：</w:t>
      </w:r>
    </w:p>
    <w:p w14:paraId="6434FC09">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（1）政府采购促进中小企业发展</w:t>
      </w:r>
    </w:p>
    <w:p w14:paraId="24A440FB">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（2）政府采购支持监狱企业发展</w:t>
      </w:r>
    </w:p>
    <w:p w14:paraId="46FAA3F1">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（3）政府采购促进残疾人就业</w:t>
      </w:r>
    </w:p>
    <w:p w14:paraId="34F217D1">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（4）政府采购鼓励采购节能环保产品</w:t>
      </w:r>
    </w:p>
    <w:p w14:paraId="57356ADE">
      <w:pPr>
        <w:spacing w:line="312" w:lineRule="auto"/>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七、对本次采购提出询问，请按以下方式联系。</w:t>
      </w:r>
      <w:bookmarkEnd w:id="24"/>
      <w:bookmarkEnd w:id="25"/>
      <w:bookmarkEnd w:id="26"/>
      <w:bookmarkEnd w:id="27"/>
    </w:p>
    <w:p w14:paraId="0856DBB5">
      <w:pP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1.采购人信息</w:t>
      </w:r>
    </w:p>
    <w:p w14:paraId="4BDA6CC5">
      <w:pPr>
        <w:shd w:val="clear"/>
        <w:spacing w:line="312" w:lineRule="auto"/>
        <w:ind w:firstLine="420" w:firstLineChars="200"/>
        <w:jc w:val="left"/>
        <w:rPr>
          <w:rFonts w:ascii="宋体" w:hAnsi="宋体" w:eastAsia="宋体" w:cs="宋体"/>
          <w:color w:val="000000"/>
          <w:szCs w:val="21"/>
          <w:highlight w:val="none"/>
        </w:rPr>
      </w:pPr>
      <w:bookmarkStart w:id="28" w:name="_Toc28359009"/>
      <w:bookmarkStart w:id="29" w:name="_Toc28359086"/>
      <w:r>
        <w:rPr>
          <w:rFonts w:hint="eastAsia" w:ascii="宋体" w:hAnsi="宋体" w:eastAsia="宋体" w:cs="宋体"/>
          <w:color w:val="000000"/>
          <w:szCs w:val="21"/>
          <w:highlight w:val="none"/>
        </w:rPr>
        <w:t>名称：南京医科大学</w:t>
      </w:r>
    </w:p>
    <w:p w14:paraId="16234A24">
      <w:pPr>
        <w:widowControl/>
        <w:shd w:val="clear" w:color="auto"/>
        <w:spacing w:line="312" w:lineRule="auto"/>
        <w:ind w:firstLine="452" w:firstLineChars="200"/>
        <w:jc w:val="left"/>
        <w:rPr>
          <w:rFonts w:ascii="宋体" w:hAnsi="宋体" w:eastAsia="宋体" w:cs="宋体"/>
          <w:color w:val="000000"/>
          <w:spacing w:val="8"/>
          <w:kern w:val="0"/>
          <w:szCs w:val="21"/>
          <w:highlight w:val="none"/>
        </w:rPr>
      </w:pPr>
      <w:r>
        <w:rPr>
          <w:rFonts w:hint="eastAsia" w:ascii="宋体" w:hAnsi="宋体" w:eastAsia="宋体" w:cs="宋体"/>
          <w:color w:val="000000"/>
          <w:spacing w:val="8"/>
          <w:kern w:val="0"/>
          <w:szCs w:val="21"/>
          <w:highlight w:val="none"/>
        </w:rPr>
        <w:t>地址：南京市江宁区龙眠大道101号</w:t>
      </w:r>
    </w:p>
    <w:p w14:paraId="2DFA60FC">
      <w:pPr>
        <w:widowControl/>
        <w:shd w:val="clear" w:color="auto"/>
        <w:spacing w:line="312" w:lineRule="auto"/>
        <w:ind w:firstLine="452" w:firstLineChars="200"/>
        <w:jc w:val="left"/>
        <w:rPr>
          <w:rFonts w:ascii="宋体" w:hAnsi="宋体" w:eastAsia="宋体" w:cs="宋体"/>
          <w:color w:val="000000"/>
          <w:spacing w:val="8"/>
          <w:kern w:val="0"/>
          <w:szCs w:val="21"/>
          <w:highlight w:val="none"/>
        </w:rPr>
      </w:pPr>
      <w:r>
        <w:rPr>
          <w:rFonts w:hint="eastAsia" w:ascii="宋体" w:hAnsi="宋体" w:eastAsia="宋体" w:cs="宋体"/>
          <w:color w:val="000000"/>
          <w:spacing w:val="8"/>
          <w:kern w:val="0"/>
          <w:szCs w:val="21"/>
          <w:highlight w:val="none"/>
        </w:rPr>
        <w:t>联系方式：汪老师</w:t>
      </w:r>
    </w:p>
    <w:p w14:paraId="42AE35C3">
      <w:pPr>
        <w:widowControl/>
        <w:shd w:val="clear" w:color="auto"/>
        <w:spacing w:line="312" w:lineRule="auto"/>
        <w:ind w:firstLine="452" w:firstLineChars="200"/>
        <w:jc w:val="left"/>
        <w:rPr>
          <w:rFonts w:ascii="宋体" w:hAnsi="宋体" w:eastAsia="宋体" w:cs="宋体"/>
          <w:color w:val="000000"/>
          <w:spacing w:val="8"/>
          <w:kern w:val="0"/>
          <w:szCs w:val="21"/>
          <w:highlight w:val="none"/>
        </w:rPr>
      </w:pPr>
      <w:r>
        <w:rPr>
          <w:rFonts w:hint="eastAsia" w:ascii="宋体" w:hAnsi="宋体" w:eastAsia="宋体" w:cs="宋体"/>
          <w:color w:val="000000"/>
          <w:spacing w:val="8"/>
          <w:kern w:val="0"/>
          <w:szCs w:val="21"/>
          <w:highlight w:val="none"/>
        </w:rPr>
        <w:t>联系电话：025-86868603</w:t>
      </w:r>
    </w:p>
    <w:p w14:paraId="1936C42D">
      <w:pPr>
        <w:shd w:val="clea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2.采购代理机构信息</w:t>
      </w:r>
      <w:bookmarkEnd w:id="28"/>
      <w:bookmarkEnd w:id="29"/>
    </w:p>
    <w:p w14:paraId="67FFDA40">
      <w:pPr>
        <w:shd w:val="clea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名称：南京苏宁工程咨询有限公司</w:t>
      </w:r>
    </w:p>
    <w:p w14:paraId="608EB12C">
      <w:pPr>
        <w:shd w:val="clea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地址：南京市鼓楼区中山路99号12楼1212室</w:t>
      </w:r>
    </w:p>
    <w:p w14:paraId="4B93A4DA">
      <w:pPr>
        <w:shd w:val="clea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联系方式：</w:t>
      </w:r>
      <w:bookmarkStart w:id="30" w:name="_Toc28359087"/>
      <w:bookmarkStart w:id="31" w:name="_Toc28359010"/>
      <w:r>
        <w:rPr>
          <w:rFonts w:hint="eastAsia" w:ascii="宋体" w:hAnsi="宋体" w:eastAsia="宋体" w:cs="宋体"/>
          <w:color w:val="000000"/>
          <w:szCs w:val="21"/>
          <w:highlight w:val="none"/>
        </w:rPr>
        <w:t>李佳蓉025-84200809</w:t>
      </w:r>
    </w:p>
    <w:p w14:paraId="47C44D8F">
      <w:pPr>
        <w:shd w:val="clea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项目联系方式</w:t>
      </w:r>
      <w:bookmarkEnd w:id="30"/>
      <w:bookmarkEnd w:id="31"/>
    </w:p>
    <w:p w14:paraId="4C9568A0">
      <w:pPr>
        <w:shd w:val="clear"/>
        <w:spacing w:line="312" w:lineRule="auto"/>
        <w:ind w:firstLine="420" w:firstLineChars="200"/>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 xml:space="preserve">项目联系人：李佳蓉 </w:t>
      </w:r>
    </w:p>
    <w:p w14:paraId="57AC4FB0">
      <w:pPr>
        <w:shd w:val="clear"/>
        <w:spacing w:line="312" w:lineRule="auto"/>
        <w:ind w:firstLine="420" w:firstLineChars="200"/>
        <w:jc w:val="left"/>
        <w:rPr>
          <w:rFonts w:ascii="宋体" w:hAnsi="宋体" w:eastAsia="宋体" w:cs="宋体"/>
          <w:color w:val="000000"/>
          <w:szCs w:val="21"/>
          <w:highlight w:val="none"/>
          <w:u w:val="single"/>
        </w:rPr>
      </w:pPr>
      <w:r>
        <w:rPr>
          <w:rFonts w:hint="eastAsia" w:ascii="宋体" w:hAnsi="宋体" w:eastAsia="宋体" w:cs="宋体"/>
          <w:color w:val="000000"/>
          <w:szCs w:val="21"/>
          <w:highlight w:val="none"/>
        </w:rPr>
        <w:t>电话：025-84200809</w:t>
      </w:r>
    </w:p>
    <w:p w14:paraId="5941F9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25B478"/>
    <w:multiLevelType w:val="singleLevel"/>
    <w:tmpl w:val="5225B478"/>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06292C"/>
    <w:rsid w:val="2F062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2026-10-26T07:55:00Z</dcterms:created>
  <dc:creator>李朝阳</dc:creator>
  <cp:lastModifiedBy>李朝阳</cp:lastModifiedBy>
  <dcterms:modified xsi:type="dcterms:W3CDTF">2026-10-26T07:57:35Z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C9B3840EDC37490F82F20F175F677C87_11</vt:lpwstr>
  </property>
  <property fmtid="{D5CDD505-2E9C-101B-9397-08002B2CF9AE}" pid="4" name="KSOTemplateDocerSaveRecord">
    <vt:lpwstr>eyJoZGlkIjoiMjZmYzU3N2JiMGQxNWNkZGMwMWI2ZDcxOWZkNWQxNmQiLCJ1c2VySWQiOiIxNjQ5OTE5MjIyIn0=</vt:lpwstr>
  </property>
</Properties>
</file>