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2D8E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1F31D266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JG203224423943</w:t>
      </w:r>
    </w:p>
    <w:p w14:paraId="18023208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南京医科大学姑苏学院并行存储采购项目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</w:p>
    <w:p w14:paraId="64DC52BD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tbl>
      <w:tblPr>
        <w:tblStyle w:val="9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43"/>
        <w:gridCol w:w="1527"/>
        <w:gridCol w:w="1636"/>
      </w:tblGrid>
      <w:tr w14:paraId="4561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69930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543" w:type="dxa"/>
          </w:tcPr>
          <w:p w14:paraId="7B813B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1527" w:type="dxa"/>
          </w:tcPr>
          <w:p w14:paraId="62A7B17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评审总得分</w:t>
            </w:r>
          </w:p>
        </w:tc>
        <w:tc>
          <w:tcPr>
            <w:tcW w:w="1636" w:type="dxa"/>
          </w:tcPr>
          <w:p w14:paraId="5F7E44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</w:tr>
      <w:tr w14:paraId="263B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82E0BE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安歌智能科技（南京）有限公司</w:t>
            </w:r>
          </w:p>
        </w:tc>
        <w:tc>
          <w:tcPr>
            <w:tcW w:w="3543" w:type="dxa"/>
            <w:vAlign w:val="center"/>
          </w:tcPr>
          <w:p w14:paraId="6B01CFB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南京市高淳区桠溪街道国华路66号40幢102室</w:t>
            </w:r>
          </w:p>
        </w:tc>
        <w:tc>
          <w:tcPr>
            <w:tcW w:w="1527" w:type="dxa"/>
            <w:vAlign w:val="center"/>
          </w:tcPr>
          <w:p w14:paraId="275BDCD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95.2</w:t>
            </w:r>
          </w:p>
        </w:tc>
        <w:tc>
          <w:tcPr>
            <w:tcW w:w="1636" w:type="dxa"/>
            <w:vAlign w:val="center"/>
          </w:tcPr>
          <w:p w14:paraId="00770B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30.36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</w:tbl>
    <w:p w14:paraId="1C11CE2A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9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6E7F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 w14:paraId="605D500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货物类</w:t>
            </w:r>
          </w:p>
        </w:tc>
      </w:tr>
      <w:tr w14:paraId="519F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290" w:type="dxa"/>
          </w:tcPr>
          <w:p w14:paraId="5264CAF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名称：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南京医科大学姑苏学院并行存储采购项目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4F7B069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名称、品牌、数量、单价：</w:t>
            </w:r>
          </w:p>
        </w:tc>
      </w:tr>
    </w:tbl>
    <w:tbl>
      <w:tblPr>
        <w:tblStyle w:val="8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850"/>
        <w:gridCol w:w="690"/>
        <w:gridCol w:w="1175"/>
        <w:gridCol w:w="1500"/>
        <w:gridCol w:w="1502"/>
      </w:tblGrid>
      <w:tr w14:paraId="4094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8ED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93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042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3A7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3B0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CC44">
            <w:pPr>
              <w:jc w:val="center"/>
            </w:pPr>
            <w:r>
              <w:rPr>
                <w:rFonts w:hint="eastAsia"/>
              </w:rPr>
              <w:t>单价（万元）</w:t>
            </w:r>
          </w:p>
        </w:tc>
      </w:tr>
      <w:tr w14:paraId="1955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52D4">
            <w:pPr>
              <w:jc w:val="center"/>
            </w:pPr>
            <w: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990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并行存储单元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EB1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74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641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宁畅 R640 G50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03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15.18</w:t>
            </w:r>
          </w:p>
        </w:tc>
      </w:tr>
    </w:tbl>
    <w:p w14:paraId="4703021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评审专家名单：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于国华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殷堰农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王霄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宋斐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徐菠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1E356C4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六、代理服务收费标准及金额：中标人参照《招标代理服务费管理暂行办法》（国家发展计划委员会计价格【2002】1980号）代理货物招标收费基准费率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 xml:space="preserve"> %计算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金额为2732.4元。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6631DD8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17DEC2DF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62889ED8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无</w:t>
      </w:r>
    </w:p>
    <w:p w14:paraId="2A8E6CDF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</w:t>
      </w:r>
      <w:r>
        <w:rPr>
          <w:rFonts w:hint="eastAsia" w:ascii="宋体" w:hAnsi="宋体" w:eastAsia="宋体" w:cs="宋体"/>
          <w:sz w:val="24"/>
          <w:szCs w:val="24"/>
        </w:rPr>
        <w:t>凡对本次公告内容提出询问，请按以下方式联系。</w:t>
      </w:r>
    </w:p>
    <w:p w14:paraId="7E4A5343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66AA7E60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　南京医科大学　</w:t>
      </w:r>
    </w:p>
    <w:p w14:paraId="3D24D71A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南京市江宁区龙眠大道101号</w:t>
      </w:r>
    </w:p>
    <w:p w14:paraId="32470E7D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汪老师、吴老师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025-</w:t>
      </w:r>
      <w:r>
        <w:rPr>
          <w:rFonts w:hint="eastAsia" w:ascii="宋体" w:hAnsi="宋体" w:eastAsia="宋体" w:cs="宋体"/>
          <w:sz w:val="24"/>
          <w:szCs w:val="24"/>
        </w:rPr>
        <w:t>86867808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　 </w:t>
      </w:r>
    </w:p>
    <w:p w14:paraId="77D7BA15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3D1E0F75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　江苏省设备成套股份有限公司　</w:t>
      </w:r>
    </w:p>
    <w:p w14:paraId="12295FDE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  址：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苏州市姑苏区总官堂路333号信展财富大厦5楼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6F269AE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蒋</w:t>
      </w: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工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13851447431     </w:t>
      </w:r>
    </w:p>
    <w:p w14:paraId="297238AE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25489AE5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工  </w:t>
      </w:r>
    </w:p>
    <w:p w14:paraId="6D7171E3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  话：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13851447431 </w:t>
      </w:r>
      <w:r>
        <w:rPr>
          <w:rFonts w:hint="eastAsia" w:ascii="宋体" w:hAnsi="宋体" w:eastAsia="宋体" w:cs="宋体"/>
          <w:sz w:val="24"/>
          <w:szCs w:val="24"/>
        </w:rPr>
        <w:t>　</w:t>
      </w:r>
    </w:p>
    <w:p w14:paraId="63F273E3"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7798CB"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江苏省设备成套股份有限公司</w:t>
      </w:r>
    </w:p>
    <w:p w14:paraId="024A374F"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bookmarkStart w:id="14" w:name="_GoBack"/>
      <w:bookmarkEnd w:id="14"/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GU2ZjJhOGMyOTQwN2UzMzg5NGQxMGYxNmE0MTIifQ=="/>
  </w:docVars>
  <w:rsids>
    <w:rsidRoot w:val="78704351"/>
    <w:rsid w:val="016E5555"/>
    <w:rsid w:val="01EC0EC8"/>
    <w:rsid w:val="01FC2B6B"/>
    <w:rsid w:val="0291458A"/>
    <w:rsid w:val="066F1C46"/>
    <w:rsid w:val="06971E99"/>
    <w:rsid w:val="08C01E1C"/>
    <w:rsid w:val="094168C6"/>
    <w:rsid w:val="0AC6668F"/>
    <w:rsid w:val="0B5923ED"/>
    <w:rsid w:val="0FED4B95"/>
    <w:rsid w:val="13943144"/>
    <w:rsid w:val="144E4441"/>
    <w:rsid w:val="1A5455D0"/>
    <w:rsid w:val="1E9D7B4E"/>
    <w:rsid w:val="1FF03364"/>
    <w:rsid w:val="25DD7258"/>
    <w:rsid w:val="27B43053"/>
    <w:rsid w:val="27F76479"/>
    <w:rsid w:val="28F63F80"/>
    <w:rsid w:val="2BFA5FE1"/>
    <w:rsid w:val="2DF826E5"/>
    <w:rsid w:val="2E9560FA"/>
    <w:rsid w:val="2F774DE8"/>
    <w:rsid w:val="33AF3C6C"/>
    <w:rsid w:val="3406051F"/>
    <w:rsid w:val="34E63982"/>
    <w:rsid w:val="360120A7"/>
    <w:rsid w:val="3653333F"/>
    <w:rsid w:val="36651B1F"/>
    <w:rsid w:val="37924251"/>
    <w:rsid w:val="38CD40DA"/>
    <w:rsid w:val="391B68FB"/>
    <w:rsid w:val="393D1554"/>
    <w:rsid w:val="3A30539F"/>
    <w:rsid w:val="3CAE0773"/>
    <w:rsid w:val="3ED0213A"/>
    <w:rsid w:val="3F5805F1"/>
    <w:rsid w:val="44D162C0"/>
    <w:rsid w:val="46EB36E7"/>
    <w:rsid w:val="46F76AEE"/>
    <w:rsid w:val="4B1B576B"/>
    <w:rsid w:val="4C3346D6"/>
    <w:rsid w:val="4E391927"/>
    <w:rsid w:val="50841FE0"/>
    <w:rsid w:val="5171574D"/>
    <w:rsid w:val="52A44D3D"/>
    <w:rsid w:val="5322027D"/>
    <w:rsid w:val="5522505A"/>
    <w:rsid w:val="556F374C"/>
    <w:rsid w:val="5929341A"/>
    <w:rsid w:val="59F71A45"/>
    <w:rsid w:val="5A0E4C1A"/>
    <w:rsid w:val="5A3A7730"/>
    <w:rsid w:val="5C97150A"/>
    <w:rsid w:val="5F5B3E64"/>
    <w:rsid w:val="5FDA100E"/>
    <w:rsid w:val="651968DF"/>
    <w:rsid w:val="6600503C"/>
    <w:rsid w:val="67A53F89"/>
    <w:rsid w:val="68FB0800"/>
    <w:rsid w:val="69337FF5"/>
    <w:rsid w:val="6A00484E"/>
    <w:rsid w:val="6A2736E1"/>
    <w:rsid w:val="6DD14B1F"/>
    <w:rsid w:val="702B1F0B"/>
    <w:rsid w:val="71640318"/>
    <w:rsid w:val="75E20CC3"/>
    <w:rsid w:val="77FA709C"/>
    <w:rsid w:val="78704351"/>
    <w:rsid w:val="7E0E0740"/>
    <w:rsid w:val="7E6519A0"/>
    <w:rsid w:val="7EED79BA"/>
    <w:rsid w:val="7F6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jc w:val="center"/>
    </w:pPr>
    <w:rPr>
      <w:rFonts w:eastAsia="幼圆"/>
      <w:b/>
      <w:bCs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513</Characters>
  <Lines>0</Lines>
  <Paragraphs>0</Paragraphs>
  <TotalTime>0</TotalTime>
  <ScaleCrop>false</ScaleCrop>
  <LinksUpToDate>false</LinksUpToDate>
  <CharactersWithSpaces>562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2022-04-28T10:56:00Z</dcterms:created>
  <dc:creator>Y.H.Miao</dc:creator>
  <cp:lastModifiedBy>mozart</cp:lastModifiedBy>
  <dcterms:modified xsi:type="dcterms:W3CDTF">2024-11-25T09:25:50Z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CB98E0554EBD4A9CAD04156818D34790_13</vt:lpwstr>
  </property>
</Properties>
</file>