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0F3E9">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项目概况</w:t>
      </w:r>
    </w:p>
    <w:p w14:paraId="75DB9632">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lang w:eastAsia="zh-CN"/>
        </w:rPr>
        <w:t>南京医科大学疫苗平台全自动倒置荧光显微镜</w:t>
      </w:r>
      <w:r>
        <w:rPr>
          <w:rFonts w:hint="eastAsia" w:ascii="微软雅黑" w:hAnsi="微软雅黑" w:cs="微软雅黑"/>
          <w:color w:val="auto"/>
          <w:szCs w:val="21"/>
          <w:highlight w:val="none"/>
        </w:rPr>
        <w:t>项目的潜在投标供应商应在</w:t>
      </w:r>
      <w:r>
        <w:rPr>
          <w:rFonts w:hint="eastAsia" w:ascii="微软雅黑" w:hAnsi="微软雅黑" w:cs="微软雅黑"/>
          <w:color w:val="auto"/>
          <w:szCs w:val="21"/>
          <w:highlight w:val="none"/>
          <w:lang w:bidi="ar"/>
        </w:rPr>
        <w:t>（</w:t>
      </w:r>
      <w:r>
        <w:rPr>
          <w:rFonts w:hint="eastAsia" w:ascii="微软雅黑" w:hAnsi="微软雅黑" w:cs="微软雅黑"/>
          <w:color w:val="auto"/>
          <w:szCs w:val="21"/>
          <w:highlight w:val="none"/>
          <w:u w:val="single"/>
          <w:lang w:bidi="ar"/>
        </w:rPr>
        <w:t>南京市建邺区嘉陵江东街8号综合体B3栋一单元16层</w:t>
      </w:r>
      <w:r>
        <w:rPr>
          <w:rFonts w:hint="eastAsia" w:ascii="微软雅黑" w:hAnsi="微软雅黑" w:cs="微软雅黑"/>
          <w:color w:val="auto"/>
          <w:szCs w:val="21"/>
          <w:highlight w:val="none"/>
          <w:lang w:bidi="ar"/>
        </w:rPr>
        <w:t>）</w:t>
      </w:r>
      <w:r>
        <w:rPr>
          <w:rFonts w:hint="eastAsia" w:ascii="微软雅黑" w:hAnsi="微软雅黑" w:cs="微软雅黑"/>
          <w:color w:val="auto"/>
          <w:szCs w:val="21"/>
          <w:highlight w:val="none"/>
        </w:rPr>
        <w:t>获取采购文件，并于2026</w:t>
      </w:r>
      <w:r>
        <w:rPr>
          <w:rFonts w:hint="eastAsia" w:ascii="微软雅黑" w:hAnsi="微软雅黑" w:cs="微软雅黑"/>
          <w:bCs/>
          <w:color w:val="auto"/>
          <w:szCs w:val="21"/>
          <w:highlight w:val="none"/>
        </w:rPr>
        <w:t>年</w:t>
      </w:r>
      <w:r>
        <w:rPr>
          <w:rFonts w:hint="eastAsia" w:ascii="微软雅黑" w:hAnsi="微软雅黑" w:cs="微软雅黑"/>
          <w:bCs/>
          <w:color w:val="auto"/>
          <w:szCs w:val="21"/>
          <w:highlight w:val="none"/>
          <w:lang w:val="en-US" w:eastAsia="zh-CN"/>
        </w:rPr>
        <w:t>5</w:t>
      </w:r>
      <w:r>
        <w:rPr>
          <w:rFonts w:hint="eastAsia" w:ascii="微软雅黑" w:hAnsi="微软雅黑" w:cs="微软雅黑"/>
          <w:bCs/>
          <w:color w:val="auto"/>
          <w:szCs w:val="21"/>
          <w:highlight w:val="none"/>
        </w:rPr>
        <w:t>月</w:t>
      </w:r>
      <w:r>
        <w:rPr>
          <w:rFonts w:hint="eastAsia" w:ascii="微软雅黑" w:hAnsi="微软雅黑" w:cs="微软雅黑"/>
          <w:bCs/>
          <w:color w:val="auto"/>
          <w:szCs w:val="21"/>
          <w:highlight w:val="none"/>
          <w:lang w:val="en-US" w:eastAsia="zh-CN"/>
        </w:rPr>
        <w:t>8</w:t>
      </w:r>
      <w:r>
        <w:rPr>
          <w:rFonts w:hint="eastAsia" w:ascii="微软雅黑" w:hAnsi="微软雅黑" w:cs="微软雅黑"/>
          <w:bCs/>
          <w:color w:val="auto"/>
          <w:szCs w:val="21"/>
          <w:highlight w:val="none"/>
        </w:rPr>
        <w:t>日14点30分（北京时间）前递交投标文件</w:t>
      </w:r>
      <w:r>
        <w:rPr>
          <w:rFonts w:hint="eastAsia" w:ascii="微软雅黑" w:hAnsi="微软雅黑" w:cs="微软雅黑"/>
          <w:color w:val="auto"/>
          <w:szCs w:val="21"/>
          <w:highlight w:val="none"/>
        </w:rPr>
        <w:t>。</w:t>
      </w:r>
    </w:p>
    <w:p w14:paraId="6D0B1FEC">
      <w:pPr>
        <w:rPr>
          <w:rFonts w:hint="eastAsia" w:ascii="微软雅黑" w:hAnsi="微软雅黑" w:cs="微软雅黑"/>
          <w:b/>
          <w:bCs/>
          <w:color w:val="auto"/>
          <w:highlight w:val="none"/>
        </w:rPr>
      </w:pPr>
      <w:bookmarkStart w:id="0" w:name="_Toc28359079"/>
      <w:bookmarkStart w:id="1" w:name="_Toc35393621"/>
      <w:bookmarkStart w:id="2" w:name="_Toc35393790"/>
      <w:bookmarkStart w:id="3" w:name="_Toc28359002"/>
      <w:bookmarkStart w:id="4" w:name="_Toc5452"/>
      <w:bookmarkStart w:id="5" w:name="_Hlk24379207"/>
      <w:r>
        <w:rPr>
          <w:rFonts w:hint="eastAsia" w:ascii="微软雅黑" w:hAnsi="微软雅黑" w:cs="微软雅黑"/>
          <w:b/>
          <w:bCs/>
          <w:color w:val="auto"/>
          <w:highlight w:val="none"/>
        </w:rPr>
        <w:t>一、项目基本情况</w:t>
      </w:r>
      <w:bookmarkEnd w:id="0"/>
      <w:bookmarkEnd w:id="1"/>
      <w:bookmarkEnd w:id="2"/>
      <w:bookmarkEnd w:id="3"/>
      <w:bookmarkEnd w:id="4"/>
    </w:p>
    <w:p w14:paraId="431CCCFD">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项目编号：JSHC-2026010027B1</w:t>
      </w:r>
    </w:p>
    <w:p w14:paraId="1B30FE89">
      <w:pPr>
        <w:spacing w:line="420" w:lineRule="exact"/>
        <w:ind w:firstLine="420" w:firstLineChars="200"/>
        <w:rPr>
          <w:rFonts w:hint="eastAsia" w:ascii="微软雅黑" w:hAnsi="微软雅黑" w:eastAsia="微软雅黑" w:cs="微软雅黑"/>
          <w:color w:val="auto"/>
          <w:szCs w:val="21"/>
          <w:highlight w:val="none"/>
          <w:lang w:eastAsia="zh-CN"/>
        </w:rPr>
      </w:pPr>
      <w:r>
        <w:rPr>
          <w:rFonts w:hint="eastAsia" w:ascii="微软雅黑" w:hAnsi="微软雅黑" w:cs="微软雅黑"/>
          <w:color w:val="auto"/>
          <w:szCs w:val="21"/>
          <w:highlight w:val="none"/>
        </w:rPr>
        <w:t>项目名称：</w:t>
      </w:r>
      <w:bookmarkEnd w:id="5"/>
      <w:r>
        <w:rPr>
          <w:rFonts w:hint="eastAsia" w:ascii="微软雅黑" w:hAnsi="微软雅黑" w:cs="微软雅黑"/>
          <w:color w:val="auto"/>
          <w:szCs w:val="21"/>
          <w:highlight w:val="none"/>
          <w:lang w:eastAsia="zh-CN"/>
        </w:rPr>
        <w:t>南京医科大学疫苗平台全自动倒置荧光显微镜</w:t>
      </w:r>
    </w:p>
    <w:p w14:paraId="32D42227">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预算金额：人民币捌拾伍万元整（￥85万元）</w:t>
      </w:r>
    </w:p>
    <w:p w14:paraId="6CD75929">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最高限价：人民币捌拾伍万元整（￥85万元）</w:t>
      </w:r>
    </w:p>
    <w:p w14:paraId="65574E53">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 xml:space="preserve">采购需求：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3788"/>
        <w:gridCol w:w="2742"/>
      </w:tblGrid>
      <w:tr w14:paraId="6894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08" w:type="dxa"/>
            <w:noWrap w:val="0"/>
            <w:vAlign w:val="center"/>
          </w:tcPr>
          <w:p w14:paraId="5B5C0BE1">
            <w:pPr>
              <w:jc w:val="center"/>
              <w:rPr>
                <w:rFonts w:hint="eastAsia"/>
                <w:color w:val="auto"/>
                <w:highlight w:val="none"/>
              </w:rPr>
            </w:pPr>
            <w:r>
              <w:rPr>
                <w:rFonts w:hint="eastAsia"/>
                <w:color w:val="auto"/>
                <w:highlight w:val="none"/>
              </w:rPr>
              <w:t>序号</w:t>
            </w:r>
          </w:p>
        </w:tc>
        <w:tc>
          <w:tcPr>
            <w:tcW w:w="3788" w:type="dxa"/>
            <w:noWrap w:val="0"/>
            <w:vAlign w:val="center"/>
          </w:tcPr>
          <w:p w14:paraId="53822653">
            <w:pPr>
              <w:jc w:val="center"/>
              <w:rPr>
                <w:rFonts w:hint="eastAsia"/>
                <w:color w:val="auto"/>
                <w:highlight w:val="none"/>
              </w:rPr>
            </w:pPr>
            <w:r>
              <w:rPr>
                <w:rFonts w:hint="eastAsia"/>
                <w:color w:val="auto"/>
                <w:highlight w:val="none"/>
              </w:rPr>
              <w:t>名称</w:t>
            </w:r>
          </w:p>
        </w:tc>
        <w:tc>
          <w:tcPr>
            <w:tcW w:w="2742" w:type="dxa"/>
            <w:noWrap w:val="0"/>
            <w:vAlign w:val="center"/>
          </w:tcPr>
          <w:p w14:paraId="5F0591BB">
            <w:pPr>
              <w:jc w:val="center"/>
              <w:rPr>
                <w:rFonts w:hint="eastAsia"/>
                <w:color w:val="auto"/>
                <w:highlight w:val="none"/>
              </w:rPr>
            </w:pPr>
            <w:r>
              <w:rPr>
                <w:rFonts w:hint="eastAsia"/>
                <w:color w:val="auto"/>
                <w:highlight w:val="none"/>
              </w:rPr>
              <w:t>数量</w:t>
            </w:r>
          </w:p>
        </w:tc>
      </w:tr>
      <w:tr w14:paraId="2DB6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08" w:type="dxa"/>
            <w:noWrap w:val="0"/>
            <w:vAlign w:val="center"/>
          </w:tcPr>
          <w:p w14:paraId="23D6862A">
            <w:pPr>
              <w:jc w:val="center"/>
              <w:rPr>
                <w:rFonts w:hint="eastAsia"/>
                <w:color w:val="auto"/>
                <w:highlight w:val="none"/>
              </w:rPr>
            </w:pPr>
            <w:r>
              <w:rPr>
                <w:rFonts w:hint="eastAsia"/>
                <w:color w:val="auto"/>
                <w:highlight w:val="none"/>
              </w:rPr>
              <w:t>1</w:t>
            </w:r>
          </w:p>
        </w:tc>
        <w:tc>
          <w:tcPr>
            <w:tcW w:w="3788" w:type="dxa"/>
            <w:noWrap w:val="0"/>
            <w:vAlign w:val="center"/>
          </w:tcPr>
          <w:p w14:paraId="23298E37">
            <w:pPr>
              <w:jc w:val="center"/>
              <w:rPr>
                <w:rFonts w:hint="eastAsia"/>
                <w:color w:val="auto"/>
                <w:highlight w:val="none"/>
              </w:rPr>
            </w:pPr>
            <w:r>
              <w:rPr>
                <w:rFonts w:hint="eastAsia" w:ascii="微软雅黑" w:hAnsi="微软雅黑" w:cs="微软雅黑"/>
                <w:color w:val="auto"/>
                <w:szCs w:val="21"/>
                <w:highlight w:val="none"/>
              </w:rPr>
              <w:t>全自动倒置荧光显微镜</w:t>
            </w:r>
          </w:p>
        </w:tc>
        <w:tc>
          <w:tcPr>
            <w:tcW w:w="2742" w:type="dxa"/>
            <w:noWrap w:val="0"/>
            <w:vAlign w:val="center"/>
          </w:tcPr>
          <w:p w14:paraId="2A8AA827">
            <w:pPr>
              <w:jc w:val="center"/>
              <w:rPr>
                <w:rFonts w:hint="eastAsia"/>
                <w:color w:val="auto"/>
                <w:highlight w:val="none"/>
              </w:rPr>
            </w:pPr>
            <w:r>
              <w:rPr>
                <w:rFonts w:hint="eastAsia"/>
                <w:color w:val="auto"/>
                <w:highlight w:val="none"/>
              </w:rPr>
              <w:t>1台</w:t>
            </w:r>
          </w:p>
        </w:tc>
      </w:tr>
    </w:tbl>
    <w:p w14:paraId="3851F43E">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合同履行期限：合同签订生效后，进口设备（免税）三个月内、国产设备及进口设备（非免税）一个月内全部设备、材料运抵现场，并安装、调试结束，验收合格，交付</w:t>
      </w:r>
      <w:r>
        <w:rPr>
          <w:rFonts w:hint="eastAsia" w:ascii="微软雅黑" w:hAnsi="微软雅黑" w:cs="微软雅黑"/>
          <w:color w:val="auto"/>
          <w:szCs w:val="21"/>
          <w:highlight w:val="none"/>
          <w:lang w:val="en-US" w:eastAsia="zh-CN"/>
        </w:rPr>
        <w:t>采购人</w:t>
      </w:r>
      <w:r>
        <w:rPr>
          <w:rFonts w:hint="eastAsia" w:ascii="微软雅黑" w:hAnsi="微软雅黑" w:cs="微软雅黑"/>
          <w:color w:val="auto"/>
          <w:szCs w:val="21"/>
          <w:highlight w:val="none"/>
        </w:rPr>
        <w:t>使用。</w:t>
      </w:r>
    </w:p>
    <w:p w14:paraId="4A408105">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本项目（</w:t>
      </w:r>
      <w:r>
        <w:rPr>
          <w:rFonts w:hint="eastAsia" w:ascii="微软雅黑" w:hAnsi="微软雅黑" w:cs="微软雅黑"/>
          <w:i/>
          <w:color w:val="auto"/>
          <w:szCs w:val="21"/>
          <w:highlight w:val="none"/>
        </w:rPr>
        <w:t>是/否</w:t>
      </w:r>
      <w:r>
        <w:rPr>
          <w:rFonts w:hint="eastAsia" w:ascii="微软雅黑" w:hAnsi="微软雅黑" w:cs="微软雅黑"/>
          <w:color w:val="auto"/>
          <w:szCs w:val="21"/>
          <w:highlight w:val="none"/>
        </w:rPr>
        <w:t>）接受联合体：</w:t>
      </w:r>
      <w:r>
        <w:rPr>
          <w:rFonts w:hint="eastAsia" w:ascii="微软雅黑" w:hAnsi="微软雅黑" w:cs="微软雅黑"/>
          <w:b/>
          <w:bCs/>
          <w:color w:val="auto"/>
          <w:szCs w:val="21"/>
          <w:highlight w:val="none"/>
        </w:rPr>
        <w:t>否</w:t>
      </w:r>
    </w:p>
    <w:p w14:paraId="14FECE5E">
      <w:pPr>
        <w:rPr>
          <w:rFonts w:hint="eastAsia" w:ascii="微软雅黑" w:hAnsi="微软雅黑" w:cs="微软雅黑"/>
          <w:b/>
          <w:bCs/>
          <w:color w:val="auto"/>
          <w:highlight w:val="none"/>
        </w:rPr>
      </w:pPr>
      <w:bookmarkStart w:id="6" w:name="_Toc35393622"/>
      <w:bookmarkStart w:id="7" w:name="_Toc18689"/>
      <w:bookmarkStart w:id="8" w:name="_Toc28359003"/>
      <w:bookmarkStart w:id="9" w:name="_Toc28359080"/>
      <w:bookmarkStart w:id="10" w:name="_Toc35393791"/>
      <w:r>
        <w:rPr>
          <w:rFonts w:hint="eastAsia" w:ascii="微软雅黑" w:hAnsi="微软雅黑" w:cs="微软雅黑"/>
          <w:b/>
          <w:bCs/>
          <w:color w:val="auto"/>
          <w:highlight w:val="none"/>
        </w:rPr>
        <w:t>二、申请人的资格要求：</w:t>
      </w:r>
      <w:bookmarkEnd w:id="6"/>
      <w:bookmarkEnd w:id="7"/>
      <w:bookmarkEnd w:id="8"/>
      <w:bookmarkEnd w:id="9"/>
      <w:bookmarkEnd w:id="10"/>
    </w:p>
    <w:p w14:paraId="2E1DCA23">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1.满足《中华人民共和国政府采购法》第二十二条规定：</w:t>
      </w:r>
    </w:p>
    <w:p w14:paraId="23EB75CB">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1.1具有独立承担民事责任的能力（提供法人或者其他组织的营业执照复印件）；</w:t>
      </w:r>
    </w:p>
    <w:p w14:paraId="49636E1F">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1.2具有良好的商业信誉和健全的财务会计制度（提供2025年</w:t>
      </w:r>
      <w:r>
        <w:rPr>
          <w:rFonts w:hint="eastAsia" w:ascii="微软雅黑" w:hAnsi="微软雅黑" w:cs="微软雅黑"/>
          <w:color w:val="auto"/>
          <w:szCs w:val="21"/>
          <w:highlight w:val="none"/>
          <w:lang w:val="en-US" w:eastAsia="zh-CN"/>
        </w:rPr>
        <w:t>4</w:t>
      </w:r>
      <w:r>
        <w:rPr>
          <w:rFonts w:hint="eastAsia" w:ascii="微软雅黑" w:hAnsi="微软雅黑" w:cs="微软雅黑"/>
          <w:color w:val="auto"/>
          <w:szCs w:val="21"/>
          <w:highlight w:val="none"/>
        </w:rPr>
        <w:t>月至投标截止时间前任一月份的资产负债表和利润表，或2024</w:t>
      </w:r>
      <w:r>
        <w:rPr>
          <w:rFonts w:hint="eastAsia" w:ascii="微软雅黑" w:hAnsi="微软雅黑" w:cs="微软雅黑"/>
          <w:color w:val="auto"/>
          <w:szCs w:val="21"/>
          <w:highlight w:val="none"/>
          <w:lang w:eastAsia="zh-CN"/>
        </w:rPr>
        <w:t>、</w:t>
      </w:r>
      <w:r>
        <w:rPr>
          <w:rFonts w:hint="eastAsia" w:ascii="微软雅黑" w:hAnsi="微软雅黑" w:cs="微软雅黑"/>
          <w:color w:val="auto"/>
          <w:szCs w:val="21"/>
          <w:highlight w:val="none"/>
          <w:lang w:val="en-US" w:eastAsia="zh-CN"/>
        </w:rPr>
        <w:t>2025年任一</w:t>
      </w:r>
      <w:r>
        <w:rPr>
          <w:rFonts w:hint="eastAsia" w:ascii="微软雅黑" w:hAnsi="微软雅黑" w:cs="微软雅黑"/>
          <w:color w:val="auto"/>
          <w:szCs w:val="21"/>
          <w:highlight w:val="none"/>
        </w:rPr>
        <w:t>年度</w:t>
      </w:r>
      <w:r>
        <w:rPr>
          <w:rFonts w:hint="eastAsia" w:ascii="微软雅黑" w:hAnsi="微软雅黑" w:cs="微软雅黑"/>
          <w:color w:val="auto"/>
          <w:szCs w:val="21"/>
          <w:highlight w:val="none"/>
          <w:lang w:val="en-US" w:eastAsia="zh-CN"/>
        </w:rPr>
        <w:t>经</w:t>
      </w:r>
      <w:r>
        <w:rPr>
          <w:rFonts w:hint="eastAsia" w:ascii="微软雅黑" w:hAnsi="微软雅黑" w:cs="微软雅黑"/>
          <w:color w:val="auto"/>
          <w:szCs w:val="21"/>
          <w:highlight w:val="none"/>
        </w:rPr>
        <w:t>审计</w:t>
      </w:r>
      <w:r>
        <w:rPr>
          <w:rFonts w:hint="eastAsia" w:ascii="微软雅黑" w:hAnsi="微软雅黑" w:cs="微软雅黑"/>
          <w:color w:val="auto"/>
          <w:szCs w:val="21"/>
          <w:highlight w:val="none"/>
          <w:lang w:val="en-US" w:eastAsia="zh-CN"/>
        </w:rPr>
        <w:t>的财务</w:t>
      </w:r>
      <w:r>
        <w:rPr>
          <w:rFonts w:hint="eastAsia" w:ascii="微软雅黑" w:hAnsi="微软雅黑" w:cs="微软雅黑"/>
          <w:color w:val="auto"/>
          <w:szCs w:val="21"/>
          <w:highlight w:val="none"/>
        </w:rPr>
        <w:t>报告（包括报告及报告中所附的完整内容，并由注册会计师签名、盖章以及会计师事务所盖章），或银行出具的资信证明，或财政部门认可的专业担保机构出具的投标担保函）；</w:t>
      </w:r>
    </w:p>
    <w:p w14:paraId="5AB69412">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（法人或者其他组织成立未满一年的可以不提供）</w:t>
      </w:r>
    </w:p>
    <w:p w14:paraId="3D624CE3">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1.3具有履行合同所必需的设备和专业技术能力（根据项目需求提供履行合同所必需的设备和专业技术能力的证明材料或承诺函）；</w:t>
      </w:r>
    </w:p>
    <w:p w14:paraId="0EB9BC77">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1.4有依法缴纳税收和社会保障资金的良好记录（提供2025年</w:t>
      </w:r>
      <w:r>
        <w:rPr>
          <w:rFonts w:hint="eastAsia" w:ascii="微软雅黑" w:hAnsi="微软雅黑" w:cs="微软雅黑"/>
          <w:color w:val="auto"/>
          <w:szCs w:val="21"/>
          <w:highlight w:val="none"/>
          <w:lang w:val="en-US" w:eastAsia="zh-CN"/>
        </w:rPr>
        <w:t>4</w:t>
      </w:r>
      <w:r>
        <w:rPr>
          <w:rFonts w:hint="eastAsia" w:ascii="微软雅黑" w:hAnsi="微软雅黑" w:cs="微软雅黑"/>
          <w:color w:val="auto"/>
          <w:szCs w:val="21"/>
          <w:highlight w:val="none"/>
        </w:rPr>
        <w:t>月至投标截止时间前任一月份依法缴纳税收的凭据，以及缴纳社会保险的凭据（专用收据或社会保险的凭据）。依法免税或不需要缴纳社会保障资金的投标供应商，应提供相应文件证明）；</w:t>
      </w:r>
    </w:p>
    <w:p w14:paraId="613BAB1E">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1.5参加本次采购活动前三年内（成立时间不足三年的自成立之日起），在经营活动中没有重大违法记录（提供参加本次采购活动前三年内在经营活动中没有重大违法记录的书面声明）。</w:t>
      </w:r>
    </w:p>
    <w:p w14:paraId="6A33DE95">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1.6投标供应商须提供法定代表人授权书原件、法定代表人身份证复印件、授权代表身份证复印件（如果是法定代表人直接参与投标的可以不提供授权书）。</w:t>
      </w:r>
    </w:p>
    <w:p w14:paraId="2724B01D">
      <w:pPr>
        <w:spacing w:line="420" w:lineRule="exact"/>
        <w:ind w:firstLine="420" w:firstLineChars="200"/>
        <w:rPr>
          <w:rFonts w:hint="eastAsia" w:ascii="微软雅黑" w:hAnsi="微软雅黑" w:cs="微软雅黑"/>
          <w:color w:val="auto"/>
          <w:szCs w:val="21"/>
          <w:highlight w:val="none"/>
        </w:rPr>
      </w:pPr>
      <w:bookmarkStart w:id="11" w:name="_Toc28359004"/>
      <w:bookmarkStart w:id="12" w:name="_Toc28359081"/>
      <w:r>
        <w:rPr>
          <w:rFonts w:ascii="微软雅黑" w:hAnsi="微软雅黑" w:cs="微软雅黑"/>
          <w:color w:val="auto"/>
          <w:szCs w:val="21"/>
          <w:highlight w:val="none"/>
        </w:rPr>
        <w:t>2</w:t>
      </w:r>
      <w:r>
        <w:rPr>
          <w:rFonts w:hint="eastAsia" w:ascii="微软雅黑" w:hAnsi="微软雅黑" w:cs="微软雅黑"/>
          <w:color w:val="auto"/>
          <w:szCs w:val="21"/>
          <w:highlight w:val="none"/>
        </w:rPr>
        <w:t>.是否专门面向中小企业：否</w:t>
      </w:r>
    </w:p>
    <w:p w14:paraId="34507A57">
      <w:pPr>
        <w:spacing w:line="420" w:lineRule="exact"/>
        <w:ind w:firstLine="420" w:firstLineChars="200"/>
        <w:rPr>
          <w:rFonts w:hint="eastAsia"/>
          <w:color w:val="auto"/>
          <w:highlight w:val="none"/>
        </w:rPr>
      </w:pPr>
      <w:r>
        <w:rPr>
          <w:rFonts w:ascii="微软雅黑" w:hAnsi="微软雅黑" w:cs="微软雅黑"/>
          <w:color w:val="auto"/>
          <w:szCs w:val="21"/>
          <w:highlight w:val="none"/>
        </w:rPr>
        <w:t>3.</w:t>
      </w:r>
      <w:r>
        <w:rPr>
          <w:rFonts w:hint="eastAsia" w:ascii="微软雅黑" w:hAnsi="微软雅黑" w:cs="微软雅黑"/>
          <w:color w:val="auto"/>
          <w:szCs w:val="21"/>
          <w:highlight w:val="none"/>
        </w:rPr>
        <w:t>采购项目需要落实的政府采购政策：《政府采购促进中小企业发展管理办法》；《关于政府采购支持监狱企业发展有关问题的通知》；《关于促进残疾人就业政府采购政策的通知》；《关于调整优化节能产品、环境标志产品政府采购执行机制的通知》。</w:t>
      </w:r>
    </w:p>
    <w:p w14:paraId="3FB0168C">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4.本项目的特定资格要求：无。</w:t>
      </w:r>
    </w:p>
    <w:p w14:paraId="5A0C3045">
      <w:pPr>
        <w:spacing w:line="420" w:lineRule="exact"/>
        <w:ind w:firstLine="420" w:firstLineChars="200"/>
        <w:rPr>
          <w:rFonts w:hint="eastAsia" w:ascii="微软雅黑" w:hAnsi="微软雅黑" w:cs="微软雅黑"/>
          <w:color w:val="auto"/>
          <w:highlight w:val="none"/>
        </w:rPr>
      </w:pPr>
      <w:r>
        <w:rPr>
          <w:rFonts w:hint="eastAsia" w:ascii="微软雅黑" w:hAnsi="微软雅黑" w:cs="微软雅黑"/>
          <w:color w:val="auto"/>
          <w:szCs w:val="21"/>
          <w:highlight w:val="none"/>
        </w:rPr>
        <w:t>5.本项目不接受联合体投标</w:t>
      </w:r>
      <w:r>
        <w:rPr>
          <w:rFonts w:hint="eastAsia" w:ascii="微软雅黑" w:hAnsi="微软雅黑" w:cs="微软雅黑"/>
          <w:color w:val="auto"/>
          <w:szCs w:val="21"/>
          <w:highlight w:val="none"/>
          <w:lang w:val="zh-CN"/>
        </w:rPr>
        <w:t>。</w:t>
      </w:r>
    </w:p>
    <w:p w14:paraId="5B9E682E">
      <w:pPr>
        <w:spacing w:line="420" w:lineRule="exact"/>
        <w:ind w:firstLine="420" w:firstLineChars="200"/>
        <w:rPr>
          <w:rFonts w:hint="eastAsia" w:ascii="微软雅黑" w:hAnsi="微软雅黑" w:cs="微软雅黑"/>
          <w:b/>
          <w:bCs/>
          <w:color w:val="auto"/>
          <w:szCs w:val="21"/>
          <w:highlight w:val="none"/>
        </w:rPr>
      </w:pPr>
      <w:r>
        <w:rPr>
          <w:rFonts w:hint="eastAsia" w:ascii="微软雅黑" w:hAnsi="微软雅黑" w:cs="微软雅黑"/>
          <w:color w:val="auto"/>
          <w:szCs w:val="21"/>
          <w:highlight w:val="none"/>
        </w:rPr>
        <w:t>6.本项目接受进口产品投标，若投标人是进口设备代理商的，必须提供下列授权文件之一（原件或扫描/复印件）：① 该设备制造商出具的授权函；② 制造商的国内子公司或办事处出具的授权函；③ 制造商对授权的区域代理商出具的授权函及该区域代理商出具的授权函；④ 供应商取得的产品代理证书；（注：指产品而非构成产品的零件或部件，本文件所称进口产品是指通过中国海关报关验放进入中国境内且产自关境外的产品）。</w:t>
      </w:r>
    </w:p>
    <w:p w14:paraId="77F9D9D4">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7.拒绝下述供应商参加本次采购活动:</w:t>
      </w:r>
    </w:p>
    <w:p w14:paraId="32E87476">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7.1为采购项目提供整体设计、规范编制或者项目管理、监理、检测等服务的；</w:t>
      </w:r>
    </w:p>
    <w:p w14:paraId="3296D0F1">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7.2供应商单位负责人为同一人或者存在直接控股、管理关系的不同供应商，不得参加同一合同项下的采购活动；</w:t>
      </w:r>
    </w:p>
    <w:p w14:paraId="220B02ED">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7.3被“信用中国”网站(www.creditchina.gov.cn)或中国政府采购网(www.ccgp.gov.cn)）列入失信被执行人、重大税收违法案件当事人、政府采购严重违法失信行为记录名单的。</w:t>
      </w:r>
    </w:p>
    <w:p w14:paraId="2F278043">
      <w:pPr>
        <w:rPr>
          <w:rFonts w:hint="eastAsia" w:ascii="微软雅黑" w:hAnsi="微软雅黑" w:cs="微软雅黑"/>
          <w:b/>
          <w:bCs/>
          <w:color w:val="auto"/>
          <w:highlight w:val="none"/>
        </w:rPr>
      </w:pPr>
      <w:bookmarkStart w:id="13" w:name="_Toc35393623"/>
      <w:bookmarkStart w:id="14" w:name="_Toc35393792"/>
      <w:bookmarkStart w:id="15" w:name="_Toc15914"/>
      <w:r>
        <w:rPr>
          <w:rFonts w:hint="eastAsia" w:ascii="微软雅黑" w:hAnsi="微软雅黑" w:cs="微软雅黑"/>
          <w:b/>
          <w:bCs/>
          <w:color w:val="auto"/>
          <w:highlight w:val="none"/>
        </w:rPr>
        <w:t>三、获取采购文件</w:t>
      </w:r>
      <w:bookmarkEnd w:id="11"/>
      <w:bookmarkEnd w:id="12"/>
      <w:bookmarkEnd w:id="13"/>
      <w:bookmarkEnd w:id="14"/>
      <w:bookmarkEnd w:id="15"/>
    </w:p>
    <w:p w14:paraId="5CF4AD70">
      <w:pPr>
        <w:spacing w:line="420" w:lineRule="exact"/>
        <w:ind w:firstLine="540"/>
        <w:rPr>
          <w:rFonts w:hint="eastAsia" w:ascii="微软雅黑" w:hAnsi="微软雅黑" w:cs="微软雅黑"/>
          <w:color w:val="auto"/>
          <w:szCs w:val="21"/>
          <w:highlight w:val="none"/>
        </w:rPr>
      </w:pPr>
      <w:bookmarkStart w:id="16" w:name="_Toc35393624"/>
      <w:bookmarkStart w:id="17" w:name="_Toc28359082"/>
      <w:bookmarkStart w:id="18" w:name="_Toc28359005"/>
      <w:bookmarkStart w:id="19" w:name="_Toc35393793"/>
      <w:r>
        <w:rPr>
          <w:rFonts w:hint="eastAsia" w:ascii="微软雅黑" w:hAnsi="微软雅黑" w:cs="微软雅黑"/>
          <w:color w:val="auto"/>
          <w:szCs w:val="21"/>
          <w:highlight w:val="none"/>
        </w:rPr>
        <w:t>时间：</w:t>
      </w:r>
      <w:r>
        <w:rPr>
          <w:rFonts w:hint="eastAsia" w:ascii="微软雅黑" w:hAnsi="微软雅黑" w:cs="微软雅黑"/>
          <w:color w:val="auto"/>
          <w:szCs w:val="21"/>
          <w:highlight w:val="none"/>
          <w:u w:val="single"/>
        </w:rPr>
        <w:t xml:space="preserve"> 2026年</w:t>
      </w:r>
      <w:r>
        <w:rPr>
          <w:rFonts w:hint="eastAsia" w:ascii="微软雅黑" w:hAnsi="微软雅黑" w:cs="微软雅黑"/>
          <w:color w:val="auto"/>
          <w:szCs w:val="21"/>
          <w:highlight w:val="none"/>
          <w:u w:val="single"/>
          <w:lang w:val="en-US" w:eastAsia="zh-CN"/>
        </w:rPr>
        <w:t>4</w:t>
      </w:r>
      <w:r>
        <w:rPr>
          <w:rFonts w:hint="eastAsia" w:ascii="微软雅黑" w:hAnsi="微软雅黑" w:cs="微软雅黑"/>
          <w:color w:val="auto"/>
          <w:szCs w:val="21"/>
          <w:highlight w:val="none"/>
          <w:u w:val="single"/>
        </w:rPr>
        <w:t>月</w:t>
      </w:r>
      <w:r>
        <w:rPr>
          <w:rFonts w:hint="eastAsia" w:ascii="微软雅黑" w:hAnsi="微软雅黑" w:cs="微软雅黑"/>
          <w:color w:val="auto"/>
          <w:szCs w:val="21"/>
          <w:highlight w:val="none"/>
          <w:u w:val="single"/>
          <w:lang w:val="en-US" w:eastAsia="zh-CN"/>
        </w:rPr>
        <w:t>17</w:t>
      </w:r>
      <w:r>
        <w:rPr>
          <w:rFonts w:hint="eastAsia" w:ascii="微软雅黑" w:hAnsi="微软雅黑" w:cs="微软雅黑"/>
          <w:color w:val="auto"/>
          <w:szCs w:val="21"/>
          <w:highlight w:val="none"/>
          <w:u w:val="single"/>
        </w:rPr>
        <w:t>日</w:t>
      </w:r>
      <w:r>
        <w:rPr>
          <w:rFonts w:hint="eastAsia" w:ascii="微软雅黑" w:hAnsi="微软雅黑" w:cs="微软雅黑"/>
          <w:color w:val="auto"/>
          <w:szCs w:val="21"/>
          <w:highlight w:val="none"/>
        </w:rPr>
        <w:t>至</w:t>
      </w:r>
      <w:r>
        <w:rPr>
          <w:rFonts w:hint="eastAsia" w:ascii="微软雅黑" w:hAnsi="微软雅黑" w:cs="微软雅黑"/>
          <w:color w:val="auto"/>
          <w:szCs w:val="21"/>
          <w:highlight w:val="none"/>
          <w:u w:val="single"/>
        </w:rPr>
        <w:t xml:space="preserve"> 2026年</w:t>
      </w:r>
      <w:r>
        <w:rPr>
          <w:rFonts w:hint="eastAsia" w:ascii="微软雅黑" w:hAnsi="微软雅黑" w:cs="微软雅黑"/>
          <w:color w:val="auto"/>
          <w:szCs w:val="21"/>
          <w:highlight w:val="none"/>
          <w:u w:val="single"/>
          <w:lang w:val="en-US" w:eastAsia="zh-CN"/>
        </w:rPr>
        <w:t>4</w:t>
      </w:r>
      <w:r>
        <w:rPr>
          <w:rFonts w:hint="eastAsia" w:ascii="微软雅黑" w:hAnsi="微软雅黑" w:cs="微软雅黑"/>
          <w:color w:val="auto"/>
          <w:szCs w:val="21"/>
          <w:highlight w:val="none"/>
          <w:u w:val="single"/>
        </w:rPr>
        <w:t>月</w:t>
      </w:r>
      <w:r>
        <w:rPr>
          <w:rFonts w:hint="eastAsia" w:ascii="微软雅黑" w:hAnsi="微软雅黑" w:cs="微软雅黑"/>
          <w:color w:val="auto"/>
          <w:szCs w:val="21"/>
          <w:highlight w:val="none"/>
          <w:u w:val="single"/>
          <w:lang w:val="en-US" w:eastAsia="zh-CN"/>
        </w:rPr>
        <w:t>24</w:t>
      </w:r>
      <w:r>
        <w:rPr>
          <w:rFonts w:hint="eastAsia" w:ascii="微软雅黑" w:hAnsi="微软雅黑" w:cs="微软雅黑"/>
          <w:color w:val="auto"/>
          <w:szCs w:val="21"/>
          <w:highlight w:val="none"/>
          <w:u w:val="single"/>
        </w:rPr>
        <w:t>日</w:t>
      </w:r>
      <w:r>
        <w:rPr>
          <w:rFonts w:hint="eastAsia" w:ascii="微软雅黑" w:hAnsi="微软雅黑" w:cs="微软雅黑"/>
          <w:color w:val="auto"/>
          <w:szCs w:val="21"/>
          <w:highlight w:val="none"/>
        </w:rPr>
        <w:t>，每天上午</w:t>
      </w:r>
      <w:r>
        <w:rPr>
          <w:rFonts w:hint="eastAsia" w:ascii="微软雅黑" w:hAnsi="微软雅黑" w:cs="微软雅黑"/>
          <w:color w:val="auto"/>
          <w:szCs w:val="21"/>
          <w:highlight w:val="none"/>
          <w:u w:val="single"/>
        </w:rPr>
        <w:t>09:00</w:t>
      </w:r>
      <w:r>
        <w:rPr>
          <w:rFonts w:hint="eastAsia" w:ascii="微软雅黑" w:hAnsi="微软雅黑" w:cs="微软雅黑"/>
          <w:color w:val="auto"/>
          <w:szCs w:val="21"/>
          <w:highlight w:val="none"/>
        </w:rPr>
        <w:t>至</w:t>
      </w:r>
      <w:r>
        <w:rPr>
          <w:rFonts w:hint="eastAsia" w:ascii="微软雅黑" w:hAnsi="微软雅黑" w:cs="微软雅黑"/>
          <w:color w:val="auto"/>
          <w:szCs w:val="21"/>
          <w:highlight w:val="none"/>
          <w:u w:val="single"/>
        </w:rPr>
        <w:t>11:30</w:t>
      </w:r>
      <w:r>
        <w:rPr>
          <w:rFonts w:hint="eastAsia" w:ascii="微软雅黑" w:hAnsi="微软雅黑" w:cs="微软雅黑"/>
          <w:color w:val="auto"/>
          <w:szCs w:val="21"/>
          <w:highlight w:val="none"/>
        </w:rPr>
        <w:t>，下午</w:t>
      </w:r>
      <w:r>
        <w:rPr>
          <w:rFonts w:hint="eastAsia" w:ascii="微软雅黑" w:hAnsi="微软雅黑" w:cs="微软雅黑"/>
          <w:color w:val="auto"/>
          <w:szCs w:val="21"/>
          <w:highlight w:val="none"/>
          <w:u w:val="single"/>
        </w:rPr>
        <w:t>13:30</w:t>
      </w:r>
      <w:r>
        <w:rPr>
          <w:rFonts w:hint="eastAsia" w:ascii="微软雅黑" w:hAnsi="微软雅黑" w:cs="微软雅黑"/>
          <w:color w:val="auto"/>
          <w:szCs w:val="21"/>
          <w:highlight w:val="none"/>
        </w:rPr>
        <w:t>至</w:t>
      </w:r>
      <w:r>
        <w:rPr>
          <w:rFonts w:hint="eastAsia" w:ascii="微软雅黑" w:hAnsi="微软雅黑" w:cs="微软雅黑"/>
          <w:color w:val="auto"/>
          <w:szCs w:val="21"/>
          <w:highlight w:val="none"/>
          <w:u w:val="single"/>
        </w:rPr>
        <w:t>17:00</w:t>
      </w:r>
      <w:r>
        <w:rPr>
          <w:rFonts w:hint="eastAsia" w:ascii="微软雅黑" w:hAnsi="微软雅黑" w:cs="微软雅黑"/>
          <w:color w:val="auto"/>
          <w:szCs w:val="21"/>
          <w:highlight w:val="none"/>
        </w:rPr>
        <w:t>（北京时间，法定节假日除外）</w:t>
      </w:r>
    </w:p>
    <w:p w14:paraId="555E6B14">
      <w:pPr>
        <w:spacing w:line="420" w:lineRule="exact"/>
        <w:ind w:firstLine="54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地点：南京市建邺区嘉陵江东街8号综合体B3栋一单元16层。</w:t>
      </w:r>
    </w:p>
    <w:p w14:paraId="134B5442">
      <w:pPr>
        <w:spacing w:line="420" w:lineRule="exact"/>
        <w:ind w:firstLine="54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方式：本项目接受现场或邮箱获取采购文件，供应商如确定参加投标，须购买采购文件，否则投标无效。</w:t>
      </w:r>
    </w:p>
    <w:p w14:paraId="66513F77">
      <w:pPr>
        <w:spacing w:line="420" w:lineRule="exact"/>
        <w:ind w:firstLine="54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采购文件售价：人民币500元（采购文件售后一概不退）</w:t>
      </w:r>
    </w:p>
    <w:p w14:paraId="55100E50">
      <w:pPr>
        <w:spacing w:line="420" w:lineRule="exact"/>
        <w:ind w:firstLine="54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获取采购文件须提供的资料：加盖公章的授权委托书原件或扫描件、加盖公章的被委托人身份证复印件或扫描件，及汇款凭据的截图（邮件获取付款码，备注27B1+公司名称）。</w:t>
      </w:r>
    </w:p>
    <w:p w14:paraId="359D01C1">
      <w:pPr>
        <w:spacing w:line="420" w:lineRule="exact"/>
        <w:ind w:firstLine="54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获取采购文件电话：025-83609953</w:t>
      </w:r>
      <w:r>
        <w:rPr>
          <w:rFonts w:hint="eastAsia" w:ascii="微软雅黑" w:hAnsi="微软雅黑" w:cs="微软雅黑"/>
          <w:b/>
          <w:bCs/>
          <w:color w:val="auto"/>
          <w:szCs w:val="21"/>
          <w:highlight w:val="none"/>
        </w:rPr>
        <w:t xml:space="preserve">    </w:t>
      </w:r>
      <w:r>
        <w:rPr>
          <w:rFonts w:hint="eastAsia" w:ascii="微软雅黑" w:hAnsi="微软雅黑" w:cs="微软雅黑"/>
          <w:color w:val="auto"/>
          <w:szCs w:val="21"/>
          <w:highlight w:val="none"/>
        </w:rPr>
        <w:t xml:space="preserve">邮箱：jshc3333@163.com </w:t>
      </w:r>
      <w:bookmarkStart w:id="20" w:name="_Toc1219"/>
    </w:p>
    <w:p w14:paraId="39347B90">
      <w:pPr>
        <w:rPr>
          <w:rFonts w:hint="eastAsia" w:ascii="微软雅黑" w:hAnsi="微软雅黑" w:cs="微软雅黑"/>
          <w:b/>
          <w:bCs/>
          <w:color w:val="auto"/>
          <w:highlight w:val="none"/>
        </w:rPr>
      </w:pPr>
      <w:r>
        <w:rPr>
          <w:rFonts w:hint="eastAsia" w:ascii="微软雅黑" w:hAnsi="微软雅黑" w:cs="微软雅黑"/>
          <w:b/>
          <w:bCs/>
          <w:color w:val="auto"/>
          <w:highlight w:val="none"/>
        </w:rPr>
        <w:t>四、</w:t>
      </w:r>
      <w:bookmarkEnd w:id="16"/>
      <w:bookmarkEnd w:id="17"/>
      <w:bookmarkEnd w:id="18"/>
      <w:bookmarkEnd w:id="19"/>
      <w:bookmarkEnd w:id="20"/>
      <w:r>
        <w:rPr>
          <w:rFonts w:hint="eastAsia" w:ascii="微软雅黑" w:hAnsi="微软雅黑" w:cs="微软雅黑"/>
          <w:b/>
          <w:bCs/>
          <w:color w:val="auto"/>
          <w:highlight w:val="none"/>
        </w:rPr>
        <w:t>提交投标文件截止时间、开标时间和地点</w:t>
      </w:r>
    </w:p>
    <w:p w14:paraId="331E5D49">
      <w:pPr>
        <w:spacing w:line="420" w:lineRule="exact"/>
        <w:ind w:firstLine="420" w:firstLineChars="2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截止时间：</w:t>
      </w:r>
      <w:r>
        <w:rPr>
          <w:rFonts w:hint="eastAsia" w:ascii="微软雅黑" w:hAnsi="微软雅黑" w:cs="微软雅黑"/>
          <w:color w:val="auto"/>
          <w:szCs w:val="21"/>
          <w:highlight w:val="none"/>
        </w:rPr>
        <w:t>2026</w:t>
      </w:r>
      <w:r>
        <w:rPr>
          <w:rFonts w:hint="eastAsia" w:ascii="微软雅黑" w:hAnsi="微软雅黑" w:cs="微软雅黑"/>
          <w:bCs/>
          <w:color w:val="auto"/>
          <w:szCs w:val="21"/>
          <w:highlight w:val="none"/>
        </w:rPr>
        <w:t>年</w:t>
      </w:r>
      <w:r>
        <w:rPr>
          <w:rFonts w:hint="eastAsia" w:ascii="微软雅黑" w:hAnsi="微软雅黑" w:cs="微软雅黑"/>
          <w:bCs/>
          <w:color w:val="auto"/>
          <w:szCs w:val="21"/>
          <w:highlight w:val="none"/>
          <w:lang w:val="en-US" w:eastAsia="zh-CN"/>
        </w:rPr>
        <w:t>5</w:t>
      </w:r>
      <w:r>
        <w:rPr>
          <w:rFonts w:hint="eastAsia" w:ascii="微软雅黑" w:hAnsi="微软雅黑" w:cs="微软雅黑"/>
          <w:bCs/>
          <w:color w:val="auto"/>
          <w:szCs w:val="21"/>
          <w:highlight w:val="none"/>
        </w:rPr>
        <w:t>月</w:t>
      </w:r>
      <w:r>
        <w:rPr>
          <w:rFonts w:hint="eastAsia" w:ascii="微软雅黑" w:hAnsi="微软雅黑" w:cs="微软雅黑"/>
          <w:bCs/>
          <w:color w:val="auto"/>
          <w:szCs w:val="21"/>
          <w:highlight w:val="none"/>
          <w:lang w:val="en-US" w:eastAsia="zh-CN"/>
        </w:rPr>
        <w:t>8</w:t>
      </w:r>
      <w:r>
        <w:rPr>
          <w:rFonts w:hint="eastAsia" w:ascii="微软雅黑" w:hAnsi="微软雅黑" w:cs="微软雅黑"/>
          <w:bCs/>
          <w:color w:val="auto"/>
          <w:szCs w:val="21"/>
          <w:highlight w:val="none"/>
        </w:rPr>
        <w:t>日14点30分（北京时间）</w:t>
      </w:r>
    </w:p>
    <w:p w14:paraId="7AF943A9">
      <w:pPr>
        <w:spacing w:line="420" w:lineRule="exact"/>
        <w:ind w:firstLine="420" w:firstLineChars="2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开标时间：</w:t>
      </w:r>
      <w:r>
        <w:rPr>
          <w:rFonts w:hint="eastAsia" w:ascii="微软雅黑" w:hAnsi="微软雅黑" w:cs="微软雅黑"/>
          <w:color w:val="auto"/>
          <w:szCs w:val="21"/>
          <w:highlight w:val="none"/>
        </w:rPr>
        <w:t>2026</w:t>
      </w:r>
      <w:r>
        <w:rPr>
          <w:rFonts w:hint="eastAsia" w:ascii="微软雅黑" w:hAnsi="微软雅黑" w:cs="微软雅黑"/>
          <w:bCs/>
          <w:color w:val="auto"/>
          <w:szCs w:val="21"/>
          <w:highlight w:val="none"/>
        </w:rPr>
        <w:t>年</w:t>
      </w:r>
      <w:r>
        <w:rPr>
          <w:rFonts w:hint="eastAsia" w:ascii="微软雅黑" w:hAnsi="微软雅黑" w:cs="微软雅黑"/>
          <w:bCs/>
          <w:color w:val="auto"/>
          <w:szCs w:val="21"/>
          <w:highlight w:val="none"/>
          <w:lang w:val="en-US" w:eastAsia="zh-CN"/>
        </w:rPr>
        <w:t>5</w:t>
      </w:r>
      <w:r>
        <w:rPr>
          <w:rFonts w:hint="eastAsia" w:ascii="微软雅黑" w:hAnsi="微软雅黑" w:cs="微软雅黑"/>
          <w:bCs/>
          <w:color w:val="auto"/>
          <w:szCs w:val="21"/>
          <w:highlight w:val="none"/>
        </w:rPr>
        <w:t>月</w:t>
      </w:r>
      <w:r>
        <w:rPr>
          <w:rFonts w:hint="eastAsia" w:ascii="微软雅黑" w:hAnsi="微软雅黑" w:cs="微软雅黑"/>
          <w:bCs/>
          <w:color w:val="auto"/>
          <w:szCs w:val="21"/>
          <w:highlight w:val="none"/>
          <w:lang w:val="en-US" w:eastAsia="zh-CN"/>
        </w:rPr>
        <w:t>8</w:t>
      </w:r>
      <w:r>
        <w:rPr>
          <w:rFonts w:hint="eastAsia" w:ascii="微软雅黑" w:hAnsi="微软雅黑" w:cs="微软雅黑"/>
          <w:bCs/>
          <w:color w:val="auto"/>
          <w:szCs w:val="21"/>
          <w:highlight w:val="none"/>
        </w:rPr>
        <w:t>日14点30分后（北京时间）</w:t>
      </w:r>
    </w:p>
    <w:p w14:paraId="4ADDB3E7">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地点：南京市建邺区嘉陵江东街8号综合体B3栋一单元16层开标大厅</w:t>
      </w:r>
    </w:p>
    <w:p w14:paraId="238EB49E">
      <w:pPr>
        <w:rPr>
          <w:rFonts w:hint="eastAsia" w:ascii="微软雅黑" w:hAnsi="微软雅黑" w:cs="微软雅黑"/>
          <w:b/>
          <w:bCs/>
          <w:color w:val="auto"/>
          <w:highlight w:val="none"/>
        </w:rPr>
      </w:pPr>
      <w:bookmarkStart w:id="21" w:name="_Toc35393625"/>
      <w:bookmarkStart w:id="22" w:name="_Toc35393794"/>
      <w:bookmarkStart w:id="23" w:name="_Toc28359084"/>
      <w:bookmarkStart w:id="24" w:name="_Toc28359007"/>
      <w:bookmarkStart w:id="25" w:name="_Toc31210"/>
      <w:r>
        <w:rPr>
          <w:rFonts w:hint="eastAsia" w:ascii="微软雅黑" w:hAnsi="微软雅黑" w:cs="微软雅黑"/>
          <w:b/>
          <w:bCs/>
          <w:color w:val="auto"/>
          <w:highlight w:val="none"/>
        </w:rPr>
        <w:t>五、公告期限</w:t>
      </w:r>
      <w:bookmarkEnd w:id="21"/>
      <w:bookmarkEnd w:id="22"/>
      <w:bookmarkEnd w:id="23"/>
      <w:bookmarkEnd w:id="24"/>
      <w:bookmarkEnd w:id="25"/>
    </w:p>
    <w:p w14:paraId="13484253">
      <w:pPr>
        <w:spacing w:line="420" w:lineRule="exact"/>
        <w:ind w:firstLine="420" w:firstLineChars="200"/>
        <w:rPr>
          <w:rFonts w:hint="eastAsia" w:ascii="微软雅黑" w:hAnsi="微软雅黑" w:cs="微软雅黑"/>
          <w:color w:val="auto"/>
          <w:highlight w:val="none"/>
        </w:rPr>
      </w:pPr>
      <w:r>
        <w:rPr>
          <w:rFonts w:hint="eastAsia" w:ascii="微软雅黑" w:hAnsi="微软雅黑" w:cs="微软雅黑"/>
          <w:color w:val="auto"/>
          <w:kern w:val="0"/>
          <w:szCs w:val="21"/>
          <w:highlight w:val="none"/>
        </w:rPr>
        <w:t>自本公告发布之日起5个工作日。</w:t>
      </w:r>
    </w:p>
    <w:p w14:paraId="03D01048">
      <w:pPr>
        <w:rPr>
          <w:rFonts w:hint="eastAsia" w:ascii="微软雅黑" w:hAnsi="微软雅黑" w:cs="微软雅黑"/>
          <w:b/>
          <w:bCs/>
          <w:color w:val="auto"/>
          <w:highlight w:val="none"/>
        </w:rPr>
      </w:pPr>
      <w:bookmarkStart w:id="26" w:name="_Toc35393626"/>
      <w:bookmarkStart w:id="27" w:name="_Toc19985"/>
      <w:bookmarkStart w:id="28" w:name="_Toc35393795"/>
      <w:r>
        <w:rPr>
          <w:rFonts w:hint="eastAsia" w:ascii="微软雅黑" w:hAnsi="微软雅黑" w:cs="微软雅黑"/>
          <w:b/>
          <w:bCs/>
          <w:color w:val="auto"/>
          <w:highlight w:val="none"/>
        </w:rPr>
        <w:t>六、其他补充事宜</w:t>
      </w:r>
      <w:bookmarkEnd w:id="26"/>
      <w:bookmarkEnd w:id="27"/>
      <w:bookmarkEnd w:id="28"/>
    </w:p>
    <w:p w14:paraId="33DF495A">
      <w:pPr>
        <w:spacing w:line="420" w:lineRule="exact"/>
        <w:ind w:firstLine="540"/>
        <w:rPr>
          <w:rFonts w:hint="eastAsia" w:ascii="微软雅黑" w:hAnsi="微软雅黑" w:cs="微软雅黑"/>
          <w:color w:val="auto"/>
          <w:szCs w:val="21"/>
          <w:highlight w:val="none"/>
        </w:rPr>
      </w:pPr>
      <w:bookmarkStart w:id="29" w:name="_Toc35393796"/>
      <w:bookmarkStart w:id="30" w:name="_Toc28359085"/>
      <w:bookmarkStart w:id="31" w:name="_Toc35393627"/>
      <w:bookmarkStart w:id="32" w:name="_Toc19317"/>
      <w:bookmarkStart w:id="33" w:name="_Toc28359008"/>
      <w:r>
        <w:rPr>
          <w:rFonts w:hint="eastAsia" w:ascii="微软雅黑" w:hAnsi="微软雅黑" w:cs="微软雅黑"/>
          <w:color w:val="auto"/>
          <w:szCs w:val="21"/>
          <w:highlight w:val="none"/>
        </w:rPr>
        <w:t xml:space="preserve">1.评标方法和标准：采用综合评分法。     </w:t>
      </w:r>
    </w:p>
    <w:p w14:paraId="2FA88DC3">
      <w:pPr>
        <w:spacing w:line="420" w:lineRule="exact"/>
        <w:ind w:firstLine="54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2.本采购公告在南京医科大学官网（www.njmu.edu.cn）发布。</w:t>
      </w:r>
    </w:p>
    <w:p w14:paraId="411914AA">
      <w:pPr>
        <w:rPr>
          <w:rFonts w:hint="eastAsia" w:ascii="微软雅黑" w:hAnsi="微软雅黑" w:cs="微软雅黑"/>
          <w:b/>
          <w:bCs/>
          <w:color w:val="auto"/>
          <w:highlight w:val="none"/>
        </w:rPr>
      </w:pPr>
      <w:r>
        <w:rPr>
          <w:rFonts w:hint="eastAsia" w:ascii="微软雅黑" w:hAnsi="微软雅黑" w:cs="微软雅黑"/>
          <w:b/>
          <w:bCs/>
          <w:color w:val="auto"/>
          <w:highlight w:val="none"/>
        </w:rPr>
        <w:t>七、对本次招标提出询问，请按以下方式联系。</w:t>
      </w:r>
      <w:bookmarkEnd w:id="29"/>
      <w:bookmarkEnd w:id="30"/>
      <w:bookmarkEnd w:id="31"/>
      <w:bookmarkEnd w:id="32"/>
      <w:bookmarkEnd w:id="33"/>
    </w:p>
    <w:p w14:paraId="0D916E76">
      <w:pPr>
        <w:spacing w:line="420" w:lineRule="exact"/>
        <w:ind w:firstLine="420" w:firstLineChars="200"/>
        <w:rPr>
          <w:rFonts w:hint="eastAsia" w:ascii="微软雅黑" w:hAnsi="微软雅黑" w:cs="微软雅黑"/>
          <w:bCs/>
          <w:color w:val="auto"/>
          <w:szCs w:val="21"/>
          <w:highlight w:val="none"/>
        </w:rPr>
      </w:pPr>
      <w:bookmarkStart w:id="34" w:name="_Toc28359019"/>
      <w:bookmarkStart w:id="35" w:name="_Toc28359096"/>
      <w:bookmarkStart w:id="36" w:name="_Toc35393806"/>
      <w:bookmarkStart w:id="37" w:name="_Toc35393637"/>
      <w:r>
        <w:rPr>
          <w:rFonts w:hint="eastAsia" w:ascii="微软雅黑" w:hAnsi="微软雅黑" w:cs="微软雅黑"/>
          <w:bCs/>
          <w:color w:val="auto"/>
          <w:szCs w:val="21"/>
          <w:highlight w:val="none"/>
        </w:rPr>
        <w:t>1.采购人信息</w:t>
      </w:r>
      <w:bookmarkEnd w:id="34"/>
      <w:bookmarkEnd w:id="35"/>
      <w:bookmarkEnd w:id="36"/>
      <w:bookmarkEnd w:id="37"/>
    </w:p>
    <w:p w14:paraId="5C2E2EDA">
      <w:pPr>
        <w:spacing w:line="420" w:lineRule="exact"/>
        <w:ind w:firstLine="630" w:firstLineChars="300"/>
        <w:jc w:val="left"/>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名    称：</w:t>
      </w:r>
      <w:r>
        <w:rPr>
          <w:rFonts w:hint="eastAsia" w:ascii="微软雅黑" w:hAnsi="微软雅黑" w:cs="微软雅黑"/>
          <w:color w:val="auto"/>
          <w:szCs w:val="21"/>
          <w:highlight w:val="none"/>
        </w:rPr>
        <w:t>南京医科大学</w:t>
      </w:r>
    </w:p>
    <w:p w14:paraId="1F7A079D">
      <w:pPr>
        <w:spacing w:line="420" w:lineRule="exact"/>
        <w:ind w:firstLine="630" w:firstLineChars="300"/>
        <w:jc w:val="left"/>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地    址：</w:t>
      </w:r>
      <w:r>
        <w:rPr>
          <w:rFonts w:hint="eastAsia" w:ascii="微软雅黑" w:hAnsi="微软雅黑" w:cs="微软雅黑"/>
          <w:color w:val="auto"/>
          <w:szCs w:val="21"/>
          <w:highlight w:val="none"/>
        </w:rPr>
        <w:t>南京市江宁区龙眠大道101号</w:t>
      </w:r>
    </w:p>
    <w:p w14:paraId="428EB480">
      <w:pPr>
        <w:spacing w:line="420" w:lineRule="exact"/>
        <w:ind w:firstLine="630" w:firstLineChars="300"/>
        <w:jc w:val="left"/>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联系方式：王</w:t>
      </w:r>
      <w:r>
        <w:rPr>
          <w:rFonts w:hint="eastAsia" w:ascii="微软雅黑" w:hAnsi="微软雅黑" w:cs="微软雅黑"/>
          <w:color w:val="auto"/>
          <w:szCs w:val="21"/>
          <w:highlight w:val="none"/>
        </w:rPr>
        <w:t>老师025-</w:t>
      </w:r>
      <w:r>
        <w:rPr>
          <w:rFonts w:ascii="微软雅黑" w:hAnsi="微软雅黑" w:cs="微软雅黑"/>
          <w:color w:val="auto"/>
          <w:szCs w:val="21"/>
          <w:highlight w:val="none"/>
        </w:rPr>
        <w:t>86868572</w:t>
      </w:r>
    </w:p>
    <w:p w14:paraId="46F20F13">
      <w:pPr>
        <w:spacing w:line="420" w:lineRule="exact"/>
        <w:ind w:firstLine="420" w:firstLineChars="200"/>
        <w:rPr>
          <w:rFonts w:hint="eastAsia" w:ascii="微软雅黑" w:hAnsi="微软雅黑" w:cs="微软雅黑"/>
          <w:bCs/>
          <w:color w:val="auto"/>
          <w:szCs w:val="21"/>
          <w:highlight w:val="none"/>
        </w:rPr>
      </w:pPr>
      <w:bookmarkStart w:id="38" w:name="_Toc28359020"/>
      <w:bookmarkStart w:id="39" w:name="_Toc35393638"/>
      <w:bookmarkStart w:id="40" w:name="_Toc28359097"/>
      <w:bookmarkStart w:id="41" w:name="_Toc35393807"/>
      <w:r>
        <w:rPr>
          <w:rFonts w:hint="eastAsia" w:ascii="微软雅黑" w:hAnsi="微软雅黑" w:cs="微软雅黑"/>
          <w:bCs/>
          <w:color w:val="auto"/>
          <w:szCs w:val="21"/>
          <w:highlight w:val="none"/>
        </w:rPr>
        <w:t>2.采购代理机构信息</w:t>
      </w:r>
      <w:bookmarkEnd w:id="38"/>
      <w:bookmarkEnd w:id="39"/>
      <w:bookmarkEnd w:id="40"/>
      <w:bookmarkEnd w:id="41"/>
    </w:p>
    <w:p w14:paraId="4EFDCBF0">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名    称：江苏省华采招标有限公司</w:t>
      </w:r>
    </w:p>
    <w:p w14:paraId="5DB4D2CB">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地　　址：南京市建邺区嘉陵江东街8号综合体B3栋</w:t>
      </w:r>
      <w:r>
        <w:rPr>
          <w:rFonts w:hint="eastAsia" w:ascii="微软雅黑" w:hAnsi="微软雅黑" w:cs="微软雅黑"/>
          <w:color w:val="auto"/>
          <w:sz w:val="22"/>
          <w:highlight w:val="none"/>
        </w:rPr>
        <w:t>一单元</w:t>
      </w:r>
      <w:r>
        <w:rPr>
          <w:rFonts w:hint="eastAsia" w:ascii="微软雅黑" w:hAnsi="微软雅黑" w:cs="微软雅黑"/>
          <w:bCs/>
          <w:color w:val="auto"/>
          <w:szCs w:val="21"/>
          <w:highlight w:val="none"/>
        </w:rPr>
        <w:t>16层　　　　　　　　　　　</w:t>
      </w:r>
    </w:p>
    <w:p w14:paraId="16DEB9A1">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联系方式：025-83603368</w:t>
      </w:r>
    </w:p>
    <w:p w14:paraId="626356DE">
      <w:pPr>
        <w:spacing w:line="420" w:lineRule="exact"/>
        <w:ind w:firstLine="420" w:firstLineChars="200"/>
        <w:rPr>
          <w:rFonts w:hint="eastAsia" w:ascii="微软雅黑" w:hAnsi="微软雅黑" w:cs="微软雅黑"/>
          <w:bCs/>
          <w:color w:val="auto"/>
          <w:szCs w:val="21"/>
          <w:highlight w:val="none"/>
        </w:rPr>
      </w:pPr>
      <w:bookmarkStart w:id="42" w:name="_Toc35393808"/>
      <w:bookmarkStart w:id="43" w:name="_Toc35393639"/>
      <w:bookmarkStart w:id="44" w:name="_Toc28359021"/>
      <w:bookmarkStart w:id="45" w:name="_Toc28359098"/>
      <w:r>
        <w:rPr>
          <w:rFonts w:hint="eastAsia" w:ascii="微软雅黑" w:hAnsi="微软雅黑" w:cs="微软雅黑"/>
          <w:bCs/>
          <w:color w:val="auto"/>
          <w:szCs w:val="21"/>
          <w:highlight w:val="none"/>
        </w:rPr>
        <w:t>3.项目联系方式</w:t>
      </w:r>
      <w:bookmarkEnd w:id="42"/>
      <w:bookmarkEnd w:id="43"/>
      <w:bookmarkEnd w:id="44"/>
      <w:bookmarkEnd w:id="45"/>
    </w:p>
    <w:p w14:paraId="462A25A1">
      <w:pPr>
        <w:pStyle w:val="2"/>
        <w:spacing w:line="420" w:lineRule="exact"/>
        <w:ind w:firstLine="630" w:firstLineChars="3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Cs/>
          <w:color w:val="auto"/>
          <w:sz w:val="21"/>
          <w:szCs w:val="21"/>
          <w:highlight w:val="none"/>
        </w:rPr>
        <w:t>项目联系人：</w:t>
      </w:r>
      <w:r>
        <w:rPr>
          <w:rFonts w:hint="eastAsia" w:ascii="微软雅黑" w:hAnsi="微软雅黑" w:eastAsia="微软雅黑" w:cs="微软雅黑"/>
          <w:color w:val="auto"/>
          <w:sz w:val="21"/>
          <w:szCs w:val="21"/>
          <w:highlight w:val="none"/>
        </w:rPr>
        <w:t>刘洁</w:t>
      </w:r>
    </w:p>
    <w:p w14:paraId="08F3229B">
      <w:pPr>
        <w:spacing w:line="420" w:lineRule="exact"/>
        <w:ind w:firstLine="630" w:firstLineChars="300"/>
        <w:rPr>
          <w:rFonts w:hint="eastAsia" w:ascii="微软雅黑" w:hAnsi="微软雅黑" w:cs="微软雅黑"/>
          <w:color w:val="auto"/>
          <w:highlight w:val="none"/>
        </w:rPr>
        <w:sectPr>
          <w:headerReference r:id="rId3" w:type="default"/>
          <w:footerReference r:id="rId4" w:type="default"/>
          <w:pgSz w:w="11906" w:h="16838"/>
          <w:pgMar w:top="1440" w:right="1800" w:bottom="1440" w:left="1800" w:header="851" w:footer="992" w:gutter="0"/>
          <w:pgNumType w:start="2"/>
          <w:cols w:space="720" w:num="1"/>
          <w:docGrid w:type="lines" w:linePitch="312" w:charSpace="0"/>
        </w:sectPr>
      </w:pPr>
      <w:r>
        <w:rPr>
          <w:rFonts w:hint="eastAsia" w:ascii="微软雅黑" w:hAnsi="微软雅黑" w:cs="微软雅黑"/>
          <w:color w:val="auto"/>
          <w:szCs w:val="21"/>
          <w:highlight w:val="none"/>
        </w:rPr>
        <w:t>电　　 话：025-83603368</w:t>
      </w:r>
    </w:p>
    <w:p w14:paraId="41F6C97D">
      <w:bookmarkStart w:id="46" w:name="_GoBack"/>
      <w:bookmarkEnd w:id="4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宋体_GB2312">
    <w:altName w:val="宋体"/>
    <w:panose1 w:val="00000000000000000000"/>
    <w:charset w:val="7A"/>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BF5E4">
    <w:pPr>
      <w:pStyle w:val="3"/>
      <w:jc w:val="center"/>
      <w:rPr>
        <w:rFonts w:ascii="宋体_GB2312" w:eastAsia="宋体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3DA6C5">
                          <w:pPr>
                            <w:pStyle w:val="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F3DA6C5">
                    <w:pPr>
                      <w:pStyle w:val="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F339C">
    <w:pPr>
      <w:widowControl/>
      <w:jc w:val="left"/>
      <w:rPr>
        <w:rFonts w:hint="eastAsia" w:ascii="微软雅黑" w:hAnsi="微软雅黑" w:cs="微软雅黑"/>
        <w:sz w:val="22"/>
        <w:szCs w:val="24"/>
        <w:u w:val="single"/>
      </w:rPr>
    </w:pPr>
    <w:r>
      <w:rPr>
        <w:rFonts w:hint="eastAsia" w:eastAsia="宋体"/>
      </w:rPr>
      <w:drawing>
        <wp:anchor distT="0" distB="0" distL="114300" distR="114300" simplePos="0" relativeHeight="251659264" behindDoc="1" locked="0" layoutInCell="1" allowOverlap="1">
          <wp:simplePos x="0" y="0"/>
          <wp:positionH relativeFrom="column">
            <wp:posOffset>-38100</wp:posOffset>
          </wp:positionH>
          <wp:positionV relativeFrom="paragraph">
            <wp:posOffset>66675</wp:posOffset>
          </wp:positionV>
          <wp:extent cx="815340" cy="227330"/>
          <wp:effectExtent l="0" t="0" r="3810" b="1270"/>
          <wp:wrapNone/>
          <wp:docPr id="2"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
                  <pic:cNvPicPr>
                    <a:picLocks noChangeAspect="1"/>
                  </pic:cNvPicPr>
                </pic:nvPicPr>
                <pic:blipFill>
                  <a:blip r:embed="rId1"/>
                  <a:stretch>
                    <a:fillRect/>
                  </a:stretch>
                </pic:blipFill>
                <pic:spPr>
                  <a:xfrm>
                    <a:off x="0" y="0"/>
                    <a:ext cx="815340" cy="227330"/>
                  </a:xfrm>
                  <a:prstGeom prst="rect">
                    <a:avLst/>
                  </a:prstGeom>
                  <a:noFill/>
                  <a:ln>
                    <a:noFill/>
                  </a:ln>
                </pic:spPr>
              </pic:pic>
            </a:graphicData>
          </a:graphic>
        </wp:anchor>
      </w:drawing>
    </w:r>
    <w:r>
      <w:rPr>
        <w:rFonts w:ascii="微软雅黑" w:hAnsi="微软雅黑" w:cs="微软雅黑"/>
      </w:rPr>
      <w:t xml:space="preserve">            </w:t>
    </w:r>
    <w:r>
      <w:rPr>
        <w:rFonts w:ascii="微软雅黑" w:hAnsi="微软雅黑" w:cs="微软雅黑"/>
        <w:u w:val="single"/>
      </w:rPr>
      <w:t xml:space="preserve">                                               </w:t>
    </w:r>
    <w:r>
      <w:rPr>
        <w:rFonts w:hint="eastAsia" w:ascii="微软雅黑" w:hAnsi="微软雅黑" w:cs="微软雅黑"/>
        <w:u w:val="single"/>
      </w:rPr>
      <w:t xml:space="preserve"> </w:t>
    </w:r>
    <w:r>
      <w:rPr>
        <w:rFonts w:hint="eastAsia" w:ascii="微软雅黑" w:hAnsi="微软雅黑" w:cs="微软雅黑"/>
        <w:color w:val="000000"/>
        <w:sz w:val="20"/>
        <w:szCs w:val="20"/>
        <w:u w:val="single"/>
      </w:rPr>
      <w:t>JSHC-2026010027B1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F6660"/>
    <w:rsid w:val="056F6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微软雅黑"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kern w:val="0"/>
      <w:sz w:val="28"/>
      <w:szCs w:val="28"/>
    </w:rPr>
  </w:style>
  <w:style w:type="paragraph" w:styleId="3">
    <w:name w:val="footer"/>
    <w:basedOn w:val="1"/>
    <w:unhideWhenUsed/>
    <w:uiPriority w:val="99"/>
    <w:pPr>
      <w:tabs>
        <w:tab w:val="center" w:pos="4153"/>
        <w:tab w:val="right" w:pos="8306"/>
      </w:tabs>
      <w:autoSpaceDE w:val="0"/>
      <w:autoSpaceDN w:val="0"/>
      <w:adjustRightInd w:val="0"/>
      <w:snapToGrid w:val="0"/>
      <w:jc w:val="left"/>
    </w:pPr>
    <w:rPr>
      <w:rFonts w:ascii="宋体" w:hAnsi="Times New Roman" w:eastAsia="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2026-04-17T00:57:00Z</dcterms:created>
  <dc:creator>Pluto</dc:creator>
  <cp:lastModifiedBy>Pluto</cp:lastModifiedBy>
  <dcterms:modified xsi:type="dcterms:W3CDTF">2026-04-17T00:58:32Z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F5579A61A25E44598DC90DDC3EB9B702_11</vt:lpwstr>
  </property>
  <property fmtid="{D5CDD505-2E9C-101B-9397-08002B2CF9AE}" pid="4" name="KSOTemplateDocerSaveRecord">
    <vt:lpwstr>eyJoZGlkIjoiNjBjNzM2Y2IwYzZjZDMxMjNjZTdmNmExMjEyNmY2ZTciLCJ1c2VySWQiOiI4MDY3NjM5NDQifQ==</vt:lpwstr>
  </property>
</Properties>
</file>