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4A037">
      <w:pPr>
        <w:widowControl w:val="0"/>
        <w:adjustRightInd/>
        <w:snapToGrid/>
        <w:spacing w:after="160" w:line="278" w:lineRule="auto"/>
        <w:jc w:val="center"/>
        <w:rPr>
          <w:rFonts w:hint="eastAsia" w:ascii="宋体" w:hAnsi="宋体" w:eastAsia="宋体" w:cs="宋体"/>
          <w:b/>
          <w:bCs/>
          <w:kern w:val="0"/>
          <w:sz w:val="44"/>
          <w:szCs w:val="44"/>
          <w:lang w:eastAsia="zh-CN"/>
          <w14:ligatures w14:val="standardContextual"/>
        </w:rPr>
      </w:pPr>
      <w:bookmarkStart w:id="0" w:name="_Toc8955"/>
      <w:r>
        <w:rPr>
          <w:rFonts w:hint="eastAsia" w:ascii="宋体" w:hAnsi="宋体" w:eastAsia="宋体" w:cs="宋体"/>
          <w:b/>
          <w:bCs/>
          <w:kern w:val="0"/>
          <w:sz w:val="44"/>
          <w:szCs w:val="44"/>
          <w:lang w:eastAsia="zh-CN"/>
          <w14:ligatures w14:val="standardContextual"/>
        </w:rPr>
        <w:t>南京医科大学3D解剖模型采购招标公告</w:t>
      </w:r>
      <w:bookmarkEnd w:id="0"/>
    </w:p>
    <w:p w14:paraId="07C9AFAC">
      <w:pPr>
        <w:spacing w:before="120" w:beforeLines="50" w:after="120" w:afterLines="50"/>
        <w:ind w:firstLine="480" w:firstLineChars="200"/>
        <w:rPr>
          <w:rFonts w:hint="eastAsia" w:ascii="宋体" w:hAnsi="宋体" w:cs="宋体"/>
          <w:color w:val="auto"/>
          <w:sz w:val="24"/>
          <w:szCs w:val="24"/>
          <w:highlight w:val="none"/>
        </w:rPr>
      </w:pPr>
      <w:bookmarkStart w:id="1" w:name="OLE_LINK2"/>
      <w:bookmarkStart w:id="2" w:name="_Toc479757207"/>
      <w:bookmarkStart w:id="3" w:name="_Toc16938558"/>
      <w:bookmarkStart w:id="4" w:name="_Toc444669970"/>
      <w:bookmarkStart w:id="5" w:name="_Toc120614221"/>
      <w:bookmarkStart w:id="6" w:name="_Toc20823314"/>
      <w:bookmarkStart w:id="7" w:name="OLE_LINK1"/>
      <w:bookmarkStart w:id="8" w:name="_Toc513029242"/>
      <w:bookmarkStart w:id="9" w:name="_Toc120614211"/>
      <w:r>
        <w:rPr>
          <w:rFonts w:hint="eastAsia" w:ascii="宋体" w:hAnsi="宋体" w:cs="宋体"/>
          <w:color w:val="auto"/>
          <w:sz w:val="24"/>
          <w:szCs w:val="24"/>
          <w:highlight w:val="none"/>
        </w:rPr>
        <w:t>南京医科大学就</w:t>
      </w:r>
      <w:r>
        <w:rPr>
          <w:rFonts w:hint="eastAsia" w:ascii="宋体" w:hAnsi="宋体" w:cs="宋体"/>
          <w:b/>
          <w:bCs/>
          <w:color w:val="auto"/>
          <w:sz w:val="24"/>
          <w:szCs w:val="24"/>
          <w:highlight w:val="none"/>
          <w:u w:val="single"/>
        </w:rPr>
        <w:t>南京医科大学3D解剖模型采购</w:t>
      </w:r>
      <w:r>
        <w:rPr>
          <w:rFonts w:hint="eastAsia" w:ascii="宋体" w:hAnsi="宋体" w:cs="宋体"/>
          <w:color w:val="auto"/>
          <w:sz w:val="24"/>
          <w:szCs w:val="24"/>
          <w:highlight w:val="none"/>
        </w:rPr>
        <w:t>公开招标，相应资金已落实，欢迎符合招标公告资质要求的投标人前来投标。</w:t>
      </w:r>
      <w:bookmarkStart w:id="17" w:name="_GoBack"/>
      <w:bookmarkEnd w:id="17"/>
    </w:p>
    <w:p w14:paraId="5F64FDC0">
      <w:pPr>
        <w:spacing w:before="120" w:beforeLines="50" w:after="120" w:afterLines="50"/>
        <w:ind w:firstLine="480"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一、项目基本情况</w:t>
      </w:r>
    </w:p>
    <w:p w14:paraId="26A6CEA8">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1.1项目名称：南京医科大学3D解剖模型采购</w:t>
      </w:r>
    </w:p>
    <w:p w14:paraId="39070F65">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1.2项目编号：1678-264108785HTT</w:t>
      </w:r>
    </w:p>
    <w:p w14:paraId="3E85133E">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1.3项目预算：人民币26万元 </w:t>
      </w:r>
    </w:p>
    <w:p w14:paraId="124015A1">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1.4最高总限价：人民币26万元，投标报价超过最高限价的为无效投标 </w:t>
      </w:r>
    </w:p>
    <w:p w14:paraId="3F8A8EBD">
      <w:pPr>
        <w:spacing w:before="120" w:beforeLines="50" w:after="120" w:afterLines="50"/>
        <w:ind w:firstLine="480"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二、项目需求</w:t>
      </w:r>
    </w:p>
    <w:p w14:paraId="4192CCEA">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2.1采购需求：</w:t>
      </w:r>
    </w:p>
    <w:tbl>
      <w:tblPr>
        <w:tblStyle w:val="3"/>
        <w:tblW w:w="8650" w:type="dxa"/>
        <w:jc w:val="center"/>
        <w:tblLayout w:type="fixed"/>
        <w:tblCellMar>
          <w:top w:w="0" w:type="dxa"/>
          <w:left w:w="0" w:type="dxa"/>
          <w:bottom w:w="0" w:type="dxa"/>
          <w:right w:w="0" w:type="dxa"/>
        </w:tblCellMar>
      </w:tblPr>
      <w:tblGrid>
        <w:gridCol w:w="833"/>
        <w:gridCol w:w="1797"/>
        <w:gridCol w:w="775"/>
        <w:gridCol w:w="825"/>
        <w:gridCol w:w="1450"/>
        <w:gridCol w:w="1050"/>
        <w:gridCol w:w="1920"/>
      </w:tblGrid>
      <w:tr w14:paraId="20699151">
        <w:tblPrEx>
          <w:tblCellMar>
            <w:top w:w="0" w:type="dxa"/>
            <w:left w:w="0" w:type="dxa"/>
            <w:bottom w:w="0" w:type="dxa"/>
            <w:right w:w="0" w:type="dxa"/>
          </w:tblCellMar>
        </w:tblPrEx>
        <w:trPr>
          <w:trHeight w:val="842" w:hRule="atLeast"/>
          <w:jc w:val="center"/>
        </w:trPr>
        <w:tc>
          <w:tcPr>
            <w:tcW w:w="833" w:type="dxa"/>
            <w:tcBorders>
              <w:top w:val="single" w:color="auto" w:sz="4" w:space="0"/>
              <w:left w:val="single" w:color="auto" w:sz="4" w:space="0"/>
              <w:bottom w:val="single" w:color="auto" w:sz="4" w:space="0"/>
              <w:right w:val="single" w:color="000000" w:sz="4" w:space="0"/>
            </w:tcBorders>
            <w:vAlign w:val="center"/>
          </w:tcPr>
          <w:p w14:paraId="5D77A0C3">
            <w:pPr>
              <w:spacing w:line="240" w:lineRule="auto"/>
              <w:jc w:val="center"/>
              <w:textAlignment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1797" w:type="dxa"/>
            <w:tcBorders>
              <w:top w:val="single" w:color="auto" w:sz="4" w:space="0"/>
              <w:left w:val="single" w:color="000000" w:sz="4" w:space="0"/>
              <w:bottom w:val="single" w:color="auto" w:sz="4" w:space="0"/>
              <w:right w:val="single" w:color="000000" w:sz="4" w:space="0"/>
            </w:tcBorders>
            <w:vAlign w:val="center"/>
          </w:tcPr>
          <w:p w14:paraId="1A9346C3">
            <w:pPr>
              <w:spacing w:line="24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采购名称</w:t>
            </w:r>
          </w:p>
        </w:tc>
        <w:tc>
          <w:tcPr>
            <w:tcW w:w="775" w:type="dxa"/>
            <w:tcBorders>
              <w:top w:val="single" w:color="auto" w:sz="4" w:space="0"/>
              <w:left w:val="single" w:color="000000" w:sz="4" w:space="0"/>
              <w:bottom w:val="single" w:color="auto" w:sz="4" w:space="0"/>
              <w:right w:val="single" w:color="000000" w:sz="4" w:space="0"/>
            </w:tcBorders>
            <w:vAlign w:val="center"/>
          </w:tcPr>
          <w:p w14:paraId="21175557">
            <w:pPr>
              <w:spacing w:line="240" w:lineRule="auto"/>
              <w:jc w:val="center"/>
              <w:textAlignment w:val="center"/>
              <w:rPr>
                <w:rFonts w:hint="eastAsia" w:ascii="宋体" w:hAnsi="宋体" w:cs="宋体"/>
                <w:b/>
                <w:bCs/>
                <w:color w:val="auto"/>
                <w:szCs w:val="21"/>
                <w:highlight w:val="none"/>
              </w:rPr>
            </w:pPr>
            <w:r>
              <w:rPr>
                <w:rFonts w:hint="eastAsia" w:ascii="宋体" w:hAnsi="宋体" w:cs="宋体"/>
                <w:b/>
                <w:bCs/>
                <w:color w:val="auto"/>
                <w:szCs w:val="21"/>
                <w:highlight w:val="none"/>
                <w:lang w:bidi="ar"/>
              </w:rPr>
              <w:t>数量</w:t>
            </w:r>
          </w:p>
        </w:tc>
        <w:tc>
          <w:tcPr>
            <w:tcW w:w="825" w:type="dxa"/>
            <w:tcBorders>
              <w:top w:val="single" w:color="auto" w:sz="4" w:space="0"/>
              <w:left w:val="single" w:color="000000" w:sz="4" w:space="0"/>
              <w:bottom w:val="single" w:color="auto" w:sz="4" w:space="0"/>
              <w:right w:val="single" w:color="000000" w:sz="4" w:space="0"/>
            </w:tcBorders>
            <w:vAlign w:val="center"/>
          </w:tcPr>
          <w:p w14:paraId="15F3BEB1">
            <w:pPr>
              <w:spacing w:line="240" w:lineRule="auto"/>
              <w:jc w:val="center"/>
              <w:textAlignment w:val="center"/>
              <w:rPr>
                <w:rFonts w:hint="eastAsia" w:ascii="宋体" w:hAnsi="宋体" w:cs="宋体"/>
                <w:b/>
                <w:bCs/>
                <w:color w:val="auto"/>
                <w:szCs w:val="21"/>
                <w:highlight w:val="none"/>
                <w:lang w:bidi="ar"/>
              </w:rPr>
            </w:pPr>
            <w:r>
              <w:rPr>
                <w:rFonts w:hint="eastAsia" w:ascii="宋体" w:hAnsi="宋体" w:cs="宋体"/>
                <w:b/>
                <w:bCs/>
                <w:color w:val="auto"/>
                <w:szCs w:val="21"/>
                <w:highlight w:val="none"/>
                <w:lang w:bidi="ar"/>
              </w:rPr>
              <w:t>单位</w:t>
            </w:r>
          </w:p>
        </w:tc>
        <w:tc>
          <w:tcPr>
            <w:tcW w:w="1450" w:type="dxa"/>
            <w:tcBorders>
              <w:top w:val="single" w:color="auto" w:sz="4" w:space="0"/>
              <w:left w:val="single" w:color="000000" w:sz="4" w:space="0"/>
              <w:bottom w:val="single" w:color="auto" w:sz="4" w:space="0"/>
              <w:right w:val="single" w:color="000000" w:sz="4" w:space="0"/>
            </w:tcBorders>
            <w:tcMar>
              <w:top w:w="283" w:type="dxa"/>
              <w:left w:w="0" w:type="dxa"/>
              <w:bottom w:w="0" w:type="dxa"/>
              <w:right w:w="0" w:type="dxa"/>
            </w:tcMar>
            <w:vAlign w:val="center"/>
          </w:tcPr>
          <w:p w14:paraId="52D93E13">
            <w:pPr>
              <w:spacing w:line="24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单价</w:t>
            </w:r>
          </w:p>
          <w:p w14:paraId="7229F0ED">
            <w:pPr>
              <w:spacing w:line="24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（万元/套）</w:t>
            </w:r>
          </w:p>
        </w:tc>
        <w:tc>
          <w:tcPr>
            <w:tcW w:w="1050" w:type="dxa"/>
            <w:tcBorders>
              <w:top w:val="single" w:color="auto" w:sz="4" w:space="0"/>
              <w:left w:val="single" w:color="000000" w:sz="4" w:space="0"/>
              <w:bottom w:val="single" w:color="auto" w:sz="4" w:space="0"/>
              <w:right w:val="single" w:color="000000" w:sz="4" w:space="0"/>
            </w:tcBorders>
            <w:tcMar>
              <w:top w:w="283" w:type="dxa"/>
              <w:left w:w="0" w:type="dxa"/>
              <w:bottom w:w="0" w:type="dxa"/>
              <w:right w:w="0" w:type="dxa"/>
            </w:tcMar>
            <w:vAlign w:val="center"/>
          </w:tcPr>
          <w:p w14:paraId="2E78E3DD">
            <w:pPr>
              <w:spacing w:line="24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总价</w:t>
            </w:r>
          </w:p>
          <w:p w14:paraId="0D3944AD">
            <w:pPr>
              <w:spacing w:line="24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（万元）</w:t>
            </w:r>
          </w:p>
        </w:tc>
        <w:tc>
          <w:tcPr>
            <w:tcW w:w="1920" w:type="dxa"/>
            <w:tcBorders>
              <w:top w:val="single" w:color="auto" w:sz="4" w:space="0"/>
              <w:left w:val="single" w:color="000000" w:sz="4" w:space="0"/>
              <w:bottom w:val="single" w:color="auto" w:sz="4" w:space="0"/>
              <w:right w:val="single" w:color="auto" w:sz="4" w:space="0"/>
            </w:tcBorders>
            <w:tcMar>
              <w:top w:w="283" w:type="dxa"/>
              <w:left w:w="0" w:type="dxa"/>
              <w:bottom w:w="0" w:type="dxa"/>
              <w:right w:w="0" w:type="dxa"/>
            </w:tcMar>
            <w:vAlign w:val="center"/>
          </w:tcPr>
          <w:p w14:paraId="07FF0909">
            <w:pPr>
              <w:spacing w:line="24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是否接受进口货物投标</w:t>
            </w:r>
          </w:p>
        </w:tc>
      </w:tr>
      <w:tr w14:paraId="18871E4A">
        <w:tblPrEx>
          <w:tblCellMar>
            <w:top w:w="0" w:type="dxa"/>
            <w:left w:w="0" w:type="dxa"/>
            <w:bottom w:w="0" w:type="dxa"/>
            <w:right w:w="0" w:type="dxa"/>
          </w:tblCellMar>
        </w:tblPrEx>
        <w:trPr>
          <w:trHeight w:val="1641" w:hRule="atLeast"/>
          <w:jc w:val="center"/>
        </w:trPr>
        <w:tc>
          <w:tcPr>
            <w:tcW w:w="833" w:type="dxa"/>
            <w:tcBorders>
              <w:top w:val="single" w:color="auto" w:sz="4" w:space="0"/>
              <w:left w:val="single" w:color="000000" w:sz="4" w:space="0"/>
              <w:bottom w:val="single" w:color="auto" w:sz="4" w:space="0"/>
              <w:right w:val="single" w:color="000000" w:sz="4" w:space="0"/>
            </w:tcBorders>
            <w:noWrap/>
            <w:vAlign w:val="center"/>
          </w:tcPr>
          <w:p w14:paraId="50269404">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1797" w:type="dxa"/>
            <w:tcBorders>
              <w:top w:val="single" w:color="auto" w:sz="4" w:space="0"/>
              <w:left w:val="single" w:color="000000" w:sz="4" w:space="0"/>
              <w:bottom w:val="single" w:color="auto" w:sz="4" w:space="0"/>
              <w:right w:val="single" w:color="000000" w:sz="4" w:space="0"/>
            </w:tcBorders>
            <w:vAlign w:val="center"/>
          </w:tcPr>
          <w:p w14:paraId="65D617A5">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3D解剖模型</w:t>
            </w:r>
          </w:p>
          <w:p w14:paraId="192B059C">
            <w:pPr>
              <w:jc w:val="center"/>
              <w:rPr>
                <w:rFonts w:hint="eastAsia" w:ascii="宋体" w:hAnsi="宋体" w:cs="宋体"/>
                <w:color w:val="auto"/>
                <w:sz w:val="24"/>
                <w:szCs w:val="24"/>
                <w:highlight w:val="none"/>
              </w:rPr>
            </w:pPr>
            <w:r>
              <w:rPr>
                <w:rFonts w:hint="eastAsia" w:ascii="宋体" w:hAnsi="宋体" w:cs="宋体"/>
                <w:b/>
                <w:bCs/>
                <w:color w:val="auto"/>
                <w:sz w:val="24"/>
                <w:szCs w:val="24"/>
                <w:highlight w:val="none"/>
              </w:rPr>
              <w:t>（核心产品）</w:t>
            </w:r>
          </w:p>
        </w:tc>
        <w:tc>
          <w:tcPr>
            <w:tcW w:w="775" w:type="dxa"/>
            <w:tcBorders>
              <w:top w:val="single" w:color="auto" w:sz="4" w:space="0"/>
              <w:left w:val="single" w:color="000000" w:sz="4" w:space="0"/>
              <w:bottom w:val="single" w:color="auto" w:sz="4" w:space="0"/>
              <w:right w:val="single" w:color="000000" w:sz="4" w:space="0"/>
            </w:tcBorders>
            <w:noWrap/>
            <w:vAlign w:val="center"/>
          </w:tcPr>
          <w:p w14:paraId="423E1E7F">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825" w:type="dxa"/>
            <w:tcBorders>
              <w:top w:val="single" w:color="auto" w:sz="4" w:space="0"/>
              <w:left w:val="single" w:color="000000" w:sz="4" w:space="0"/>
              <w:bottom w:val="single" w:color="auto" w:sz="4" w:space="0"/>
              <w:right w:val="single" w:color="000000" w:sz="4" w:space="0"/>
            </w:tcBorders>
            <w:noWrap/>
            <w:vAlign w:val="center"/>
          </w:tcPr>
          <w:p w14:paraId="7622DA2D">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套</w:t>
            </w:r>
          </w:p>
        </w:tc>
        <w:tc>
          <w:tcPr>
            <w:tcW w:w="1450" w:type="dxa"/>
            <w:tcBorders>
              <w:top w:val="single" w:color="auto" w:sz="4" w:space="0"/>
              <w:left w:val="single" w:color="000000" w:sz="4" w:space="0"/>
              <w:bottom w:val="single" w:color="auto" w:sz="4" w:space="0"/>
              <w:right w:val="single" w:color="000000" w:sz="4" w:space="0"/>
            </w:tcBorders>
            <w:noWrap/>
            <w:vAlign w:val="center"/>
          </w:tcPr>
          <w:p w14:paraId="66AE8C2C">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26</w:t>
            </w:r>
          </w:p>
        </w:tc>
        <w:tc>
          <w:tcPr>
            <w:tcW w:w="1050" w:type="dxa"/>
            <w:tcBorders>
              <w:top w:val="single" w:color="auto" w:sz="4" w:space="0"/>
              <w:left w:val="single" w:color="000000" w:sz="4" w:space="0"/>
              <w:bottom w:val="single" w:color="auto" w:sz="4" w:space="0"/>
              <w:right w:val="single" w:color="auto" w:sz="4" w:space="0"/>
            </w:tcBorders>
            <w:noWrap/>
            <w:vAlign w:val="center"/>
          </w:tcPr>
          <w:p w14:paraId="139D022F">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26</w:t>
            </w:r>
          </w:p>
        </w:tc>
        <w:tc>
          <w:tcPr>
            <w:tcW w:w="1920" w:type="dxa"/>
            <w:tcBorders>
              <w:top w:val="single" w:color="auto" w:sz="4" w:space="0"/>
              <w:left w:val="single" w:color="auto" w:sz="4" w:space="0"/>
              <w:bottom w:val="single" w:color="auto" w:sz="4" w:space="0"/>
              <w:right w:val="single" w:color="auto" w:sz="4" w:space="0"/>
            </w:tcBorders>
            <w:noWrap/>
            <w:vAlign w:val="center"/>
          </w:tcPr>
          <w:p w14:paraId="19D837F9">
            <w:pPr>
              <w:jc w:val="center"/>
              <w:rPr>
                <w:rFonts w:hint="eastAsia" w:ascii="宋体" w:hAnsi="宋体" w:cs="宋体"/>
                <w:color w:val="auto"/>
                <w:sz w:val="24"/>
                <w:szCs w:val="24"/>
                <w:highlight w:val="none"/>
              </w:rPr>
            </w:pPr>
            <w:r>
              <w:rPr>
                <w:rFonts w:hint="eastAsia" w:ascii="宋体" w:hAnsi="宋体" w:cs="宋体"/>
                <w:b/>
                <w:bCs/>
                <w:color w:val="auto"/>
                <w:sz w:val="24"/>
                <w:szCs w:val="24"/>
                <w:highlight w:val="none"/>
              </w:rPr>
              <w:t>否</w:t>
            </w:r>
          </w:p>
        </w:tc>
      </w:tr>
      <w:tr w14:paraId="58057264">
        <w:tblPrEx>
          <w:tblCellMar>
            <w:top w:w="0" w:type="dxa"/>
            <w:left w:w="0" w:type="dxa"/>
            <w:bottom w:w="0" w:type="dxa"/>
            <w:right w:w="0" w:type="dxa"/>
          </w:tblCellMar>
        </w:tblPrEx>
        <w:trPr>
          <w:trHeight w:val="476" w:hRule="atLeast"/>
          <w:jc w:val="center"/>
        </w:trPr>
        <w:tc>
          <w:tcPr>
            <w:tcW w:w="8650" w:type="dxa"/>
            <w:gridSpan w:val="7"/>
            <w:tcBorders>
              <w:top w:val="single" w:color="auto" w:sz="4" w:space="0"/>
              <w:left w:val="single" w:color="000000" w:sz="4" w:space="0"/>
              <w:bottom w:val="single" w:color="000000" w:sz="4" w:space="0"/>
              <w:right w:val="single" w:color="auto" w:sz="4" w:space="0"/>
            </w:tcBorders>
            <w:noWrap/>
            <w:tcMar>
              <w:top w:w="113" w:type="dxa"/>
              <w:left w:w="0" w:type="dxa"/>
              <w:bottom w:w="0" w:type="dxa"/>
              <w:right w:w="0" w:type="dxa"/>
            </w:tcMar>
            <w:vAlign w:val="center"/>
          </w:tcPr>
          <w:p w14:paraId="33840C30">
            <w:pPr>
              <w:rPr>
                <w:rFonts w:hint="eastAsia" w:ascii="宋体" w:hAnsi="宋体" w:cs="宋体"/>
                <w:b/>
                <w:bCs/>
                <w:color w:val="auto"/>
                <w:sz w:val="24"/>
                <w:szCs w:val="24"/>
                <w:highlight w:val="none"/>
              </w:rPr>
            </w:pPr>
            <w:r>
              <w:rPr>
                <w:rFonts w:hint="eastAsia" w:ascii="宋体" w:hAnsi="宋体" w:cs="宋体"/>
                <w:color w:val="auto"/>
                <w:sz w:val="24"/>
                <w:szCs w:val="24"/>
                <w:highlight w:val="none"/>
              </w:rPr>
              <w:t>注：本文件所称进口产品是指通过中国海关报关验放进入中国境内且产自关境外的产品</w:t>
            </w:r>
          </w:p>
        </w:tc>
      </w:tr>
    </w:tbl>
    <w:p w14:paraId="4046B08D">
      <w:pPr>
        <w:rPr>
          <w:rFonts w:hint="eastAsia" w:ascii="宋体" w:hAnsi="宋体" w:cs="宋体"/>
          <w:color w:val="auto"/>
          <w:sz w:val="24"/>
          <w:szCs w:val="24"/>
          <w:highlight w:val="none"/>
        </w:rPr>
      </w:pPr>
    </w:p>
    <w:p w14:paraId="4AF70B5C">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具体技术参数见采购文件第三章“项目需求”。</w:t>
      </w:r>
    </w:p>
    <w:p w14:paraId="027B9753">
      <w:pPr>
        <w:pStyle w:val="2"/>
        <w:ind w:firstLine="480" w:firstLineChars="200"/>
        <w:rPr>
          <w:color w:val="auto"/>
          <w:highlight w:val="none"/>
          <w:lang w:val="zh-CN"/>
        </w:rPr>
      </w:pPr>
      <w:r>
        <w:rPr>
          <w:rFonts w:hint="eastAsia" w:ascii="宋体" w:hAnsi="宋体" w:cs="宋体"/>
          <w:color w:val="auto"/>
          <w:sz w:val="24"/>
          <w:szCs w:val="24"/>
          <w:highlight w:val="none"/>
        </w:rPr>
        <w:t>2.2合同履行期限：</w:t>
      </w:r>
      <w:r>
        <w:rPr>
          <w:rFonts w:hint="eastAsia" w:ascii="宋体" w:hAnsi="宋体" w:cs="宋体"/>
          <w:color w:val="auto"/>
          <w:sz w:val="24"/>
          <w:szCs w:val="24"/>
          <w:highlight w:val="none"/>
          <w:lang w:val="zh-CN"/>
        </w:rPr>
        <w:t>合同签订生效后</w:t>
      </w:r>
      <w:r>
        <w:rPr>
          <w:rFonts w:hint="eastAsia"/>
          <w:color w:val="auto"/>
          <w:sz w:val="24"/>
          <w:szCs w:val="24"/>
          <w:highlight w:val="none"/>
          <w:lang w:eastAsia="zh-CN"/>
        </w:rPr>
        <w:t>一个</w:t>
      </w:r>
      <w:r>
        <w:rPr>
          <w:rFonts w:hint="eastAsia"/>
          <w:color w:val="auto"/>
          <w:sz w:val="24"/>
          <w:szCs w:val="24"/>
          <w:highlight w:val="none"/>
          <w:lang w:val="en-US" w:eastAsia="zh-CN"/>
        </w:rPr>
        <w:t>月</w:t>
      </w:r>
      <w:r>
        <w:rPr>
          <w:rFonts w:hint="eastAsia"/>
          <w:color w:val="auto"/>
          <w:sz w:val="24"/>
          <w:szCs w:val="24"/>
          <w:highlight w:val="none"/>
        </w:rPr>
        <w:t>安装调试验收。</w:t>
      </w:r>
      <w:r>
        <w:rPr>
          <w:rFonts w:hint="eastAsia"/>
          <w:color w:val="auto"/>
          <w:sz w:val="24"/>
          <w:szCs w:val="24"/>
          <w:highlight w:val="none"/>
          <w:lang w:val="zh-CN"/>
        </w:rPr>
        <w:t>验收合格，交付买方使用。</w:t>
      </w:r>
    </w:p>
    <w:p w14:paraId="4563B71B">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2.3本项目</w:t>
      </w:r>
      <w:r>
        <w:rPr>
          <w:rFonts w:hint="eastAsia" w:ascii="宋体" w:hAnsi="宋体" w:cs="宋体"/>
          <w:b/>
          <w:bCs/>
          <w:color w:val="auto"/>
          <w:sz w:val="24"/>
          <w:szCs w:val="24"/>
          <w:highlight w:val="none"/>
        </w:rPr>
        <w:t>不接受</w:t>
      </w:r>
      <w:r>
        <w:rPr>
          <w:rFonts w:hint="eastAsia" w:ascii="宋体" w:hAnsi="宋体" w:cs="宋体"/>
          <w:color w:val="auto"/>
          <w:sz w:val="24"/>
          <w:szCs w:val="24"/>
          <w:highlight w:val="none"/>
        </w:rPr>
        <w:t>联合体投标。</w:t>
      </w:r>
    </w:p>
    <w:p w14:paraId="0A870673">
      <w:pPr>
        <w:spacing w:before="120" w:beforeLines="50" w:after="120" w:afterLines="50"/>
        <w:ind w:firstLine="480" w:firstLineChars="200"/>
        <w:rPr>
          <w:rFonts w:hint="eastAsia" w:ascii="宋体" w:hAnsi="宋体" w:cs="宋体"/>
          <w:b/>
          <w:bCs/>
          <w:color w:val="auto"/>
          <w:sz w:val="24"/>
          <w:szCs w:val="24"/>
          <w:highlight w:val="none"/>
        </w:rPr>
      </w:pPr>
      <w:r>
        <w:rPr>
          <w:rFonts w:hint="eastAsia" w:ascii="宋体" w:hAnsi="宋体" w:cs="宋体"/>
          <w:b/>
          <w:color w:val="auto"/>
          <w:sz w:val="24"/>
          <w:szCs w:val="24"/>
          <w:highlight w:val="none"/>
        </w:rPr>
        <w:t>三、</w:t>
      </w:r>
      <w:r>
        <w:rPr>
          <w:rFonts w:hint="eastAsia" w:ascii="宋体" w:hAnsi="宋体" w:cs="宋体"/>
          <w:b/>
          <w:bCs/>
          <w:color w:val="auto"/>
          <w:sz w:val="24"/>
          <w:szCs w:val="24"/>
          <w:highlight w:val="none"/>
        </w:rPr>
        <w:t>申请人的资格要求</w:t>
      </w:r>
    </w:p>
    <w:p w14:paraId="790F184E">
      <w:pPr>
        <w:ind w:firstLine="480" w:firstLineChars="200"/>
        <w:rPr>
          <w:rFonts w:hint="eastAsia" w:ascii="宋体" w:hAnsi="宋体" w:cs="宋体"/>
          <w:color w:val="auto"/>
          <w:sz w:val="24"/>
          <w:szCs w:val="24"/>
          <w:highlight w:val="none"/>
        </w:rPr>
      </w:pPr>
      <w:bookmarkStart w:id="10" w:name="_Hlk219318826"/>
      <w:r>
        <w:rPr>
          <w:rFonts w:hint="eastAsia" w:ascii="宋体" w:hAnsi="宋体" w:cs="宋体"/>
          <w:color w:val="auto"/>
          <w:sz w:val="24"/>
          <w:szCs w:val="24"/>
          <w:highlight w:val="none"/>
        </w:rPr>
        <w:t xml:space="preserve">3.1满足《中华人民共和国政府采购法》第二十二条规定，提供下列材料： </w:t>
      </w:r>
    </w:p>
    <w:p w14:paraId="532460D2">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（1）具有独立承担民事责任的能力：法人或者其他组织的营业执照（投标人为自然人的提供其身份证），法定代表人和授权代表的身份证。（提供相关证明材料复印件并加盖公章）；</w:t>
      </w:r>
    </w:p>
    <w:p w14:paraId="35A33520">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（2）具有良好的商业信誉和健全的财务会计制度：提供</w:t>
      </w:r>
      <w:r>
        <w:rPr>
          <w:rFonts w:hint="eastAsia" w:ascii="宋体" w:hAnsi="宋体" w:cs="宋体"/>
          <w:b/>
          <w:bCs/>
          <w:color w:val="auto"/>
          <w:sz w:val="24"/>
          <w:szCs w:val="24"/>
          <w:highlight w:val="none"/>
        </w:rPr>
        <w:t>2025年度</w:t>
      </w:r>
      <w:r>
        <w:rPr>
          <w:rFonts w:hint="eastAsia" w:ascii="宋体" w:hAnsi="宋体" w:cs="宋体"/>
          <w:color w:val="auto"/>
          <w:sz w:val="24"/>
          <w:szCs w:val="24"/>
          <w:highlight w:val="none"/>
        </w:rPr>
        <w:t>审计报告，或招标截止时间前六个月内任一月的财务报告（至少包含资产负债表和利润表），或投标截止时间前三个月内银行出具的资信证明，或财政部门认可的专业担保机构出具的担保函；</w:t>
      </w:r>
    </w:p>
    <w:p w14:paraId="5139E87D">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（3）具有履行合同所必需的设备和专业技术能力（格式详见附件）；</w:t>
      </w:r>
    </w:p>
    <w:p w14:paraId="3598D169">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（4）有依法缴纳税收和社会保障资金的良好记录：提供招标截止时间前六个月内任一个月缴纳增值税，或营业税，或企业所得税的凭据；并提供缴纳社会保险的凭据（专用收据，或社会保险缴纳清单等）；</w:t>
      </w:r>
    </w:p>
    <w:p w14:paraId="42A6865B">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（5）参加政府采购活动前三年内，在经营活动中没有重大违法记录（格式详见附件）；</w:t>
      </w:r>
    </w:p>
    <w:p w14:paraId="097D2967">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（6）法律、行政法规规定的其他条件。</w:t>
      </w:r>
    </w:p>
    <w:p w14:paraId="542464A0">
      <w:pPr>
        <w:ind w:firstLine="480" w:firstLineChars="200"/>
        <w:rPr>
          <w:rFonts w:hint="eastAsia" w:ascii="宋体" w:hAnsi="宋体" w:cs="宋体"/>
          <w:b/>
          <w:bCs/>
          <w:color w:val="auto"/>
          <w:sz w:val="24"/>
          <w:szCs w:val="24"/>
          <w:highlight w:val="none"/>
        </w:rPr>
      </w:pPr>
      <w:r>
        <w:rPr>
          <w:rFonts w:hint="eastAsia" w:ascii="宋体" w:hAnsi="宋体" w:cs="宋体"/>
          <w:color w:val="auto"/>
          <w:sz w:val="24"/>
          <w:szCs w:val="24"/>
          <w:highlight w:val="none"/>
        </w:rPr>
        <w:t>3.2本项目的特定资格要求：</w:t>
      </w:r>
      <w:r>
        <w:rPr>
          <w:rFonts w:hint="eastAsia" w:ascii="宋体" w:hAnsi="宋体" w:cs="宋体"/>
          <w:b/>
          <w:bCs/>
          <w:color w:val="auto"/>
          <w:sz w:val="24"/>
          <w:szCs w:val="24"/>
          <w:highlight w:val="none"/>
        </w:rPr>
        <w:t>无</w:t>
      </w:r>
    </w:p>
    <w:p w14:paraId="13E0C3A6">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3.3落实政府采购政策需满足的资格要求：</w:t>
      </w:r>
      <w:r>
        <w:rPr>
          <w:rFonts w:hint="eastAsia" w:ascii="宋体" w:hAnsi="宋体" w:cs="宋体"/>
          <w:b/>
          <w:bCs/>
          <w:color w:val="auto"/>
          <w:sz w:val="24"/>
          <w:szCs w:val="24"/>
          <w:highlight w:val="none"/>
        </w:rPr>
        <w:t>无</w:t>
      </w:r>
    </w:p>
    <w:p w14:paraId="30BE7E0A">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3.4拒绝下述投标人参加本次采购活动：</w:t>
      </w:r>
    </w:p>
    <w:p w14:paraId="16F60B18">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（1）投标人单位负责人为同一人或者存在直接控股、管理关系的不同投标人，不得参加同一合同项下的采购活动。</w:t>
      </w:r>
    </w:p>
    <w:p w14:paraId="781459CD">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（2）凡为采购项目提供整体设计、规范编制或者项目管理、监理、检测等服务的投标人，不得再参加本项目的采购活动。</w:t>
      </w:r>
    </w:p>
    <w:p w14:paraId="3FC6159E">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（3）拒绝列入失信被执行人、重大税收违法失信主体、政府采购严重违法失信行为记录名单中的投标人参加本项目的采购活动。采购人或采购代理机构通过 “信用中国”（www.creditchina.gov.cn）、“中国政府采购网”（www.ccgp.gov.cn）等渠道查询投标人信用记录并保存。</w:t>
      </w:r>
    </w:p>
    <w:bookmarkEnd w:id="10"/>
    <w:p w14:paraId="2D3829E3">
      <w:pPr>
        <w:spacing w:before="120" w:beforeLines="50" w:after="120" w:afterLines="50"/>
        <w:ind w:firstLine="480"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四、公告发布媒体</w:t>
      </w:r>
    </w:p>
    <w:p w14:paraId="5EABBAFC">
      <w:pPr>
        <w:spacing w:before="120" w:beforeLines="50" w:after="120" w:afterLines="50"/>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本项目在“https://www.njmu.edu.cn/ 南京医科大学官方网站”发布</w:t>
      </w:r>
      <w:r>
        <w:rPr>
          <w:rFonts w:hint="eastAsia" w:ascii="宋体" w:hAnsi="宋体" w:cs="宋体"/>
          <w:color w:val="auto"/>
          <w:sz w:val="24"/>
          <w:szCs w:val="24"/>
          <w:highlight w:val="none"/>
          <w:lang w:val="zh-CN"/>
        </w:rPr>
        <w:t>公告</w:t>
      </w:r>
      <w:r>
        <w:rPr>
          <w:rFonts w:hint="eastAsia" w:ascii="宋体" w:hAnsi="宋体" w:cs="宋体"/>
          <w:color w:val="auto"/>
          <w:sz w:val="24"/>
          <w:szCs w:val="24"/>
          <w:highlight w:val="none"/>
        </w:rPr>
        <w:t>。</w:t>
      </w:r>
    </w:p>
    <w:p w14:paraId="7D31475C">
      <w:pPr>
        <w:numPr>
          <w:ilvl w:val="0"/>
          <w:numId w:val="1"/>
        </w:numPr>
        <w:spacing w:before="120" w:beforeLines="50" w:after="120" w:afterLines="50"/>
        <w:ind w:firstLine="480"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获取招标文件</w:t>
      </w:r>
    </w:p>
    <w:p w14:paraId="668B9140">
      <w:pPr>
        <w:ind w:firstLine="480" w:firstLineChars="200"/>
        <w:rPr>
          <w:rFonts w:hint="eastAsia" w:ascii="宋体" w:hAnsi="宋体" w:cs="宋体"/>
          <w:color w:val="auto"/>
          <w:sz w:val="24"/>
          <w:szCs w:val="24"/>
          <w:highlight w:val="none"/>
        </w:rPr>
      </w:pPr>
      <w:r>
        <w:rPr>
          <w:rFonts w:hint="eastAsia" w:ascii="宋体" w:hAnsi="宋体" w:cs="宋体"/>
          <w:bCs/>
          <w:color w:val="auto"/>
          <w:sz w:val="24"/>
          <w:szCs w:val="24"/>
          <w:highlight w:val="none"/>
        </w:rPr>
        <w:t>5.1</w:t>
      </w:r>
      <w:r>
        <w:rPr>
          <w:rFonts w:ascii="宋体" w:hAnsi="宋体" w:cs="宋体"/>
          <w:bCs/>
          <w:color w:val="auto"/>
          <w:sz w:val="24"/>
          <w:szCs w:val="24"/>
          <w:highlight w:val="none"/>
        </w:rPr>
        <w:t>时间：202</w:t>
      </w:r>
      <w:r>
        <w:rPr>
          <w:rFonts w:hint="eastAsia" w:ascii="宋体" w:hAnsi="宋体" w:cs="宋体"/>
          <w:bCs/>
          <w:color w:val="auto"/>
          <w:sz w:val="24"/>
          <w:szCs w:val="24"/>
          <w:highlight w:val="none"/>
        </w:rPr>
        <w:t>6</w:t>
      </w:r>
      <w:r>
        <w:rPr>
          <w:rFonts w:ascii="宋体" w:hAnsi="宋体" w:cs="宋体"/>
          <w:bCs/>
          <w:color w:val="auto"/>
          <w:sz w:val="24"/>
          <w:szCs w:val="24"/>
          <w:highlight w:val="none"/>
        </w:rPr>
        <w:t>年</w:t>
      </w:r>
      <w:r>
        <w:rPr>
          <w:rFonts w:hint="eastAsia" w:ascii="宋体" w:hAnsi="宋体" w:cs="宋体"/>
          <w:bCs/>
          <w:color w:val="auto"/>
          <w:sz w:val="24"/>
          <w:szCs w:val="24"/>
          <w:highlight w:val="none"/>
          <w:lang w:val="en-US" w:eastAsia="zh-CN"/>
        </w:rPr>
        <w:t>8</w:t>
      </w:r>
      <w:r>
        <w:rPr>
          <w:rFonts w:ascii="宋体" w:hAnsi="宋体" w:cs="宋体"/>
          <w:bCs/>
          <w:color w:val="auto"/>
          <w:sz w:val="24"/>
          <w:szCs w:val="24"/>
          <w:highlight w:val="none"/>
        </w:rPr>
        <w:t>月</w:t>
      </w:r>
      <w:r>
        <w:rPr>
          <w:rFonts w:hint="eastAsia" w:ascii="宋体" w:hAnsi="宋体" w:cs="宋体"/>
          <w:bCs/>
          <w:color w:val="auto"/>
          <w:sz w:val="24"/>
          <w:szCs w:val="24"/>
          <w:highlight w:val="none"/>
          <w:lang w:val="en-US" w:eastAsia="zh-CN"/>
        </w:rPr>
        <w:t>29</w:t>
      </w:r>
      <w:r>
        <w:rPr>
          <w:rFonts w:ascii="宋体" w:hAnsi="宋体" w:cs="宋体"/>
          <w:bCs/>
          <w:color w:val="auto"/>
          <w:sz w:val="24"/>
          <w:szCs w:val="24"/>
          <w:highlight w:val="none"/>
        </w:rPr>
        <w:t>日至202</w:t>
      </w:r>
      <w:r>
        <w:rPr>
          <w:rFonts w:hint="eastAsia" w:ascii="宋体" w:hAnsi="宋体" w:cs="宋体"/>
          <w:bCs/>
          <w:color w:val="auto"/>
          <w:sz w:val="24"/>
          <w:szCs w:val="24"/>
          <w:highlight w:val="none"/>
        </w:rPr>
        <w:t>6</w:t>
      </w:r>
      <w:r>
        <w:rPr>
          <w:rFonts w:ascii="宋体" w:hAnsi="宋体" w:cs="宋体"/>
          <w:bCs/>
          <w:color w:val="auto"/>
          <w:sz w:val="24"/>
          <w:szCs w:val="24"/>
          <w:highlight w:val="none"/>
        </w:rPr>
        <w:t>年</w:t>
      </w:r>
      <w:r>
        <w:rPr>
          <w:rFonts w:hint="eastAsia" w:ascii="宋体" w:hAnsi="宋体" w:cs="宋体"/>
          <w:bCs/>
          <w:color w:val="auto"/>
          <w:sz w:val="24"/>
          <w:szCs w:val="24"/>
          <w:highlight w:val="none"/>
          <w:lang w:val="en-US" w:eastAsia="zh-CN"/>
        </w:rPr>
        <w:t>9</w:t>
      </w:r>
      <w:r>
        <w:rPr>
          <w:rFonts w:ascii="宋体" w:hAnsi="宋体" w:cs="宋体"/>
          <w:bCs/>
          <w:color w:val="auto"/>
          <w:sz w:val="24"/>
          <w:szCs w:val="24"/>
          <w:highlight w:val="none"/>
        </w:rPr>
        <w:t>月</w:t>
      </w:r>
      <w:r>
        <w:rPr>
          <w:rFonts w:hint="eastAsia" w:ascii="宋体" w:hAnsi="宋体" w:cs="宋体"/>
          <w:bCs/>
          <w:color w:val="auto"/>
          <w:sz w:val="24"/>
          <w:szCs w:val="24"/>
          <w:highlight w:val="none"/>
          <w:lang w:val="en-US" w:eastAsia="zh-CN"/>
        </w:rPr>
        <w:t>4</w:t>
      </w:r>
      <w:r>
        <w:rPr>
          <w:rFonts w:ascii="宋体" w:hAnsi="宋体" w:cs="宋体"/>
          <w:bCs/>
          <w:color w:val="auto"/>
          <w:sz w:val="24"/>
          <w:szCs w:val="24"/>
          <w:highlight w:val="none"/>
        </w:rPr>
        <w:t>日，每天上午9点00分至11点30分，下午13点30分至17点00分（北京时间，法定节假日除外），若潜</w:t>
      </w:r>
      <w:r>
        <w:rPr>
          <w:rFonts w:hint="eastAsia" w:ascii="宋体" w:hAnsi="宋体" w:cs="宋体"/>
          <w:color w:val="auto"/>
          <w:sz w:val="24"/>
          <w:szCs w:val="24"/>
          <w:highlight w:val="none"/>
        </w:rPr>
        <w:t>在投标人未能在上述期限内向采购代理机构购买，则其投标将被拒绝。</w:t>
      </w:r>
    </w:p>
    <w:p w14:paraId="135035C5">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5.2地点：南京市玄武区北京东路22号和平大厦1810室</w:t>
      </w:r>
    </w:p>
    <w:p w14:paraId="072B812A">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5.3方式：以转账、汇款方式购买采购文件，转账、汇款附言：采购代理机构内部编号、采购文件费，并将凭证发送至采购代理机构邮箱，付款完成及按要求发送邮件后，代理机构提供纸质和电子版采购文件。</w:t>
      </w:r>
    </w:p>
    <w:p w14:paraId="2B06DD62">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邮箱地址：jshtzb18@sina.com</w:t>
      </w:r>
    </w:p>
    <w:p w14:paraId="4167CA20">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邮件标题：购买单位名称_采购代理机构内部编号</w:t>
      </w:r>
    </w:p>
    <w:p w14:paraId="45C1F914">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邮件正文：请明确拟购买文件的项目名称、项目编号、采购代理机构内部编号、购买单位名称、联系人和联系方式、开票信息（明确专票、普票）、付款截图（直接贴图在正文，不要采用附件）、邮寄地址等信息。</w:t>
      </w:r>
    </w:p>
    <w:p w14:paraId="3D7D4ABC">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5.4购买招标文件汇款地址：</w:t>
      </w:r>
    </w:p>
    <w:p w14:paraId="0AA8D94E">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（1）开户名：江苏汉唐国际贸易集团有限公司</w:t>
      </w:r>
    </w:p>
    <w:p w14:paraId="0AA531FF">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（2）开户行：上海浦东发展银行南京莫愁支行（行号：310301000153）</w:t>
      </w:r>
    </w:p>
    <w:p w14:paraId="7E7BC100">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（3）账号：93160 15474 000 1152</w:t>
      </w:r>
    </w:p>
    <w:p w14:paraId="6CA81422">
      <w:pPr>
        <w:ind w:firstLine="480" w:firstLineChars="200"/>
        <w:rPr>
          <w:rFonts w:hint="eastAsia" w:ascii="宋体" w:hAnsi="宋体" w:cs="宋体"/>
          <w:color w:val="auto"/>
          <w:sz w:val="24"/>
          <w:szCs w:val="24"/>
          <w:highlight w:val="none"/>
        </w:rPr>
      </w:pPr>
      <w:bookmarkStart w:id="11" w:name="_Hlk182862024"/>
      <w:r>
        <w:rPr>
          <w:rFonts w:hint="eastAsia" w:ascii="宋体" w:hAnsi="宋体" w:cs="宋体"/>
          <w:color w:val="auto"/>
          <w:sz w:val="24"/>
          <w:szCs w:val="24"/>
          <w:highlight w:val="none"/>
        </w:rPr>
        <w:t>5.5售价：600元/套，售后不退。</w:t>
      </w:r>
    </w:p>
    <w:bookmarkEnd w:id="11"/>
    <w:p w14:paraId="0719555D">
      <w:pPr>
        <w:spacing w:before="120" w:beforeLines="50" w:after="120" w:afterLines="50"/>
        <w:ind w:firstLine="480"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六、投标截止时间及开标信息</w:t>
      </w:r>
    </w:p>
    <w:p w14:paraId="71EC91BF">
      <w:pPr>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none"/>
        </w:rPr>
        <w:t>6.1投标文件接收截止时间及开标时间：2026年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18</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点00分</w:t>
      </w:r>
    </w:p>
    <w:p w14:paraId="1BA038BC">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6.2投标文件接收地点及开标地点：南京市玄武区北京东路22号和平大厦18楼开标室一</w:t>
      </w:r>
    </w:p>
    <w:p w14:paraId="6CAD50F2">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6.3投标文件接收要求：</w:t>
      </w:r>
    </w:p>
    <w:p w14:paraId="50074D26">
      <w:pPr>
        <w:numPr>
          <w:ilvl w:val="0"/>
          <w:numId w:val="2"/>
        </w:numPr>
        <w:ind w:firstLine="480"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纸质投标文件一式六份</w:t>
      </w:r>
      <w:r>
        <w:rPr>
          <w:rFonts w:hint="eastAsia" w:ascii="宋体" w:hAnsi="宋体" w:cs="宋体"/>
          <w:color w:val="auto"/>
          <w:sz w:val="24"/>
          <w:szCs w:val="24"/>
          <w:highlight w:val="none"/>
        </w:rPr>
        <w:t>，其中正本一份、副本五份，在标书封面标注“正本”、“副本”字样，标书密封并在封口处加盖公章。</w:t>
      </w:r>
    </w:p>
    <w:p w14:paraId="432780BF">
      <w:pPr>
        <w:numPr>
          <w:ilvl w:val="0"/>
          <w:numId w:val="2"/>
        </w:num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电子版U盘1份（须包含投标文件word格式和pdf格式，pdf格式须加盖公司公章）。</w:t>
      </w:r>
    </w:p>
    <w:p w14:paraId="5D830656">
      <w:pPr>
        <w:numPr>
          <w:ilvl w:val="0"/>
          <w:numId w:val="2"/>
        </w:num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开标一览表必须加盖投标人公章（复印件无效），且需单独密封在信封中，在投标截止时间前与投标文件分别递交，否则视为无效投标。如有分包，投标人投标任何一个分包，都需单独填写开标一览表。</w:t>
      </w:r>
    </w:p>
    <w:p w14:paraId="0697011D">
      <w:pPr>
        <w:numPr>
          <w:ilvl w:val="0"/>
          <w:numId w:val="2"/>
        </w:num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逾期送达及未按要求密封的投标文件，采购人和采购代理机构不予接收。</w:t>
      </w:r>
    </w:p>
    <w:p w14:paraId="6A127047">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6.4需要现场说明或者澄清的问题，投标商代表未到场确认的，后果自负。</w:t>
      </w:r>
    </w:p>
    <w:p w14:paraId="606A3D37">
      <w:pPr>
        <w:spacing w:before="120" w:beforeLines="50" w:after="120" w:afterLines="50"/>
        <w:ind w:firstLine="480"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六、投标保证金</w:t>
      </w:r>
    </w:p>
    <w:p w14:paraId="66BB569F">
      <w:pPr>
        <w:spacing w:before="120" w:beforeLines="50" w:after="120" w:afterLines="50"/>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本次招标项目</w:t>
      </w:r>
      <w:r>
        <w:rPr>
          <w:rFonts w:hint="eastAsia" w:ascii="宋体" w:hAnsi="宋体" w:cs="宋体"/>
          <w:b/>
          <w:bCs/>
          <w:color w:val="auto"/>
          <w:sz w:val="24"/>
          <w:szCs w:val="24"/>
          <w:highlight w:val="none"/>
        </w:rPr>
        <w:t>不收取</w:t>
      </w:r>
      <w:r>
        <w:rPr>
          <w:rFonts w:hint="eastAsia" w:ascii="宋体" w:hAnsi="宋体" w:cs="宋体"/>
          <w:color w:val="auto"/>
          <w:sz w:val="24"/>
          <w:szCs w:val="24"/>
          <w:highlight w:val="none"/>
        </w:rPr>
        <w:t>投标保证金。</w:t>
      </w:r>
    </w:p>
    <w:p w14:paraId="3BF70454">
      <w:pPr>
        <w:spacing w:before="120" w:beforeLines="50" w:after="120" w:afterLines="50"/>
        <w:ind w:firstLine="480"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七、</w:t>
      </w:r>
      <w:bookmarkStart w:id="12" w:name="_Toc214612912"/>
      <w:bookmarkStart w:id="13" w:name="_Toc211033425"/>
      <w:r>
        <w:rPr>
          <w:rFonts w:hint="eastAsia" w:ascii="宋体" w:hAnsi="宋体" w:cs="宋体"/>
          <w:b/>
          <w:color w:val="auto"/>
          <w:sz w:val="24"/>
          <w:szCs w:val="24"/>
          <w:highlight w:val="none"/>
        </w:rPr>
        <w:t>公告期限</w:t>
      </w:r>
      <w:bookmarkEnd w:id="12"/>
      <w:bookmarkEnd w:id="13"/>
    </w:p>
    <w:p w14:paraId="0E6DD9F1">
      <w:pPr>
        <w:spacing w:before="120" w:beforeLines="50" w:after="120" w:afterLines="50"/>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自招标公告发布之日起5个工作日</w:t>
      </w:r>
    </w:p>
    <w:p w14:paraId="274EBAB5">
      <w:pPr>
        <w:spacing w:before="120" w:beforeLines="50" w:after="120" w:afterLines="50"/>
        <w:ind w:firstLine="480" w:firstLineChars="200"/>
        <w:rPr>
          <w:rFonts w:hint="eastAsia" w:ascii="宋体" w:hAnsi="宋体" w:cs="宋体"/>
          <w:b/>
          <w:color w:val="auto"/>
          <w:sz w:val="24"/>
          <w:szCs w:val="24"/>
          <w:highlight w:val="none"/>
        </w:rPr>
      </w:pPr>
      <w:bookmarkStart w:id="14" w:name="_Toc214612913"/>
      <w:bookmarkStart w:id="15" w:name="_Toc116802036"/>
      <w:r>
        <w:rPr>
          <w:rFonts w:hint="eastAsia" w:ascii="宋体" w:hAnsi="宋体" w:cs="宋体"/>
          <w:b/>
          <w:color w:val="auto"/>
          <w:sz w:val="24"/>
          <w:szCs w:val="24"/>
          <w:highlight w:val="none"/>
        </w:rPr>
        <w:t>八、其他补充事宜</w:t>
      </w:r>
      <w:bookmarkEnd w:id="14"/>
      <w:bookmarkEnd w:id="15"/>
    </w:p>
    <w:p w14:paraId="125D8886">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政策文件。</w:t>
      </w:r>
    </w:p>
    <w:p w14:paraId="294B3D32">
      <w:pPr>
        <w:spacing w:before="120" w:beforeLines="50" w:after="120" w:afterLines="50"/>
        <w:ind w:firstLine="480"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九、项目联系信息</w:t>
      </w:r>
    </w:p>
    <w:p w14:paraId="467769B3">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采购人信息</w:t>
      </w:r>
    </w:p>
    <w:p w14:paraId="6E1EDD41">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名称：南京医科大学</w:t>
      </w:r>
    </w:p>
    <w:p w14:paraId="311AEFAA">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地址：</w:t>
      </w:r>
      <w:bookmarkStart w:id="16" w:name="_Hlk153870315"/>
      <w:r>
        <w:rPr>
          <w:rFonts w:hint="eastAsia" w:ascii="宋体" w:hAnsi="宋体" w:cs="宋体"/>
          <w:color w:val="auto"/>
          <w:sz w:val="24"/>
          <w:szCs w:val="24"/>
          <w:highlight w:val="none"/>
        </w:rPr>
        <w:t>南京市江宁区龙眠大道101号</w:t>
      </w:r>
      <w:bookmarkEnd w:id="16"/>
    </w:p>
    <w:p w14:paraId="62205859">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联系人：马老师</w:t>
      </w:r>
    </w:p>
    <w:p w14:paraId="680C237F">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联系方式：025-86868572</w:t>
      </w:r>
    </w:p>
    <w:p w14:paraId="34BAAAF6">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2.采购代理机构信息</w:t>
      </w:r>
    </w:p>
    <w:p w14:paraId="783D6173">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名称：江苏汉唐国际贸易集团有限公司</w:t>
      </w:r>
    </w:p>
    <w:p w14:paraId="65D080EC">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地址：南京市玄武区北京东路22号和平大厦1810室</w:t>
      </w:r>
    </w:p>
    <w:p w14:paraId="0AEEB93A">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联系方式：025-86975797</w:t>
      </w:r>
    </w:p>
    <w:p w14:paraId="0344913C">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联系人：苍盛、王梦珂、徐琳、唐虹</w:t>
      </w:r>
    </w:p>
    <w:p w14:paraId="78844FE2">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邮箱：jshtzb18@sina.com</w:t>
      </w:r>
    </w:p>
    <w:p w14:paraId="06F98DF0">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3.项目联系方式</w:t>
      </w:r>
    </w:p>
    <w:p w14:paraId="2EC6EBE8">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项目联系人：苍盛、王梦珂、徐琳、唐虹</w:t>
      </w:r>
    </w:p>
    <w:p w14:paraId="2054F435">
      <w:pPr>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电话：025-86975797</w:t>
      </w:r>
    </w:p>
    <w:bookmarkEnd w:id="1"/>
    <w:bookmarkEnd w:id="2"/>
    <w:bookmarkEnd w:id="3"/>
    <w:bookmarkEnd w:id="4"/>
    <w:bookmarkEnd w:id="5"/>
    <w:bookmarkEnd w:id="6"/>
    <w:bookmarkEnd w:id="7"/>
    <w:bookmarkEnd w:id="8"/>
    <w:bookmarkEnd w:id="9"/>
    <w:p w14:paraId="1312E5C7">
      <w:pPr>
        <w:widowControl w:val="0"/>
        <w:adjustRightInd/>
        <w:snapToGrid/>
        <w:spacing w:after="160" w:line="278" w:lineRule="auto"/>
        <w:jc w:val="center"/>
        <w:rPr>
          <w:rFonts w:hint="eastAsia" w:ascii="宋体" w:hAnsi="宋体" w:eastAsia="宋体" w:cs="宋体"/>
          <w:b/>
          <w:bCs/>
          <w:kern w:val="0"/>
          <w:sz w:val="44"/>
          <w:szCs w:val="44"/>
          <w:lang w:eastAsia="zh-CN"/>
          <w14:ligatures w14:val="standardContextual"/>
        </w:rPr>
      </w:pPr>
    </w:p>
    <w:p w14:paraId="7D15D7D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62A7F9"/>
    <w:multiLevelType w:val="singleLevel"/>
    <w:tmpl w:val="C962A7F9"/>
    <w:lvl w:ilvl="0" w:tentative="0">
      <w:start w:val="1"/>
      <w:numFmt w:val="decimal"/>
      <w:suff w:val="nothing"/>
      <w:lvlText w:val="（%1）"/>
      <w:lvlJc w:val="left"/>
    </w:lvl>
  </w:abstractNum>
  <w:abstractNum w:abstractNumId="1">
    <w:nsid w:val="51B33254"/>
    <w:multiLevelType w:val="singleLevel"/>
    <w:tmpl w:val="51B33254"/>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C893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unhideWhenUsed/>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2026-08-28T07:36:37Z</dcterms:created>
  <dc:creator>苍</dc:creator>
  <cp:lastModifiedBy>苍盛</cp:lastModifiedBy>
  <dcterms:modified xsi:type="dcterms:W3CDTF">2026-08-28T07:38:35Z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eyJoZGlkIjoiNmMxOTFjNTVkNmFjMGE3YmUyMWIzZDVhZGVmNGUyZDQiLCJ1c2VySWQiOiI1ODkxNjMwMTYifQ==</vt:lpwstr>
  </property>
  <property fmtid="{D5CDD505-2E9C-101B-9397-08002B2CF9AE}" pid="4" name="ICV">
    <vt:lpwstr>F7CB6EED174E43E2965F43B2E42784DE_12</vt:lpwstr>
  </property>
</Properties>
</file>