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insoku/>
        <w:wordWrap/>
        <w:overflowPunct/>
        <w:topLinePunct w:val="0"/>
        <w:bidi w:val="0"/>
        <w:spacing w:before="0" w:after="0" w:line="360" w:lineRule="auto"/>
        <w:jc w:val="center"/>
        <w:rPr>
          <w:rFonts w:ascii="宋体" w:hAnsi="宋体" w:eastAsia="宋体" w:cs="宋体"/>
          <w:b w:val="0"/>
          <w:highlight w:val="none"/>
        </w:rPr>
      </w:pPr>
      <w:bookmarkStart w:id="0" w:name="_Toc28359027"/>
      <w:bookmarkStart w:id="1" w:name="_Toc28359104"/>
      <w:bookmarkStart w:id="2" w:name="_Toc35393645"/>
      <w:bookmarkStart w:id="3" w:name="_Toc35393814"/>
      <w:r>
        <w:rPr>
          <w:rFonts w:hint="eastAsia" w:ascii="宋体" w:hAnsi="宋体" w:eastAsia="宋体" w:cs="宋体"/>
          <w:highlight w:val="none"/>
        </w:rPr>
        <w:t>南京医科大学5G教学云平台更正公告</w:t>
      </w:r>
    </w:p>
    <w:p>
      <w:pPr>
        <w:pStyle w:val="6"/>
        <w:kinsoku/>
        <w:wordWrap/>
        <w:overflowPunct/>
        <w:topLinePunct w:val="0"/>
        <w:bidi w:val="0"/>
        <w:spacing w:before="100" w:after="100" w:line="360" w:lineRule="auto"/>
        <w:rPr>
          <w:rFonts w:ascii="宋体" w:hAnsi="宋体" w:eastAsia="宋体" w:cs="宋体"/>
          <w:bCs w:val="0"/>
          <w:sz w:val="24"/>
          <w:szCs w:val="24"/>
          <w:highlight w:val="none"/>
        </w:rPr>
      </w:pPr>
      <w:r>
        <w:rPr>
          <w:rFonts w:hint="eastAsia" w:ascii="宋体" w:hAnsi="宋体" w:eastAsia="宋体" w:cs="宋体"/>
          <w:bCs w:val="0"/>
          <w:sz w:val="24"/>
          <w:szCs w:val="24"/>
          <w:highlight w:val="none"/>
        </w:rPr>
        <w:t>一、基本情况</w:t>
      </w:r>
      <w:bookmarkEnd w:id="0"/>
      <w:bookmarkEnd w:id="1"/>
      <w:bookmarkEnd w:id="2"/>
      <w:bookmarkEnd w:id="3"/>
    </w:p>
    <w:p>
      <w:pPr>
        <w:kinsoku/>
        <w:wordWrap/>
        <w:overflowPunct/>
        <w:topLinePunct w:val="0"/>
        <w:bidi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原公告的采购项目编号：NJMUZB3012022158</w:t>
      </w:r>
    </w:p>
    <w:p>
      <w:pPr>
        <w:kinsoku/>
        <w:wordWrap/>
        <w:overflowPunct/>
        <w:topLinePunct w:val="0"/>
        <w:bidi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原公告的采购项目名称：南京医科大学5G教学云平台购置</w:t>
      </w:r>
    </w:p>
    <w:p>
      <w:pPr>
        <w:kinsoku/>
        <w:wordWrap/>
        <w:overflowPunct/>
        <w:topLinePunct w:val="0"/>
        <w:bidi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首次公告日期：2022年11月25日</w:t>
      </w:r>
    </w:p>
    <w:p>
      <w:pPr>
        <w:pStyle w:val="6"/>
        <w:kinsoku/>
        <w:wordWrap/>
        <w:overflowPunct/>
        <w:topLinePunct w:val="0"/>
        <w:bidi w:val="0"/>
        <w:spacing w:before="100" w:after="100" w:line="360" w:lineRule="auto"/>
        <w:rPr>
          <w:rFonts w:ascii="宋体" w:hAnsi="宋体" w:eastAsia="宋体" w:cs="宋体"/>
          <w:bCs w:val="0"/>
          <w:sz w:val="24"/>
          <w:szCs w:val="24"/>
          <w:highlight w:val="none"/>
        </w:rPr>
      </w:pPr>
      <w:bookmarkStart w:id="4" w:name="_Toc35393646"/>
      <w:bookmarkStart w:id="5" w:name="_Toc28359105"/>
      <w:bookmarkStart w:id="6" w:name="_Toc35393815"/>
      <w:bookmarkStart w:id="7" w:name="_Toc28359028"/>
      <w:r>
        <w:rPr>
          <w:rFonts w:hint="eastAsia" w:ascii="宋体" w:hAnsi="宋体" w:eastAsia="宋体" w:cs="宋体"/>
          <w:bCs w:val="0"/>
          <w:sz w:val="24"/>
          <w:szCs w:val="24"/>
          <w:highlight w:val="none"/>
        </w:rPr>
        <w:t>二、更正信息</w:t>
      </w:r>
      <w:bookmarkEnd w:id="4"/>
      <w:bookmarkEnd w:id="5"/>
      <w:bookmarkEnd w:id="6"/>
      <w:bookmarkEnd w:id="7"/>
    </w:p>
    <w:p>
      <w:pPr>
        <w:kinsoku/>
        <w:wordWrap/>
        <w:overflowPunct/>
        <w:topLinePunct w:val="0"/>
        <w:bidi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更正事项：☑采购文件</w:t>
      </w:r>
    </w:p>
    <w:p>
      <w:pPr>
        <w:kinsoku/>
        <w:wordWrap/>
        <w:overflowPunct/>
        <w:topLinePunct w:val="0"/>
        <w:bidi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原内容：</w:t>
      </w:r>
      <w:bookmarkStart w:id="8" w:name="_Toc35393816"/>
      <w:bookmarkStart w:id="9" w:name="_Toc35393647"/>
      <w:bookmarkStart w:id="20" w:name="_GoBack"/>
      <w:bookmarkEnd w:id="20"/>
    </w:p>
    <w:p>
      <w:pPr>
        <w:pStyle w:val="5"/>
        <w:keepNext w:val="0"/>
        <w:pageBreakBefore/>
        <w:kinsoku/>
        <w:wordWrap/>
        <w:overflowPunct/>
        <w:topLinePunct w:val="0"/>
        <w:bidi w:val="0"/>
        <w:spacing w:line="360" w:lineRule="auto"/>
        <w:rPr>
          <w:rFonts w:asciiTheme="minorEastAsia" w:hAnsiTheme="minorEastAsia" w:eastAsiaTheme="minorEastAsia"/>
          <w:sz w:val="24"/>
          <w:szCs w:val="24"/>
          <w:highlight w:val="none"/>
        </w:rPr>
      </w:pPr>
      <w:bookmarkStart w:id="10" w:name="_Toc523931347"/>
      <w:r>
        <w:rPr>
          <w:rFonts w:hint="eastAsia" w:asciiTheme="minorEastAsia" w:hAnsiTheme="minorEastAsia" w:eastAsiaTheme="minorEastAsia"/>
          <w:b w:val="0"/>
          <w:highlight w:val="none"/>
        </w:rPr>
        <w:t>第三章   项目需求</w:t>
      </w:r>
      <w:bookmarkEnd w:id="10"/>
    </w:p>
    <w:p>
      <w:pPr>
        <w:widowControl/>
        <w:numPr>
          <w:ilvl w:val="0"/>
          <w:numId w:val="1"/>
        </w:numPr>
        <w:kinsoku/>
        <w:wordWrap/>
        <w:overflowPunct/>
        <w:topLinePunct w:val="0"/>
        <w:bidi w:val="0"/>
        <w:adjustRightInd w:val="0"/>
        <w:snapToGrid w:val="0"/>
        <w:spacing w:after="200" w:line="360" w:lineRule="auto"/>
        <w:jc w:val="left"/>
        <w:rPr>
          <w:rFonts w:ascii="宋体" w:hAnsi="宋体" w:eastAsia="宋体" w:cs="宋体"/>
          <w:b/>
          <w:bCs/>
          <w:sz w:val="24"/>
          <w:szCs w:val="24"/>
          <w:highlight w:val="none"/>
        </w:rPr>
      </w:pPr>
      <w:r>
        <w:rPr>
          <w:rFonts w:hint="eastAsia" w:ascii="宋体" w:hAnsi="宋体" w:eastAsia="宋体" w:cs="宋体"/>
          <w:b/>
          <w:bCs/>
          <w:sz w:val="24"/>
          <w:szCs w:val="24"/>
          <w:highlight w:val="none"/>
        </w:rPr>
        <w:t>技术参数</w:t>
      </w:r>
    </w:p>
    <w:p>
      <w:pPr>
        <w:kinsoku/>
        <w:wordWrap/>
        <w:overflowPunct/>
        <w:topLinePunct w:val="0"/>
        <w:bidi w:val="0"/>
        <w:spacing w:before="100" w:beforeAutospacing="1" w:after="100" w:afterAutospacing="1" w:line="360" w:lineRule="auto"/>
        <w:ind w:firstLine="240" w:firstLineChars="100"/>
        <w:rPr>
          <w:rFonts w:ascii="宋体" w:hAnsi="宋体" w:eastAsia="宋体" w:cstheme="minorBidi"/>
          <w:bCs/>
          <w:sz w:val="24"/>
          <w:szCs w:val="24"/>
          <w:highlight w:val="none"/>
        </w:rPr>
      </w:pPr>
      <w:r>
        <w:rPr>
          <w:rFonts w:hint="eastAsia" w:ascii="宋体" w:hAnsi="宋体" w:eastAsia="宋体"/>
          <w:bCs/>
          <w:sz w:val="24"/>
          <w:szCs w:val="24"/>
          <w:highlight w:val="none"/>
        </w:rPr>
        <w:t>1.最高转速不低于14,000rpm；最大离心力不低于20,000 g；最大容量：满足20个以上15mL和50mL离心管离心需求；</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2. 具备自动识别转子、限速控制和转子失衡控制等功能，确保离心安全</w:t>
      </w:r>
    </w:p>
    <w:p>
      <w:pPr>
        <w:kinsoku/>
        <w:wordWrap/>
        <w:overflowPunct/>
        <w:topLinePunct w:val="0"/>
        <w:bidi w:val="0"/>
        <w:spacing w:before="100" w:beforeAutospacing="1" w:after="100" w:afterAutospacing="1" w:line="360" w:lineRule="auto"/>
        <w:rPr>
          <w:rFonts w:ascii="宋体" w:hAnsi="宋体" w:eastAsia="宋体"/>
          <w:bCs/>
          <w:sz w:val="24"/>
          <w:szCs w:val="24"/>
          <w:highlight w:val="none"/>
        </w:rPr>
      </w:pPr>
      <w:r>
        <w:rPr>
          <w:rFonts w:hint="eastAsia" w:ascii="宋体" w:hAnsi="宋体" w:eastAsia="宋体"/>
          <w:bCs/>
          <w:sz w:val="24"/>
          <w:szCs w:val="24"/>
          <w:highlight w:val="none"/>
        </w:rPr>
        <w:t>▲3. 铝合金材质转子,导热性好，保护温度敏感性样品；离心力不小于20000g；离心角度45°，使样品聚集在离心管底部</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4. 温度范围：-9°C～+40 °C；达到最高转速时，转子温度持续保持在4°C，温度精度±1°C</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5．有待机制冷功能，确保离心前后和最大转速时，敏感样品都维持低温状态</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6．单独的瞬时离心按键，按住即可根据所需转速离心，可连续离心</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7．单独快速预冷按键，可快速预冷转子和离心机，预冷舱体时间≤15分钟</w:t>
      </w:r>
    </w:p>
    <w:p>
      <w:pPr>
        <w:kinsoku/>
        <w:wordWrap/>
        <w:overflowPunct/>
        <w:topLinePunct w:val="0"/>
        <w:bidi w:val="0"/>
        <w:spacing w:before="100" w:beforeAutospacing="1" w:after="100" w:afterAutospacing="1" w:line="360" w:lineRule="auto"/>
        <w:rPr>
          <w:rFonts w:ascii="宋体" w:hAnsi="宋体" w:eastAsia="宋体"/>
          <w:bCs/>
          <w:sz w:val="24"/>
          <w:szCs w:val="24"/>
          <w:highlight w:val="none"/>
        </w:rPr>
      </w:pPr>
      <w:r>
        <w:rPr>
          <w:rFonts w:hint="eastAsia" w:ascii="宋体" w:hAnsi="宋体" w:eastAsia="宋体"/>
          <w:bCs/>
          <w:sz w:val="24"/>
          <w:szCs w:val="24"/>
          <w:highlight w:val="none"/>
        </w:rPr>
        <w:t>▲8. 具有冷凝水槽，冷凝水可以自动排出，避免冷凝水腐蚀腔体</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9.具有定速计时功能，可在达到预设转速时才开始计时，确保离心可重复性</w:t>
      </w:r>
    </w:p>
    <w:p>
      <w:pPr>
        <w:kinsoku/>
        <w:wordWrap/>
        <w:overflowPunct/>
        <w:topLinePunct w:val="0"/>
        <w:bidi w:val="0"/>
        <w:spacing w:before="100" w:beforeAutospacing="1" w:after="100" w:afterAutospacing="1" w:line="360" w:lineRule="auto"/>
        <w:rPr>
          <w:rFonts w:ascii="宋体" w:hAnsi="宋体" w:eastAsia="宋体"/>
          <w:bCs/>
          <w:sz w:val="24"/>
          <w:szCs w:val="24"/>
          <w:highlight w:val="none"/>
        </w:rPr>
      </w:pPr>
      <w:r>
        <w:rPr>
          <w:rFonts w:hint="eastAsia" w:ascii="宋体" w:hAnsi="宋体" w:eastAsia="宋体"/>
          <w:bCs/>
          <w:sz w:val="24"/>
          <w:szCs w:val="24"/>
          <w:highlight w:val="none"/>
        </w:rPr>
        <w:t>▲10．10级加速和10级减速来保护敏感样本，能满足Ficoll密度梯度离心的要求</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11．所有适配器、转子、吊篮均可高温高压灭菌(121°C条件下≥20分钟)</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12. 离心机须配有水平转头和15mL和50mL适配器</w:t>
      </w:r>
    </w:p>
    <w:p>
      <w:pPr>
        <w:kinsoku/>
        <w:wordWrap/>
        <w:overflowPunct/>
        <w:topLinePunct w:val="0"/>
        <w:bidi w:val="0"/>
        <w:spacing w:line="360" w:lineRule="auto"/>
        <w:rPr>
          <w:rFonts w:ascii="宋体" w:hAnsi="宋体" w:eastAsia="宋体" w:cs="宋体"/>
          <w:b/>
          <w:bCs/>
          <w:sz w:val="24"/>
          <w:szCs w:val="24"/>
          <w:highlight w:val="none"/>
        </w:rPr>
      </w:pPr>
      <w:bookmarkStart w:id="11" w:name="_Toc401414769"/>
      <w:r>
        <w:rPr>
          <w:rFonts w:hint="eastAsia" w:ascii="宋体" w:hAnsi="宋体" w:eastAsia="宋体" w:cs="宋体"/>
          <w:b/>
          <w:bCs/>
          <w:sz w:val="24"/>
          <w:szCs w:val="24"/>
          <w:highlight w:val="none"/>
        </w:rPr>
        <w:t>二、服务要求</w:t>
      </w:r>
    </w:p>
    <w:p>
      <w:pPr>
        <w:kinsoku/>
        <w:wordWrap/>
        <w:overflowPunct/>
        <w:topLinePunct w:val="0"/>
        <w:bidi w:val="0"/>
        <w:spacing w:before="100" w:beforeAutospacing="1" w:after="100" w:afterAutospacing="1" w:line="360" w:lineRule="auto"/>
        <w:ind w:firstLine="240" w:firstLineChars="100"/>
        <w:rPr>
          <w:rFonts w:ascii="宋体" w:hAnsi="宋体" w:eastAsia="宋体" w:cstheme="minorBidi"/>
          <w:bCs/>
          <w:sz w:val="24"/>
          <w:szCs w:val="24"/>
          <w:highlight w:val="none"/>
        </w:rPr>
      </w:pPr>
      <w:r>
        <w:rPr>
          <w:rFonts w:hint="eastAsia" w:ascii="宋体" w:hAnsi="宋体" w:eastAsia="宋体"/>
          <w:bCs/>
          <w:sz w:val="24"/>
          <w:szCs w:val="24"/>
          <w:highlight w:val="none"/>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pPr>
        <w:kinsoku/>
        <w:wordWrap/>
        <w:overflowPunct/>
        <w:topLinePunct w:val="0"/>
        <w:bidi w:val="0"/>
        <w:spacing w:before="100" w:beforeAutospacing="1" w:after="100" w:afterAutospacing="1" w:line="360" w:lineRule="auto"/>
        <w:ind w:left="76" w:leftChars="36" w:firstLine="120" w:firstLineChars="50"/>
        <w:rPr>
          <w:rFonts w:ascii="宋体" w:hAnsi="宋体" w:eastAsia="宋体"/>
          <w:bCs/>
          <w:sz w:val="24"/>
          <w:szCs w:val="24"/>
          <w:highlight w:val="none"/>
        </w:rPr>
      </w:pPr>
      <w:r>
        <w:rPr>
          <w:rFonts w:hint="eastAsia" w:ascii="宋体" w:hAnsi="宋体" w:eastAsia="宋体"/>
          <w:bCs/>
          <w:sz w:val="24"/>
          <w:szCs w:val="24"/>
          <w:highlight w:val="none"/>
        </w:rPr>
        <w:t>2.保修期：免费质保期1年，终身维修，自验收合格次日起算，并提供相关承诺书。质保期内发生任何设备损坏，所需要的维修费用（包括零部件费用、维修费用）均由卖方承担（人为操作不当造成的损坏除外）。</w:t>
      </w:r>
    </w:p>
    <w:p>
      <w:pPr>
        <w:kinsoku/>
        <w:wordWrap/>
        <w:overflowPunct/>
        <w:topLinePunct w:val="0"/>
        <w:bidi w:val="0"/>
        <w:spacing w:before="100" w:beforeAutospacing="1" w:after="100" w:afterAutospacing="1" w:line="360" w:lineRule="auto"/>
        <w:ind w:left="76" w:leftChars="36" w:firstLine="120" w:firstLineChars="50"/>
        <w:rPr>
          <w:rFonts w:ascii="宋体" w:hAnsi="宋体" w:eastAsia="宋体"/>
          <w:bCs/>
          <w:sz w:val="24"/>
          <w:szCs w:val="24"/>
          <w:highlight w:val="none"/>
        </w:rPr>
      </w:pPr>
      <w:r>
        <w:rPr>
          <w:rFonts w:hint="eastAsia" w:ascii="宋体" w:hAnsi="宋体" w:eastAsia="宋体"/>
          <w:bCs/>
          <w:sz w:val="24"/>
          <w:szCs w:val="24"/>
          <w:highlight w:val="none"/>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kinsoku/>
        <w:wordWrap/>
        <w:overflowPunct/>
        <w:topLinePunct w:val="0"/>
        <w:bidi w:val="0"/>
        <w:spacing w:before="100" w:beforeAutospacing="1" w:after="100" w:afterAutospacing="1" w:line="360" w:lineRule="auto"/>
        <w:ind w:left="76" w:leftChars="36" w:firstLine="120" w:firstLineChars="50"/>
        <w:rPr>
          <w:rFonts w:ascii="宋体" w:hAnsi="宋体" w:eastAsia="宋体"/>
          <w:bCs/>
          <w:sz w:val="24"/>
          <w:szCs w:val="24"/>
          <w:highlight w:val="none"/>
        </w:rPr>
      </w:pPr>
      <w:r>
        <w:rPr>
          <w:rFonts w:hint="eastAsia" w:ascii="宋体" w:hAnsi="宋体" w:eastAsia="宋体"/>
          <w:bCs/>
          <w:sz w:val="24"/>
          <w:szCs w:val="24"/>
          <w:highlight w:val="none"/>
        </w:rPr>
        <w:t>4.卖方免费提供由专业工程师现场指导的移机服务，并安装、调试。</w:t>
      </w:r>
    </w:p>
    <w:p>
      <w:pPr>
        <w:kinsoku/>
        <w:wordWrap/>
        <w:overflowPunct/>
        <w:topLinePunct w:val="0"/>
        <w:bidi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三、安装要求</w:t>
      </w:r>
    </w:p>
    <w:p>
      <w:pPr>
        <w:kinsoku/>
        <w:wordWrap/>
        <w:overflowPunct/>
        <w:topLinePunct w:val="0"/>
        <w:bidi w:val="0"/>
        <w:spacing w:line="360" w:lineRule="auto"/>
        <w:ind w:left="304" w:leftChars="145"/>
        <w:rPr>
          <w:rFonts w:ascii="宋体" w:hAnsi="宋体" w:eastAsia="宋体" w:cstheme="minorBidi"/>
          <w:bCs/>
          <w:sz w:val="24"/>
          <w:szCs w:val="24"/>
          <w:highlight w:val="none"/>
        </w:rPr>
      </w:pPr>
      <w:r>
        <w:rPr>
          <w:rFonts w:hint="eastAsia" w:ascii="宋体" w:hAnsi="宋体" w:eastAsia="宋体"/>
          <w:bCs/>
          <w:sz w:val="24"/>
          <w:szCs w:val="24"/>
          <w:highlight w:val="none"/>
        </w:rPr>
        <w:t>1.按照国家现行行业规范标准进行安装，符合国家或行业质量检验评定标准，没有行业标准的产品，投标人应提供相关制造商标准。</w:t>
      </w:r>
    </w:p>
    <w:p>
      <w:pPr>
        <w:kinsoku/>
        <w:wordWrap/>
        <w:overflowPunct/>
        <w:topLinePunct w:val="0"/>
        <w:bidi w:val="0"/>
        <w:spacing w:line="360" w:lineRule="auto"/>
        <w:ind w:left="304" w:leftChars="145"/>
        <w:rPr>
          <w:rFonts w:ascii="宋体" w:hAnsi="宋体" w:eastAsia="宋体"/>
          <w:bCs/>
          <w:sz w:val="24"/>
          <w:szCs w:val="24"/>
          <w:highlight w:val="none"/>
        </w:rPr>
      </w:pPr>
      <w:r>
        <w:rPr>
          <w:rFonts w:hint="eastAsia" w:ascii="宋体" w:hAnsi="宋体" w:eastAsia="宋体"/>
          <w:bCs/>
          <w:sz w:val="24"/>
          <w:szCs w:val="24"/>
          <w:highlight w:val="none"/>
        </w:rPr>
        <w:t>2.设备安装调试：仪器到货后，卖方在接到通知的7个工作日内派人前往负责该设备的安装、调试和操作培训，直至达到各项验收指标合格。</w:t>
      </w:r>
    </w:p>
    <w:p>
      <w:pPr>
        <w:kinsoku/>
        <w:wordWrap/>
        <w:overflowPunct/>
        <w:topLinePunct w:val="0"/>
        <w:bidi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四、交货期、交货方式及交货地点</w:t>
      </w:r>
    </w:p>
    <w:p>
      <w:pPr>
        <w:kinsoku/>
        <w:wordWrap/>
        <w:overflowPunct/>
        <w:topLinePunct w:val="0"/>
        <w:bidi w:val="0"/>
        <w:spacing w:line="360" w:lineRule="auto"/>
        <w:ind w:firstLine="240" w:firstLineChars="100"/>
        <w:rPr>
          <w:rFonts w:ascii="宋体" w:hAnsi="宋体" w:eastAsia="宋体" w:cstheme="minorBidi"/>
          <w:bCs/>
          <w:sz w:val="24"/>
          <w:szCs w:val="24"/>
          <w:highlight w:val="none"/>
        </w:rPr>
      </w:pPr>
      <w:r>
        <w:rPr>
          <w:rFonts w:hint="eastAsia" w:ascii="宋体" w:hAnsi="宋体" w:eastAsia="宋体"/>
          <w:bCs/>
          <w:sz w:val="24"/>
          <w:szCs w:val="24"/>
          <w:highlight w:val="none"/>
        </w:rPr>
        <w:t>1. 交货期：合同签订生效后，进口设备（免税）三个月内、国产设备及进口设备（非免税）一个月内全部设备、材料运抵现场，并安装、调试结束，验收合格，交付买方使用</w:t>
      </w:r>
    </w:p>
    <w:p>
      <w:pPr>
        <w:kinsoku/>
        <w:wordWrap/>
        <w:overflowPunct/>
        <w:topLinePunct w:val="0"/>
        <w:bidi w:val="0"/>
        <w:spacing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2. 交货方式：中标人在买方指定地点交货，并完成安装、调试。</w:t>
      </w:r>
    </w:p>
    <w:p>
      <w:pPr>
        <w:kinsoku/>
        <w:wordWrap/>
        <w:overflowPunct/>
        <w:topLinePunct w:val="0"/>
        <w:bidi w:val="0"/>
        <w:spacing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3. 交货地点：南京医科大学。</w:t>
      </w:r>
    </w:p>
    <w:p>
      <w:pPr>
        <w:kinsoku/>
        <w:wordWrap/>
        <w:overflowPunct/>
        <w:topLinePunct w:val="0"/>
        <w:bidi w:val="0"/>
        <w:spacing w:before="100" w:beforeAutospacing="1" w:after="100" w:afterAutospacing="1" w:line="360" w:lineRule="auto"/>
        <w:ind w:firstLine="240" w:firstLineChars="100"/>
        <w:rPr>
          <w:rFonts w:ascii="宋体" w:hAnsi="宋体" w:eastAsia="宋体"/>
          <w:bCs/>
          <w:sz w:val="24"/>
          <w:szCs w:val="24"/>
          <w:highlight w:val="none"/>
        </w:rPr>
      </w:pPr>
      <w:r>
        <w:rPr>
          <w:rFonts w:hint="eastAsia" w:ascii="宋体" w:hAnsi="宋体" w:eastAsia="宋体"/>
          <w:bCs/>
          <w:sz w:val="24"/>
          <w:szCs w:val="24"/>
          <w:highlight w:val="none"/>
        </w:rPr>
        <w:t>4.交付使用要同时向采购人提供详细的技术文件、安装记录等，同时提供两份产品使用说明书。</w:t>
      </w:r>
    </w:p>
    <w:p>
      <w:pPr>
        <w:kinsoku/>
        <w:wordWrap/>
        <w:overflowPunct/>
        <w:topLinePunct w:val="0"/>
        <w:bidi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五、其他技术服务需求：</w:t>
      </w:r>
    </w:p>
    <w:p>
      <w:pPr>
        <w:kinsoku/>
        <w:wordWrap/>
        <w:overflowPunct/>
        <w:topLinePunct w:val="0"/>
        <w:bidi w:val="0"/>
        <w:spacing w:before="100" w:beforeAutospacing="1" w:after="100" w:afterAutospacing="1" w:line="360" w:lineRule="auto"/>
        <w:ind w:firstLine="120" w:firstLineChars="50"/>
        <w:rPr>
          <w:rFonts w:ascii="宋体" w:hAnsi="宋体" w:eastAsia="宋体" w:cstheme="minorBidi"/>
          <w:bCs/>
          <w:sz w:val="24"/>
          <w:szCs w:val="24"/>
          <w:highlight w:val="none"/>
        </w:rPr>
      </w:pPr>
      <w:r>
        <w:rPr>
          <w:rFonts w:hint="eastAsia" w:ascii="宋体" w:hAnsi="宋体" w:eastAsia="宋体"/>
          <w:bCs/>
          <w:sz w:val="24"/>
          <w:szCs w:val="24"/>
          <w:highlight w:val="none"/>
        </w:rPr>
        <w:t>1.供应商须保证本次投标产品系优质材料和先进工艺制成新出厂的产品，且完全与投标文件所述相符。</w:t>
      </w:r>
    </w:p>
    <w:p>
      <w:pPr>
        <w:pStyle w:val="15"/>
        <w:kinsoku/>
        <w:wordWrap/>
        <w:overflowPunct/>
        <w:topLinePunct w:val="0"/>
        <w:bidi w:val="0"/>
        <w:spacing w:line="360" w:lineRule="auto"/>
        <w:ind w:firstLine="480"/>
        <w:rPr>
          <w:rFonts w:ascii="宋体" w:hAnsi="宋体" w:eastAsia="宋体"/>
          <w:bCs/>
          <w:sz w:val="24"/>
          <w:szCs w:val="24"/>
          <w:highlight w:val="none"/>
        </w:rPr>
      </w:pPr>
      <w:r>
        <w:rPr>
          <w:rFonts w:hint="eastAsia" w:ascii="宋体" w:hAnsi="宋体" w:eastAsia="宋体"/>
          <w:bCs/>
          <w:sz w:val="24"/>
          <w:szCs w:val="24"/>
          <w:highlight w:val="none"/>
        </w:rPr>
        <w:t>2、交付使用前发生的产品硬件损坏和不合格，一律退换新品。在质保期开始前三个月内，若发生产品损坏和性能不合格（非使用不当原因造成），除采购人同意修理者外，亦应退换新品。</w:t>
      </w:r>
    </w:p>
    <w:p>
      <w:pPr>
        <w:kinsoku/>
        <w:wordWrap/>
        <w:overflowPunct/>
        <w:topLinePunct w:val="0"/>
        <w:bidi w:val="0"/>
        <w:spacing w:line="360" w:lineRule="auto"/>
        <w:rPr>
          <w:rFonts w:ascii="宋体" w:hAnsi="宋体" w:eastAsia="宋体" w:cs="宋体"/>
          <w:b/>
          <w:bCs/>
          <w:sz w:val="24"/>
          <w:szCs w:val="24"/>
          <w:highlight w:val="none"/>
        </w:rPr>
      </w:pPr>
      <w:r>
        <w:rPr>
          <w:rFonts w:hint="eastAsia" w:ascii="宋体" w:hAnsi="宋体" w:eastAsia="宋体" w:cs="宋体"/>
          <w:b/>
          <w:bCs/>
          <w:sz w:val="24"/>
          <w:szCs w:val="24"/>
          <w:highlight w:val="none"/>
        </w:rPr>
        <w:t>六、货款支付</w:t>
      </w:r>
    </w:p>
    <w:p>
      <w:pPr>
        <w:pStyle w:val="15"/>
        <w:kinsoku/>
        <w:wordWrap/>
        <w:overflowPunct/>
        <w:topLinePunct w:val="0"/>
        <w:bidi w:val="0"/>
        <w:spacing w:line="360" w:lineRule="auto"/>
        <w:ind w:firstLine="480"/>
        <w:rPr>
          <w:rFonts w:ascii="宋体" w:hAnsi="宋体" w:eastAsia="宋体"/>
          <w:bCs/>
          <w:sz w:val="24"/>
          <w:szCs w:val="24"/>
          <w:highlight w:val="none"/>
        </w:rPr>
      </w:pPr>
      <w:r>
        <w:rPr>
          <w:rFonts w:hint="eastAsia" w:ascii="宋体" w:hAnsi="宋体" w:eastAsia="宋体"/>
          <w:bCs/>
          <w:sz w:val="24"/>
          <w:szCs w:val="24"/>
          <w:highlight w:val="none"/>
        </w:rPr>
        <w:t xml:space="preserve">1、（进口设备-免税）：采购人与外贸代理公司进行价款结算，合同签订后，由外贸代理公司开具90%信用证，使用部门借款支付90%的货款给外贸公司，待货到验收合格后，支付余下的10%货款给外贸公司。 </w:t>
      </w:r>
    </w:p>
    <w:p>
      <w:pPr>
        <w:pStyle w:val="15"/>
        <w:kinsoku/>
        <w:wordWrap/>
        <w:overflowPunct/>
        <w:topLinePunct w:val="0"/>
        <w:bidi w:val="0"/>
        <w:spacing w:line="360" w:lineRule="auto"/>
        <w:ind w:firstLine="480"/>
        <w:rPr>
          <w:rFonts w:ascii="宋体" w:hAnsi="宋体" w:eastAsia="宋体"/>
          <w:bCs/>
          <w:sz w:val="24"/>
          <w:szCs w:val="24"/>
          <w:highlight w:val="none"/>
        </w:rPr>
      </w:pPr>
      <w:r>
        <w:rPr>
          <w:rFonts w:hint="eastAsia" w:ascii="宋体" w:hAnsi="宋体" w:eastAsia="宋体"/>
          <w:bCs/>
          <w:sz w:val="24"/>
          <w:szCs w:val="24"/>
          <w:highlight w:val="none"/>
        </w:rPr>
        <w:t>2、（国产设备及进口设备-非免税）：货物交付且安装、调试后，并通过验收后一周内使用方支付合同总金额的90%，付款之前需收到中标方开具的合法有效的相应金额发票；自验收合格日起，使用方正常使用满一年后的一周内，支付剩余合同总金额的10%。</w:t>
      </w:r>
    </w:p>
    <w:p>
      <w:pPr>
        <w:pStyle w:val="5"/>
        <w:keepNext w:val="0"/>
        <w:kinsoku/>
        <w:wordWrap/>
        <w:overflowPunct/>
        <w:topLinePunct w:val="0"/>
        <w:bidi w:val="0"/>
        <w:spacing w:line="360" w:lineRule="auto"/>
        <w:ind w:firstLine="880" w:firstLineChars="200"/>
        <w:rPr>
          <w:rFonts w:ascii="宋体" w:eastAsia="宋体"/>
          <w:highlight w:val="none"/>
        </w:rPr>
      </w:pPr>
      <w:bookmarkStart w:id="12" w:name="_Toc523931348"/>
      <w:r>
        <w:rPr>
          <w:rFonts w:hint="eastAsia" w:ascii="宋体" w:eastAsia="宋体"/>
          <w:b w:val="0"/>
          <w:bCs w:val="0"/>
          <w:highlight w:val="none"/>
        </w:rPr>
        <w:t>第四章  评标方法与评标标准</w:t>
      </w:r>
      <w:bookmarkEnd w:id="12"/>
    </w:p>
    <w:p>
      <w:pPr>
        <w:kinsoku/>
        <w:wordWrap/>
        <w:overflowPunct/>
        <w:topLinePunct w:val="0"/>
        <w:bidi w:val="0"/>
        <w:spacing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一、评标方法与定标原则</w:t>
      </w:r>
    </w:p>
    <w:p>
      <w:pPr>
        <w:pStyle w:val="16"/>
        <w:kinsoku/>
        <w:wordWrap/>
        <w:overflowPunct/>
        <w:topLinePunct w:val="0"/>
        <w:bidi w:val="0"/>
        <w:spacing w:line="360" w:lineRule="auto"/>
        <w:ind w:firstLineChars="200"/>
        <w:rPr>
          <w:rFonts w:asciiTheme="minorEastAsia" w:hAnsiTheme="minorEastAsia" w:eastAsiaTheme="minorEastAsia"/>
          <w:b/>
          <w:highlight w:val="none"/>
        </w:rPr>
      </w:pPr>
      <w:r>
        <w:rPr>
          <w:rFonts w:hint="eastAsia" w:asciiTheme="minorEastAsia" w:hAnsiTheme="minorEastAsia" w:eastAsiaTheme="minorEastAsia"/>
          <w:bCs/>
          <w:highlight w:val="none"/>
        </w:rPr>
        <w:t>评委会将对确定为实质性响应招标文件要求的投标文件进行评价和比较，评标采用综合评分法。</w:t>
      </w:r>
      <w:r>
        <w:rPr>
          <w:rFonts w:hint="eastAsia" w:cs="Arial" w:asciiTheme="minorEastAsia" w:hAnsiTheme="minorEastAsia" w:eastAsiaTheme="minorEastAsia"/>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insoku/>
        <w:wordWrap/>
        <w:overflowPunct/>
        <w:topLinePunct w:val="0"/>
        <w:bidi w:val="0"/>
        <w:spacing w:line="360" w:lineRule="auto"/>
        <w:ind w:firstLine="482" w:firstLineChars="20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二、评标标准</w:t>
      </w:r>
    </w:p>
    <w:p>
      <w:pPr>
        <w:kinsoku/>
        <w:wordWrap/>
        <w:overflowPunct/>
        <w:topLinePunct w:val="0"/>
        <w:bidi w:val="0"/>
        <w:spacing w:line="360" w:lineRule="auto"/>
        <w:ind w:firstLine="480" w:firstLineChars="200"/>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本项目采用综合评分法确定中标候选人。评标委员会将按下列评分办法和标准进行评分，总分值为100分。</w:t>
      </w:r>
    </w:p>
    <w:bookmarkEnd w:id="11"/>
    <w:tbl>
      <w:tblPr>
        <w:tblStyle w:val="11"/>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9"/>
        <w:gridCol w:w="653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6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微软雅黑" w:hAnsi="微软雅黑" w:cs="微软雅黑"/>
                <w:b/>
                <w:sz w:val="22"/>
                <w:szCs w:val="21"/>
                <w:highlight w:val="none"/>
              </w:rPr>
            </w:pPr>
            <w:r>
              <w:rPr>
                <w:rFonts w:hint="eastAsia" w:ascii="微软雅黑" w:hAnsi="微软雅黑" w:cs="微软雅黑"/>
                <w:b/>
                <w:szCs w:val="21"/>
                <w:highlight w:val="none"/>
              </w:rPr>
              <w:t>序号</w:t>
            </w:r>
          </w:p>
        </w:tc>
        <w:tc>
          <w:tcPr>
            <w:tcW w:w="15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微软雅黑" w:hAnsi="微软雅黑" w:cs="微软雅黑"/>
                <w:b/>
                <w:sz w:val="22"/>
                <w:szCs w:val="21"/>
                <w:highlight w:val="none"/>
              </w:rPr>
            </w:pPr>
            <w:r>
              <w:rPr>
                <w:rFonts w:hint="eastAsia" w:ascii="微软雅黑" w:hAnsi="微软雅黑" w:cs="微软雅黑"/>
                <w:b/>
                <w:szCs w:val="21"/>
                <w:highlight w:val="none"/>
              </w:rPr>
              <w:t>评分因素</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微软雅黑" w:hAnsi="微软雅黑" w:cs="微软雅黑"/>
                <w:b/>
                <w:sz w:val="22"/>
                <w:szCs w:val="21"/>
                <w:highlight w:val="none"/>
              </w:rPr>
            </w:pPr>
            <w:r>
              <w:rPr>
                <w:rFonts w:hint="eastAsia" w:ascii="微软雅黑" w:hAnsi="微软雅黑" w:cs="微软雅黑"/>
                <w:b/>
                <w:szCs w:val="21"/>
                <w:highlight w:val="none"/>
              </w:rPr>
              <w:t>评审细则</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微软雅黑" w:hAnsi="微软雅黑" w:cs="微软雅黑"/>
                <w:b/>
                <w:sz w:val="22"/>
                <w:szCs w:val="21"/>
                <w:highlight w:val="none"/>
              </w:rPr>
            </w:pPr>
            <w:r>
              <w:rPr>
                <w:rFonts w:hint="eastAsia" w:ascii="微软雅黑" w:hAnsi="微软雅黑" w:cs="微软雅黑"/>
                <w:b/>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1</w:t>
            </w:r>
          </w:p>
        </w:tc>
        <w:tc>
          <w:tcPr>
            <w:tcW w:w="15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价格</w:t>
            </w:r>
          </w:p>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（30分）</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本次招标，以进入详细评审的各投标人评标价的最低值为A值，A值为价格分的满分，即30分。其他投标人的价格分统一按照以下公式计算：投标人评标价得分=（A／该投标人评标价）×30。（保留小数点后两位）</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2</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技术能力</w:t>
            </w:r>
          </w:p>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（47分）</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评委可根据供应商所投产品的先进性、匹配性、可靠性、稳定性以及质量、性能情况打分。</w:t>
            </w:r>
          </w:p>
          <w:p>
            <w:pPr>
              <w:kinsoku/>
              <w:wordWrap/>
              <w:overflowPunct/>
              <w:topLinePunct w:val="0"/>
              <w:bidi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产品性能非常优越、与采购需求匹配性高、产品质量稳定性及可靠性非常优越的得5分;</w:t>
            </w:r>
          </w:p>
          <w:p>
            <w:pPr>
              <w:kinsoku/>
              <w:wordWrap/>
              <w:overflowPunct/>
              <w:topLinePunct w:val="0"/>
              <w:bidi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产品性能优越、与采购需求较匹配、产品质量稳定性及可靠性优越的得3分；</w:t>
            </w:r>
          </w:p>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产品性能一般、与采购需求匹配度较差、产品质量稳定性及可靠性较好的得1分。</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rPr>
                <w:rFonts w:ascii="宋体" w:hAnsi="宋体" w:eastAsia="宋体" w:cs="宋体"/>
                <w:sz w:val="24"/>
                <w:szCs w:val="24"/>
                <w:highlight w:val="none"/>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rPr>
                <w:rFonts w:ascii="宋体" w:hAnsi="宋体" w:eastAsia="宋体" w:cs="宋体"/>
                <w:sz w:val="24"/>
                <w:szCs w:val="24"/>
                <w:highlight w:val="none"/>
              </w:rPr>
            </w:pP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根据投标人技术参数响应情况评分。“▲”的为重要技术指标，出现一个负偏离扣7分；其他一般技术指标出现负偏离，每一个扣5分；扣完为止。投标人须对照招标技术参数要求逐条列出并对比。“▲”技术参数需提供技术支持资料（如生产厂家印制的产品样本或说明书，如样本或说明书无法体现本次招标要求的功能或技术参数，则须提供由设备生产厂家加盖公章的功能或技术参数文件原件），否则评标委员会可以认定其所投产品相应技术参数为负偏离</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3</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服务</w:t>
            </w:r>
          </w:p>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（14分）</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售后服务：售后服务体系、售后服务人员、售后服务承诺、售后服务应答及处理时间，质保期内的售后服务范围、质保期满后的售后服务范等情况进行综合打分。</w:t>
            </w:r>
          </w:p>
          <w:p>
            <w:pPr>
              <w:kinsoku/>
              <w:wordWrap/>
              <w:overflowPunct/>
              <w:topLinePunct w:val="0"/>
              <w:bidi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1、售后服务体系健全的和售后服务承诺切实可行的并且售后服务响应优于招标文件要求的、质保期内的售后服务和质保期满后的售后服务内容优的得10分；</w:t>
            </w:r>
          </w:p>
          <w:p>
            <w:pPr>
              <w:kinsoku/>
              <w:wordWrap/>
              <w:overflowPunct/>
              <w:topLinePunct w:val="0"/>
              <w:bidi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2、售后服务体系较健全的和售后服务承诺可行的并且售后服务响应较优于招标文件要求的、质保期内的售后服务和质保期满后的售后服务内容较好的得6分；</w:t>
            </w:r>
          </w:p>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3、没有完整的售后服务体系，售后服务承没有实质性内容，售后服务响应基本满足招标文件要求的得2分。</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rPr>
                <w:rFonts w:ascii="宋体" w:hAnsi="宋体" w:eastAsia="宋体" w:cs="宋体"/>
                <w:sz w:val="24"/>
                <w:szCs w:val="24"/>
                <w:highlight w:val="none"/>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rPr>
                <w:rFonts w:ascii="宋体" w:hAnsi="宋体" w:eastAsia="宋体" w:cs="宋体"/>
                <w:sz w:val="24"/>
                <w:szCs w:val="24"/>
                <w:highlight w:val="none"/>
              </w:rPr>
            </w:pP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培训：提供的买方操作、维护人员的培训方案及计划完全满足采购方的需求得4分，培训方案简单、无具体培训计划的得0-1分。</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4</w:t>
            </w:r>
          </w:p>
        </w:tc>
        <w:tc>
          <w:tcPr>
            <w:tcW w:w="15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交货期（2分）</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在满足招标文件要求的基础上由评委综合评比，交货期最短的得2分，次短的得1分，其余不得分。</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5</w:t>
            </w:r>
          </w:p>
        </w:tc>
        <w:tc>
          <w:tcPr>
            <w:tcW w:w="15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业绩（4分）</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投标人2017年01月01日以来的类似项目业绩（以合同签订时间为准），每提供一个得2分，最高得4分。（提供有效的加盖公章的合同复印件）</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6</w:t>
            </w:r>
          </w:p>
        </w:tc>
        <w:tc>
          <w:tcPr>
            <w:tcW w:w="152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响应文件</w:t>
            </w:r>
          </w:p>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完整性（3分）</w:t>
            </w:r>
          </w:p>
        </w:tc>
        <w:tc>
          <w:tcPr>
            <w:tcW w:w="653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rPr>
                <w:rFonts w:ascii="宋体" w:hAnsi="宋体" w:eastAsia="宋体" w:cs="宋体"/>
                <w:sz w:val="24"/>
                <w:szCs w:val="24"/>
                <w:highlight w:val="none"/>
              </w:rPr>
            </w:pPr>
            <w:r>
              <w:rPr>
                <w:rFonts w:hint="eastAsia" w:ascii="宋体" w:hAnsi="宋体" w:eastAsia="宋体" w:cs="宋体"/>
                <w:sz w:val="24"/>
                <w:szCs w:val="24"/>
                <w:highlight w:val="none"/>
              </w:rPr>
              <w:t>根据投标人制作的投标文件的响应情况、按招标文件规定的顺序装订是否规范、技术服务内容是否齐全、正确目录索引是否利于评委评审、查阅等进行酌情打分。</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43" w:type="dxa"/>
            <w:gridSpan w:val="3"/>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t>合计</w:t>
            </w:r>
          </w:p>
        </w:tc>
        <w:tc>
          <w:tcPr>
            <w:tcW w:w="869" w:type="dxa"/>
            <w:tcBorders>
              <w:top w:val="single" w:color="auto" w:sz="4" w:space="0"/>
              <w:left w:val="single" w:color="auto" w:sz="4" w:space="0"/>
              <w:bottom w:val="single" w:color="auto" w:sz="4" w:space="0"/>
              <w:right w:val="single" w:color="auto" w:sz="4"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Cs/>
                <w:sz w:val="24"/>
                <w:szCs w:val="24"/>
                <w:highlight w:val="none"/>
              </w:rPr>
            </w:pPr>
            <w:r>
              <w:rPr>
                <w:rFonts w:hint="eastAsia" w:ascii="宋体" w:hAnsi="宋体" w:eastAsia="宋体" w:cs="宋体"/>
                <w:bCs/>
                <w:sz w:val="24"/>
                <w:szCs w:val="24"/>
                <w:highlight w:val="none"/>
              </w:rPr>
              <w:fldChar w:fldCharType="begin"/>
            </w:r>
            <w:r>
              <w:rPr>
                <w:rFonts w:hint="eastAsia" w:ascii="宋体" w:hAnsi="宋体" w:eastAsia="宋体" w:cs="宋体"/>
                <w:bCs/>
                <w:sz w:val="24"/>
                <w:szCs w:val="24"/>
                <w:highlight w:val="none"/>
              </w:rPr>
              <w:instrText xml:space="preserve"> =SUM(ABOVE) \* MERGEFORMAT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100</w:t>
            </w:r>
            <w:r>
              <w:rPr>
                <w:rFonts w:hint="eastAsia" w:ascii="宋体" w:hAnsi="宋体" w:eastAsia="宋体" w:cs="宋体"/>
                <w:bCs/>
                <w:sz w:val="24"/>
                <w:szCs w:val="24"/>
                <w:highlight w:val="none"/>
              </w:rPr>
              <w:fldChar w:fldCharType="end"/>
            </w:r>
          </w:p>
        </w:tc>
      </w:tr>
    </w:tbl>
    <w:p>
      <w:pPr>
        <w:kinsoku/>
        <w:wordWrap/>
        <w:overflowPunct/>
        <w:topLinePunct w:val="0"/>
        <w:bidi w:val="0"/>
        <w:spacing w:line="360" w:lineRule="auto"/>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 xml:space="preserve">第六章  </w:t>
      </w:r>
      <w:r>
        <w:rPr>
          <w:rFonts w:hint="eastAsia" w:ascii="宋体" w:hAnsi="宋体" w:eastAsia="宋体" w:cs="宋体"/>
          <w:b/>
          <w:sz w:val="44"/>
          <w:szCs w:val="44"/>
          <w:highlight w:val="none"/>
        </w:rPr>
        <w:t>拟签订的合同文本</w:t>
      </w:r>
    </w:p>
    <w:p>
      <w:pPr>
        <w:pStyle w:val="7"/>
        <w:kinsoku/>
        <w:wordWrap/>
        <w:overflowPunct/>
        <w:topLinePunct w:val="0"/>
        <w:bidi w:val="0"/>
        <w:spacing w:line="360" w:lineRule="auto"/>
        <w:ind w:left="1320" w:leftChars="0"/>
        <w:rPr>
          <w:rFonts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8"/>
        <w:kinsoku/>
        <w:wordWrap/>
        <w:overflowPunct/>
        <w:topLinePunct w:val="0"/>
        <w:bidi w:val="0"/>
        <w:spacing w:before="120" w:after="120" w:line="360" w:lineRule="auto"/>
        <w:rPr>
          <w:rFonts w:hAnsi="宋体" w:cs="宋体"/>
          <w:sz w:val="24"/>
          <w:szCs w:val="24"/>
          <w:highlight w:val="none"/>
          <w:u w:val="single"/>
        </w:rPr>
      </w:pPr>
      <w:r>
        <w:rPr>
          <w:rFonts w:hint="eastAsia" w:hAnsi="宋体" w:cs="宋体"/>
          <w:sz w:val="24"/>
          <w:szCs w:val="24"/>
          <w:highlight w:val="none"/>
        </w:rPr>
        <w:t>甲方：（买方）</w:t>
      </w:r>
      <w:r>
        <w:rPr>
          <w:rFonts w:hint="eastAsia" w:hAnsi="宋体" w:cs="宋体"/>
          <w:sz w:val="24"/>
          <w:szCs w:val="24"/>
          <w:highlight w:val="none"/>
          <w:u w:val="single"/>
        </w:rPr>
        <w:t>南京医科大学</w:t>
      </w:r>
      <w:r>
        <w:rPr>
          <w:rFonts w:hint="eastAsia" w:hAnsi="宋体" w:cs="宋体"/>
          <w:sz w:val="24"/>
          <w:szCs w:val="24"/>
          <w:highlight w:val="none"/>
        </w:rPr>
        <w:t xml:space="preserve">           乙方：（卖方）</w:t>
      </w:r>
      <w:r>
        <w:rPr>
          <w:rFonts w:hint="eastAsia" w:hAnsi="宋体" w:cs="宋体"/>
          <w:sz w:val="24"/>
          <w:szCs w:val="24"/>
          <w:highlight w:val="none"/>
          <w:u w:val="single"/>
        </w:rPr>
        <w:t xml:space="preserve">               </w:t>
      </w:r>
    </w:p>
    <w:p>
      <w:pPr>
        <w:pStyle w:val="8"/>
        <w:kinsoku/>
        <w:wordWrap/>
        <w:overflowPunct/>
        <w:topLinePunct w:val="0"/>
        <w:bidi w:val="0"/>
        <w:spacing w:before="120" w:after="120" w:line="360" w:lineRule="auto"/>
        <w:rPr>
          <w:rFonts w:hAnsi="宋体" w:cs="宋体"/>
          <w:sz w:val="24"/>
          <w:szCs w:val="24"/>
          <w:highlight w:val="none"/>
          <w:u w:val="single"/>
        </w:rPr>
      </w:pPr>
      <w:r>
        <w:rPr>
          <w:rFonts w:hint="eastAsia" w:hAnsi="宋体" w:cs="宋体"/>
          <w:sz w:val="24"/>
          <w:szCs w:val="24"/>
          <w:highlight w:val="none"/>
        </w:rPr>
        <w:t>地址：</w:t>
      </w:r>
      <w:r>
        <w:rPr>
          <w:rFonts w:hint="eastAsia" w:hAnsi="宋体" w:cs="宋体"/>
          <w:sz w:val="24"/>
          <w:szCs w:val="24"/>
          <w:highlight w:val="none"/>
          <w:u w:val="single"/>
        </w:rPr>
        <w:t xml:space="preserve">                    </w:t>
      </w:r>
      <w:r>
        <w:rPr>
          <w:rFonts w:hint="eastAsia" w:hAnsi="宋体" w:cs="宋体"/>
          <w:sz w:val="24"/>
          <w:szCs w:val="24"/>
          <w:highlight w:val="none"/>
        </w:rPr>
        <w:t xml:space="preserve">           地址：</w:t>
      </w:r>
      <w:r>
        <w:rPr>
          <w:rFonts w:hint="eastAsia" w:hAnsi="宋体" w:cs="宋体"/>
          <w:sz w:val="24"/>
          <w:szCs w:val="24"/>
          <w:highlight w:val="none"/>
          <w:u w:val="single"/>
        </w:rPr>
        <w:t xml:space="preserve">                       </w:t>
      </w:r>
    </w:p>
    <w:p>
      <w:pPr>
        <w:pStyle w:val="8"/>
        <w:kinsoku/>
        <w:wordWrap/>
        <w:overflowPunct/>
        <w:topLinePunct w:val="0"/>
        <w:bidi w:val="0"/>
        <w:spacing w:before="120" w:after="120" w:line="360" w:lineRule="auto"/>
        <w:rPr>
          <w:rFonts w:hAnsi="宋体" w:cs="宋体"/>
          <w:sz w:val="24"/>
          <w:szCs w:val="24"/>
          <w:highlight w:val="none"/>
        </w:rPr>
      </w:pPr>
      <w:r>
        <w:rPr>
          <w:rFonts w:hint="eastAsia" w:hAnsi="宋体" w:cs="宋体"/>
          <w:sz w:val="24"/>
          <w:szCs w:val="24"/>
          <w:highlight w:val="none"/>
        </w:rPr>
        <w:t>联系方式：</w:t>
      </w:r>
      <w:r>
        <w:rPr>
          <w:rFonts w:hint="eastAsia" w:hAnsi="宋体" w:cs="宋体"/>
          <w:sz w:val="24"/>
          <w:szCs w:val="24"/>
          <w:highlight w:val="none"/>
          <w:u w:val="single"/>
        </w:rPr>
        <w:t xml:space="preserve">                </w:t>
      </w:r>
      <w:r>
        <w:rPr>
          <w:rFonts w:hint="eastAsia" w:hAnsi="宋体" w:cs="宋体"/>
          <w:sz w:val="24"/>
          <w:szCs w:val="24"/>
          <w:highlight w:val="none"/>
        </w:rPr>
        <w:t xml:space="preserve">           联系方式：</w:t>
      </w:r>
      <w:r>
        <w:rPr>
          <w:rFonts w:hint="eastAsia" w:hAnsi="宋体" w:cs="宋体"/>
          <w:sz w:val="24"/>
          <w:szCs w:val="24"/>
          <w:highlight w:val="none"/>
          <w:u w:val="single"/>
        </w:rPr>
        <w:t xml:space="preserve">                   </w:t>
      </w:r>
    </w:p>
    <w:p>
      <w:pPr>
        <w:kinsoku/>
        <w:wordWrap/>
        <w:overflowPunct/>
        <w:topLinePunct w:val="0"/>
        <w:autoSpaceDE w:val="0"/>
        <w:autoSpaceDN w:val="0"/>
        <w:bidi w:val="0"/>
        <w:spacing w:line="360" w:lineRule="auto"/>
        <w:ind w:right="-210" w:rightChars="-100"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甲、乙双方根据</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项目（项目编号：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）公开招标的结果及采购文件的要求，本着自愿及平等互利的原则，就甲方向乙方购买本合同约定的货物事宜，经协商一致签署本合同。</w:t>
      </w:r>
    </w:p>
    <w:p>
      <w:pPr>
        <w:pStyle w:val="7"/>
        <w:kinsoku/>
        <w:wordWrap/>
        <w:overflowPunct/>
        <w:topLinePunct w:val="0"/>
        <w:bidi w:val="0"/>
        <w:spacing w:line="360" w:lineRule="auto"/>
        <w:ind w:left="0" w:leftChars="0" w:firstLine="241" w:firstLineChars="100"/>
        <w:rPr>
          <w:rFonts w:ascii="宋体" w:hAnsi="宋体" w:eastAsia="宋体" w:cs="宋体"/>
          <w:b/>
          <w:bCs/>
          <w:sz w:val="24"/>
          <w:szCs w:val="24"/>
          <w:highlight w:val="none"/>
        </w:rPr>
      </w:pPr>
      <w:r>
        <w:rPr>
          <w:rFonts w:hint="eastAsia" w:ascii="宋体" w:hAnsi="宋体" w:eastAsia="宋体" w:cs="宋体"/>
          <w:b/>
          <w:bCs/>
          <w:sz w:val="24"/>
          <w:szCs w:val="24"/>
          <w:highlight w:val="none"/>
        </w:rPr>
        <w:t>签订时间：       年      月      日</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一、货物内容、数量及金额</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9"/>
        <w:gridCol w:w="992"/>
        <w:gridCol w:w="992"/>
        <w:gridCol w:w="1417"/>
        <w:gridCol w:w="753"/>
        <w:gridCol w:w="1138"/>
        <w:gridCol w:w="1387"/>
        <w:gridCol w:w="956"/>
        <w:gridCol w:w="1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6" w:hRule="atLeast"/>
          <w:jc w:val="center"/>
        </w:trPr>
        <w:tc>
          <w:tcPr>
            <w:tcW w:w="709" w:type="dxa"/>
            <w:tcBorders>
              <w:top w:val="single" w:color="auto" w:sz="18" w:space="0"/>
              <w:left w:val="single" w:color="auto" w:sz="18" w:space="0"/>
              <w:bottom w:val="single" w:color="auto" w:sz="18" w:space="0"/>
              <w:right w:val="single" w:color="auto" w:sz="8" w:space="0"/>
            </w:tcBorders>
            <w:shd w:val="pct10" w:color="auto" w:fill="FFFFFF"/>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编号</w:t>
            </w:r>
          </w:p>
        </w:tc>
        <w:tc>
          <w:tcPr>
            <w:tcW w:w="1984" w:type="dxa"/>
            <w:gridSpan w:val="2"/>
            <w:tcBorders>
              <w:top w:val="single" w:color="auto" w:sz="18" w:space="0"/>
              <w:left w:val="single" w:color="auto" w:sz="8" w:space="0"/>
              <w:bottom w:val="single" w:color="auto" w:sz="18" w:space="0"/>
              <w:right w:val="single" w:color="auto" w:sz="8" w:space="0"/>
            </w:tcBorders>
            <w:shd w:val="pct10" w:color="auto" w:fill="FFFFFF"/>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货物名称</w:t>
            </w:r>
          </w:p>
        </w:tc>
        <w:tc>
          <w:tcPr>
            <w:tcW w:w="1417" w:type="dxa"/>
            <w:tcBorders>
              <w:top w:val="single" w:color="auto" w:sz="18" w:space="0"/>
              <w:left w:val="single" w:color="auto" w:sz="8" w:space="0"/>
              <w:bottom w:val="single" w:color="auto" w:sz="18" w:space="0"/>
              <w:right w:val="single" w:color="auto" w:sz="8" w:space="0"/>
            </w:tcBorders>
            <w:shd w:val="pct10" w:color="auto" w:fill="FFFFFF"/>
            <w:vAlign w:val="center"/>
          </w:tcPr>
          <w:p>
            <w:pPr>
              <w:kinsoku/>
              <w:wordWrap/>
              <w:overflowPunct/>
              <w:topLinePunct w:val="0"/>
              <w:bidi w:val="0"/>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规格型号</w:t>
            </w:r>
          </w:p>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（品牌）</w:t>
            </w:r>
          </w:p>
        </w:tc>
        <w:tc>
          <w:tcPr>
            <w:tcW w:w="753" w:type="dxa"/>
            <w:tcBorders>
              <w:top w:val="single" w:color="auto" w:sz="18" w:space="0"/>
              <w:left w:val="single" w:color="auto" w:sz="8" w:space="0"/>
              <w:bottom w:val="single" w:color="auto" w:sz="18" w:space="0"/>
              <w:right w:val="single" w:color="auto" w:sz="8" w:space="0"/>
            </w:tcBorders>
            <w:shd w:val="pct10" w:color="auto" w:fill="FFFFFF"/>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1138" w:type="dxa"/>
            <w:tcBorders>
              <w:top w:val="single" w:color="auto" w:sz="18" w:space="0"/>
              <w:left w:val="single" w:color="auto" w:sz="8" w:space="0"/>
              <w:bottom w:val="single" w:color="auto" w:sz="18" w:space="0"/>
              <w:right w:val="single" w:color="auto" w:sz="8" w:space="0"/>
            </w:tcBorders>
            <w:shd w:val="pct10" w:color="auto" w:fill="FFFFFF"/>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单价（元）</w:t>
            </w:r>
          </w:p>
        </w:tc>
        <w:tc>
          <w:tcPr>
            <w:tcW w:w="1387" w:type="dxa"/>
            <w:tcBorders>
              <w:top w:val="single" w:color="auto" w:sz="18" w:space="0"/>
              <w:left w:val="single" w:color="auto" w:sz="8" w:space="0"/>
              <w:bottom w:val="single" w:color="auto" w:sz="18" w:space="0"/>
              <w:right w:val="single" w:color="auto" w:sz="8" w:space="0"/>
            </w:tcBorders>
            <w:shd w:val="pct10" w:color="auto" w:fill="FFFFFF"/>
            <w:vAlign w:val="center"/>
          </w:tcPr>
          <w:p>
            <w:pPr>
              <w:kinsoku/>
              <w:wordWrap/>
              <w:overflowPunct/>
              <w:topLinePunct w:val="0"/>
              <w:bidi w:val="0"/>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总价</w:t>
            </w:r>
          </w:p>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（元）</w:t>
            </w:r>
          </w:p>
        </w:tc>
        <w:tc>
          <w:tcPr>
            <w:tcW w:w="956" w:type="dxa"/>
            <w:tcBorders>
              <w:top w:val="single" w:color="auto" w:sz="18" w:space="0"/>
              <w:left w:val="single" w:color="auto" w:sz="8" w:space="0"/>
              <w:bottom w:val="single" w:color="auto" w:sz="18" w:space="0"/>
              <w:right w:val="single" w:color="auto" w:sz="8" w:space="0"/>
            </w:tcBorders>
            <w:shd w:val="pct10" w:color="auto" w:fill="FFFFFF"/>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免费质保期</w:t>
            </w:r>
          </w:p>
        </w:tc>
        <w:tc>
          <w:tcPr>
            <w:tcW w:w="1000" w:type="dxa"/>
            <w:tcBorders>
              <w:top w:val="single" w:color="auto" w:sz="18" w:space="0"/>
              <w:left w:val="single" w:color="auto" w:sz="8" w:space="0"/>
              <w:bottom w:val="single" w:color="auto" w:sz="18" w:space="0"/>
              <w:right w:val="single" w:color="auto" w:sz="18" w:space="0"/>
            </w:tcBorders>
            <w:shd w:val="pct10" w:color="auto" w:fill="FFFFFF"/>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安装调试时间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709" w:type="dxa"/>
            <w:tcBorders>
              <w:top w:val="single" w:color="auto" w:sz="18" w:space="0"/>
              <w:left w:val="single" w:color="auto" w:sz="1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1</w:t>
            </w:r>
          </w:p>
        </w:tc>
        <w:tc>
          <w:tcPr>
            <w:tcW w:w="1984" w:type="dxa"/>
            <w:gridSpan w:val="2"/>
            <w:tcBorders>
              <w:top w:val="single" w:color="auto" w:sz="1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417" w:type="dxa"/>
            <w:tcBorders>
              <w:top w:val="single" w:color="auto" w:sz="1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753" w:type="dxa"/>
            <w:tcBorders>
              <w:top w:val="single" w:color="auto" w:sz="1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138" w:type="dxa"/>
            <w:tcBorders>
              <w:top w:val="single" w:color="auto" w:sz="1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387" w:type="dxa"/>
            <w:tcBorders>
              <w:top w:val="single" w:color="auto" w:sz="1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956" w:type="dxa"/>
            <w:tcBorders>
              <w:top w:val="single" w:color="auto" w:sz="1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000" w:type="dxa"/>
            <w:tcBorders>
              <w:top w:val="single" w:color="auto" w:sz="18" w:space="0"/>
              <w:left w:val="single" w:color="auto" w:sz="8" w:space="0"/>
              <w:bottom w:val="single" w:color="auto" w:sz="8" w:space="0"/>
              <w:right w:val="single" w:color="auto" w:sz="1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709" w:type="dxa"/>
            <w:tcBorders>
              <w:top w:val="single" w:color="auto" w:sz="8" w:space="0"/>
              <w:left w:val="single" w:color="auto" w:sz="1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2</w:t>
            </w:r>
          </w:p>
        </w:tc>
        <w:tc>
          <w:tcPr>
            <w:tcW w:w="1984" w:type="dxa"/>
            <w:gridSpan w:val="2"/>
            <w:tcBorders>
              <w:top w:val="single" w:color="auto" w:sz="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417" w:type="dxa"/>
            <w:tcBorders>
              <w:top w:val="single" w:color="auto" w:sz="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753" w:type="dxa"/>
            <w:tcBorders>
              <w:top w:val="single" w:color="auto" w:sz="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138" w:type="dxa"/>
            <w:tcBorders>
              <w:top w:val="single" w:color="auto" w:sz="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387" w:type="dxa"/>
            <w:tcBorders>
              <w:top w:val="single" w:color="auto" w:sz="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956" w:type="dxa"/>
            <w:tcBorders>
              <w:top w:val="single" w:color="auto" w:sz="8" w:space="0"/>
              <w:left w:val="single" w:color="auto" w:sz="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c>
          <w:tcPr>
            <w:tcW w:w="1000" w:type="dxa"/>
            <w:tcBorders>
              <w:top w:val="single" w:color="auto" w:sz="8" w:space="0"/>
              <w:left w:val="single" w:color="auto" w:sz="8" w:space="0"/>
              <w:bottom w:val="single" w:color="auto" w:sz="8" w:space="0"/>
              <w:right w:val="single" w:color="auto" w:sz="1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6" w:hRule="atLeast"/>
          <w:jc w:val="center"/>
        </w:trPr>
        <w:tc>
          <w:tcPr>
            <w:tcW w:w="9344" w:type="dxa"/>
            <w:gridSpan w:val="9"/>
            <w:tcBorders>
              <w:top w:val="single" w:color="auto" w:sz="8" w:space="0"/>
              <w:left w:val="single" w:color="auto" w:sz="18" w:space="0"/>
              <w:bottom w:val="single" w:color="auto" w:sz="8" w:space="0"/>
              <w:right w:val="single" w:color="auto" w:sz="1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合同总金额：人民币（大写）：                  元整（¥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08" w:hRule="atLeast"/>
          <w:jc w:val="center"/>
        </w:trPr>
        <w:tc>
          <w:tcPr>
            <w:tcW w:w="9344" w:type="dxa"/>
            <w:gridSpan w:val="9"/>
            <w:tcBorders>
              <w:top w:val="single" w:color="auto" w:sz="8" w:space="0"/>
              <w:left w:val="single" w:color="auto" w:sz="18" w:space="0"/>
              <w:bottom w:val="single" w:color="auto" w:sz="8" w:space="0"/>
              <w:right w:val="single" w:color="auto" w:sz="18" w:space="0"/>
            </w:tcBorders>
            <w:vAlign w:val="center"/>
          </w:tcPr>
          <w:p>
            <w:pPr>
              <w:kinsoku/>
              <w:wordWrap/>
              <w:overflowPunct/>
              <w:topLinePunct w:val="0"/>
              <w:bidi w:val="0"/>
              <w:adjustRightInd w:val="0"/>
              <w:snapToGrid w:val="0"/>
              <w:spacing w:after="200" w:line="360" w:lineRule="auto"/>
              <w:rPr>
                <w:rFonts w:ascii="宋体" w:hAnsi="宋体" w:eastAsia="宋体" w:cs="宋体"/>
                <w:b/>
                <w:sz w:val="24"/>
                <w:szCs w:val="24"/>
                <w:highlight w:val="none"/>
              </w:rPr>
            </w:pPr>
            <w:r>
              <w:rPr>
                <w:rFonts w:hint="eastAsia" w:ascii="宋体" w:hAnsi="宋体" w:eastAsia="宋体" w:cs="宋体"/>
                <w:b/>
                <w:sz w:val="24"/>
                <w:szCs w:val="24"/>
                <w:highlight w:val="none"/>
              </w:rPr>
              <w:t>本合同总价款是货物设计、制造、包装、仓储、运输、安装及验收合格之前以及保修期内备品备件发生的所有含税费用。本合同总价款还包含乙方应当提供的伴随服务/售后服务费用。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2" w:hRule="atLeast"/>
          <w:jc w:val="center"/>
        </w:trPr>
        <w:tc>
          <w:tcPr>
            <w:tcW w:w="1701" w:type="dxa"/>
            <w:gridSpan w:val="2"/>
            <w:tcBorders>
              <w:top w:val="single" w:color="auto" w:sz="8" w:space="0"/>
              <w:left w:val="single" w:color="auto" w:sz="18" w:space="0"/>
              <w:bottom w:val="single" w:color="auto" w:sz="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甲方</w:t>
            </w:r>
          </w:p>
        </w:tc>
        <w:tc>
          <w:tcPr>
            <w:tcW w:w="7643" w:type="dxa"/>
            <w:gridSpan w:val="7"/>
            <w:tcBorders>
              <w:top w:val="single" w:color="auto" w:sz="8" w:space="0"/>
              <w:left w:val="single" w:color="auto" w:sz="8" w:space="0"/>
              <w:bottom w:val="single" w:color="auto" w:sz="8" w:space="0"/>
              <w:right w:val="single" w:color="auto" w:sz="18" w:space="0"/>
            </w:tcBorders>
            <w:vAlign w:val="center"/>
          </w:tcPr>
          <w:p>
            <w:pPr>
              <w:kinsoku/>
              <w:wordWrap/>
              <w:overflowPunct/>
              <w:topLinePunct w:val="0"/>
              <w:bidi w:val="0"/>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联系人：</w:t>
            </w:r>
            <w:bookmarkStart w:id="13" w:name="Cus_Usr"/>
            <w:bookmarkEnd w:id="13"/>
          </w:p>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联系电话：</w:t>
            </w:r>
            <w:bookmarkStart w:id="14" w:name="Cus_Tel"/>
            <w:bookmarkEnd w:id="14"/>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701" w:type="dxa"/>
            <w:gridSpan w:val="2"/>
            <w:tcBorders>
              <w:top w:val="single" w:color="auto" w:sz="8" w:space="0"/>
              <w:left w:val="single" w:color="auto" w:sz="18" w:space="0"/>
              <w:bottom w:val="single" w:color="auto" w:sz="18" w:space="0"/>
              <w:right w:val="single" w:color="auto" w:sz="8" w:space="0"/>
            </w:tcBorders>
            <w:vAlign w:val="center"/>
          </w:tcPr>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乙方</w:t>
            </w:r>
          </w:p>
        </w:tc>
        <w:tc>
          <w:tcPr>
            <w:tcW w:w="7643" w:type="dxa"/>
            <w:gridSpan w:val="7"/>
            <w:tcBorders>
              <w:top w:val="single" w:color="auto" w:sz="8" w:space="0"/>
              <w:left w:val="single" w:color="auto" w:sz="8" w:space="0"/>
              <w:bottom w:val="single" w:color="auto" w:sz="18" w:space="0"/>
              <w:right w:val="single" w:color="auto" w:sz="18" w:space="0"/>
            </w:tcBorders>
            <w:vAlign w:val="center"/>
          </w:tcPr>
          <w:p>
            <w:pPr>
              <w:kinsoku/>
              <w:wordWrap/>
              <w:overflowPunct/>
              <w:topLinePunct w:val="0"/>
              <w:bidi w:val="0"/>
              <w:spacing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联系人：</w:t>
            </w:r>
          </w:p>
          <w:p>
            <w:pPr>
              <w:kinsoku/>
              <w:wordWrap/>
              <w:overflowPunct/>
              <w:topLinePunct w:val="0"/>
              <w:bidi w:val="0"/>
              <w:adjustRightInd w:val="0"/>
              <w:snapToGrid w:val="0"/>
              <w:spacing w:after="200" w:line="360" w:lineRule="auto"/>
              <w:jc w:val="center"/>
              <w:rPr>
                <w:rFonts w:ascii="宋体" w:hAnsi="宋体" w:eastAsia="宋体" w:cs="宋体"/>
                <w:b/>
                <w:sz w:val="24"/>
                <w:szCs w:val="24"/>
                <w:highlight w:val="none"/>
              </w:rPr>
            </w:pPr>
            <w:r>
              <w:rPr>
                <w:rFonts w:hint="eastAsia" w:ascii="宋体" w:hAnsi="宋体" w:eastAsia="宋体" w:cs="宋体"/>
                <w:b/>
                <w:sz w:val="24"/>
                <w:szCs w:val="24"/>
                <w:highlight w:val="none"/>
              </w:rPr>
              <w:t>联系电话：</w:t>
            </w:r>
          </w:p>
        </w:tc>
      </w:tr>
    </w:tbl>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二、结算方式</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2.1 结算方式：</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1、（进口设备-免税）：采购人与外贸代理公司进行价款结算，合同签订后，由外贸代理公司开具90%信用证，使用部门借款支付90%的货款给外贸公司，待货到验收合格后，支付余下的10%货款给外贸公司。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国产设备及进口设备-非免税）：货物交付且安装、调试后，并通过验收后一周内使用方支付合同总金额的90%，付款之前需收到中标方开具的合法有效的相应金额发票；自验收合格日起，使用方正常使用满一年后的一周内，支付剩余合同总金额的10%。</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2.3 乙方指定账户信息：</w:t>
      </w:r>
    </w:p>
    <w:p>
      <w:pPr>
        <w:pStyle w:val="8"/>
        <w:kinsoku/>
        <w:wordWrap/>
        <w:overflowPunct/>
        <w:topLinePunct w:val="0"/>
        <w:bidi w:val="0"/>
        <w:spacing w:before="120" w:after="120" w:line="360" w:lineRule="auto"/>
        <w:ind w:left="420" w:leftChars="200"/>
        <w:jc w:val="left"/>
        <w:rPr>
          <w:rFonts w:hAnsi="宋体" w:cs="宋体"/>
          <w:sz w:val="24"/>
          <w:szCs w:val="24"/>
          <w:highlight w:val="none"/>
          <w:u w:val="single"/>
        </w:rPr>
      </w:pPr>
      <w:r>
        <w:rPr>
          <w:rFonts w:hint="eastAsia" w:hAnsi="宋体" w:cs="宋体"/>
          <w:sz w:val="24"/>
          <w:szCs w:val="24"/>
          <w:highlight w:val="none"/>
        </w:rPr>
        <w:t>开户行：</w:t>
      </w:r>
      <w:r>
        <w:rPr>
          <w:rFonts w:hint="eastAsia" w:hAnsi="宋体" w:cs="宋体"/>
          <w:sz w:val="24"/>
          <w:szCs w:val="24"/>
          <w:highlight w:val="none"/>
          <w:u w:val="single"/>
        </w:rPr>
        <w:t xml:space="preserve">                    </w:t>
      </w:r>
    </w:p>
    <w:p>
      <w:pPr>
        <w:pStyle w:val="8"/>
        <w:kinsoku/>
        <w:wordWrap/>
        <w:overflowPunct/>
        <w:topLinePunct w:val="0"/>
        <w:bidi w:val="0"/>
        <w:spacing w:before="120" w:after="120" w:line="360" w:lineRule="auto"/>
        <w:ind w:left="420" w:leftChars="200"/>
        <w:jc w:val="left"/>
        <w:rPr>
          <w:rFonts w:hAnsi="宋体" w:cs="宋体"/>
          <w:sz w:val="24"/>
          <w:szCs w:val="24"/>
          <w:highlight w:val="none"/>
        </w:rPr>
      </w:pPr>
      <w:r>
        <w:rPr>
          <w:rFonts w:hint="eastAsia" w:hAnsi="宋体" w:cs="宋体"/>
          <w:sz w:val="24"/>
          <w:szCs w:val="24"/>
          <w:highlight w:val="none"/>
        </w:rPr>
        <w:t>户  名：</w:t>
      </w:r>
      <w:r>
        <w:rPr>
          <w:rFonts w:hint="eastAsia" w:hAnsi="宋体" w:cs="宋体"/>
          <w:sz w:val="24"/>
          <w:szCs w:val="24"/>
          <w:highlight w:val="none"/>
          <w:u w:val="single"/>
        </w:rPr>
        <w:t xml:space="preserve">                    </w:t>
      </w:r>
    </w:p>
    <w:p>
      <w:pPr>
        <w:pStyle w:val="8"/>
        <w:kinsoku/>
        <w:wordWrap/>
        <w:overflowPunct/>
        <w:topLinePunct w:val="0"/>
        <w:bidi w:val="0"/>
        <w:spacing w:before="120" w:after="120" w:line="360" w:lineRule="auto"/>
        <w:ind w:left="420" w:leftChars="200"/>
        <w:jc w:val="left"/>
        <w:rPr>
          <w:rFonts w:hAnsi="宋体" w:cs="宋体"/>
          <w:sz w:val="24"/>
          <w:szCs w:val="24"/>
          <w:highlight w:val="none"/>
        </w:rPr>
      </w:pPr>
      <w:r>
        <w:rPr>
          <w:rFonts w:hint="eastAsia" w:hAnsi="宋体" w:cs="宋体"/>
          <w:sz w:val="24"/>
          <w:szCs w:val="24"/>
          <w:highlight w:val="none"/>
        </w:rPr>
        <w:t>账  号：</w:t>
      </w:r>
      <w:r>
        <w:rPr>
          <w:rFonts w:hint="eastAsia" w:hAnsi="宋体" w:cs="宋体"/>
          <w:sz w:val="24"/>
          <w:szCs w:val="24"/>
          <w:highlight w:val="none"/>
          <w:u w:val="single"/>
        </w:rPr>
        <w:t xml:space="preserve">                    </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三、交付方式、时间及地点</w:t>
      </w:r>
    </w:p>
    <w:p>
      <w:pPr>
        <w:pStyle w:val="8"/>
        <w:kinsoku/>
        <w:wordWrap/>
        <w:overflowPunct/>
        <w:topLinePunct w:val="0"/>
        <w:bidi w:val="0"/>
        <w:snapToGrid w:val="0"/>
        <w:spacing w:before="120" w:after="120" w:line="360" w:lineRule="auto"/>
        <w:ind w:firstLine="480" w:firstLineChars="200"/>
        <w:jc w:val="left"/>
        <w:rPr>
          <w:rFonts w:hAnsi="宋体" w:cs="宋体"/>
          <w:sz w:val="24"/>
          <w:szCs w:val="24"/>
          <w:highlight w:val="none"/>
          <w:u w:val="single"/>
        </w:rPr>
      </w:pPr>
      <w:r>
        <w:rPr>
          <w:rFonts w:hint="eastAsia" w:hAnsi="宋体" w:cs="宋体"/>
          <w:sz w:val="24"/>
          <w:szCs w:val="24"/>
          <w:highlight w:val="none"/>
        </w:rPr>
        <w:t>3.1 交付方式：</w:t>
      </w:r>
      <w:r>
        <w:rPr>
          <w:rFonts w:hint="eastAsia" w:hAnsi="宋体" w:cs="宋体"/>
          <w:sz w:val="24"/>
          <w:szCs w:val="24"/>
          <w:highlight w:val="none"/>
          <w:u w:val="single"/>
        </w:rPr>
        <w:t xml:space="preserve">乙方按甲方书面通知之日，运送至甲方指定地点，经甲方指定收货人书面签收，则为完成交付。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3.2 交付时间：___________________</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3.3 交付地点：___________________</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四、货物包装、发运及运输</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4.1 乙方应在货物发运前根据运输距离、防潮、防震、防锈和防破损装卸等要求采用相应的标准保护措施进行包装，以保证货物安全无损运达甲方指定地点。由于包装不善所引起的货物锈蚀、损坏、损失、灭失均由乙方承担。</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4.2 使用说明书、质量检验证明书、随配附件和工具以及清单一并附于货物内。乙方应在每一包装箱上标记货物信息包括但不限于收货人、合同号、地址、货物名称数量。因缺少装运标志或者装运标志不明确导致货物在运输、装卸过程中产生的损失由乙方承担。</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4.3 乙方负责办理运输和保险，将货物运抵现场。有关运输和保险的一切费用由乙方承担。乙方在货物发运手续办理完毕后24小时内或货到甲方48小时前通知甲方，以准备接货。</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4.4 货物在交付甲方前发生的风险均由乙方负责。</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五、质量保证及售后服务</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5.1 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5.2 乙方提供的货物在质保期内因货物本身的质量问题发生故障，乙方应负责免费更换，并承担所发生的全部费用。更换后仍达不到技术要求的，乙方应退还甲方支付的合同款，同时应承担该货物的直接费用（运输、保险、检验、货款利息及银行手续费等）。</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5.3上述货物的质保期</w:t>
      </w:r>
      <w:r>
        <w:rPr>
          <w:rFonts w:hint="eastAsia" w:hAnsi="宋体" w:cs="宋体"/>
          <w:sz w:val="24"/>
          <w:szCs w:val="24"/>
          <w:highlight w:val="none"/>
          <w:u w:val="single"/>
        </w:rPr>
        <w:t xml:space="preserve">      </w:t>
      </w:r>
      <w:r>
        <w:rPr>
          <w:rFonts w:hint="eastAsia" w:hAnsi="宋体" w:cs="宋体"/>
          <w:sz w:val="24"/>
          <w:szCs w:val="24"/>
          <w:highlight w:val="none"/>
        </w:rPr>
        <w:t>年。（自交货验收合格次日起计算），因人为因素出现的故障不在免费保修范围内。</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5.4 在质保期内，如在使用过程中发生质量问题，乙方在接到甲方通知后在_</w:t>
      </w:r>
      <w:r>
        <w:rPr>
          <w:rFonts w:hint="eastAsia" w:hAnsi="宋体" w:cs="宋体"/>
          <w:sz w:val="24"/>
          <w:szCs w:val="24"/>
          <w:highlight w:val="none"/>
          <w:u w:val="single"/>
        </w:rPr>
        <w:t xml:space="preserve">     </w:t>
      </w:r>
      <w:r>
        <w:rPr>
          <w:rFonts w:hint="eastAsia" w:hAnsi="宋体" w:cs="宋体"/>
          <w:sz w:val="24"/>
          <w:szCs w:val="24"/>
          <w:highlight w:val="none"/>
        </w:rPr>
        <w:t>小时内响应，并在</w:t>
      </w:r>
      <w:r>
        <w:rPr>
          <w:rFonts w:hint="eastAsia" w:hAnsi="宋体" w:cs="宋体"/>
          <w:sz w:val="24"/>
          <w:szCs w:val="24"/>
          <w:highlight w:val="none"/>
          <w:u w:val="single"/>
        </w:rPr>
        <w:t xml:space="preserve">      </w:t>
      </w:r>
      <w:r>
        <w:rPr>
          <w:rFonts w:hint="eastAsia" w:hAnsi="宋体" w:cs="宋体"/>
          <w:sz w:val="24"/>
          <w:szCs w:val="24"/>
          <w:highlight w:val="none"/>
        </w:rPr>
        <w:t>小时内赶到甲方现场，免费予以排除故障、修复或者更换零部件。如未及时维修的，甲方委托他人维修，维修费从合同款中扣除或由乙方承担。</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5.5 在质保期内，乙方应对货物出现的质量及安全问题负责处理解决并承担一切费用。</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5.6 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六、调试和验收</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6.1 乙方交货前应对货物全面检查并对验收文件进行整理，列出清单提交甲方，检验的结果亦应随货物交甲方。</w:t>
      </w:r>
    </w:p>
    <w:p>
      <w:pPr>
        <w:pStyle w:val="8"/>
        <w:kinsoku/>
        <w:wordWrap/>
        <w:overflowPunct/>
        <w:topLinePunct w:val="0"/>
        <w:bidi w:val="0"/>
        <w:spacing w:before="120" w:after="120" w:line="360" w:lineRule="auto"/>
        <w:ind w:firstLine="480" w:firstLineChars="200"/>
        <w:rPr>
          <w:rFonts w:hAnsi="宋体" w:cs="宋体"/>
          <w:sz w:val="24"/>
          <w:szCs w:val="24"/>
          <w:highlight w:val="none"/>
          <w:u w:val="single"/>
        </w:rPr>
      </w:pPr>
      <w:r>
        <w:rPr>
          <w:rFonts w:hint="eastAsia" w:hAnsi="宋体" w:cs="宋体"/>
          <w:sz w:val="24"/>
          <w:szCs w:val="24"/>
          <w:highlight w:val="none"/>
        </w:rPr>
        <w:t>6.2 甲方对乙方提供的货物在使用前进行调试时，乙方需负责安装并培训甲方的使用操作人员，并协助甲方一起调试，直到符合技术要求。</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6.3 在安装、调试和验收过程中，如发现有漏件、缺件，乙方应无条件、无偿补齐，所发生的一切费用，视为已包含在投标时的投标报价中，且并不因此而影响交付甲方使用的时间。</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6.4 甲方对乙方提交的货物依据招标文件上的技术规格要求和国家有关质量标准进行现场初步验收。外观、说明书符合招标文件技术要求的，给予签收，初步验收不合格的不予签收。安装、调试完毕后，甲方需在10个工作日内完成初步验收。</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6.5 设备、材料安装、调试结束，甲、乙双方派员共同验收，达到验收标准则验收合格。验收完毕后出具验收结果报告并经双方签字确认；验收相关费用由乙方承担。</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6.6 对技术复杂的货物，甲方可聘请国家认可的专业检测机构参与初步验收及最终验收，如需委托第三方验收，第三方是指：</w:t>
      </w:r>
      <w:r>
        <w:rPr>
          <w:rFonts w:hint="eastAsia" w:hAnsi="宋体" w:cs="宋体"/>
          <w:sz w:val="24"/>
          <w:szCs w:val="24"/>
          <w:highlight w:val="none"/>
          <w:u w:val="single"/>
        </w:rPr>
        <w:t xml:space="preserve">          /         </w:t>
      </w:r>
      <w:r>
        <w:rPr>
          <w:rFonts w:hint="eastAsia" w:hAnsi="宋体" w:cs="宋体"/>
          <w:sz w:val="24"/>
          <w:szCs w:val="24"/>
          <w:highlight w:val="none"/>
        </w:rPr>
        <w:t>，专业检测机构出具的质量检测报告作为甲方判断乙方的货物能否通过验收的条件之一，无论是否通过验收，相关检测费用均由乙方承担。因乙方交付的货物不符合标准导致甲方重复支出的验收费用，由乙方承担。</w:t>
      </w:r>
    </w:p>
    <w:p>
      <w:pPr>
        <w:pStyle w:val="8"/>
        <w:kinsoku/>
        <w:wordWrap/>
        <w:overflowPunct/>
        <w:topLinePunct w:val="0"/>
        <w:bidi w:val="0"/>
        <w:spacing w:before="120" w:after="120" w:line="360" w:lineRule="auto"/>
        <w:ind w:firstLine="482" w:firstLineChars="200"/>
        <w:rPr>
          <w:rFonts w:hAnsi="宋体" w:cs="宋体"/>
          <w:b/>
          <w:bCs/>
          <w:sz w:val="24"/>
          <w:szCs w:val="24"/>
          <w:highlight w:val="none"/>
        </w:rPr>
      </w:pPr>
      <w:r>
        <w:rPr>
          <w:rFonts w:hint="eastAsia" w:hAnsi="宋体" w:cs="宋体"/>
          <w:b/>
          <w:bCs/>
          <w:sz w:val="24"/>
          <w:szCs w:val="24"/>
          <w:highlight w:val="none"/>
        </w:rPr>
        <w:t>七、履约保证金</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甲乙双方签订合同后，乙方的投标保证金直接转为履约保证金，合同履行结束后，中标人凭采购人签署的同意退还履约保证金的证明（证明格式自定,加盖采购单位公章）、履约保证金收条原件和采购单位签订的合同原件，前往采购代理机构办理保证金退还手续，所有手续办理完毕后五个工作日内无息退还。</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八、技术资料</w:t>
      </w:r>
    </w:p>
    <w:p>
      <w:pPr>
        <w:pStyle w:val="8"/>
        <w:kinsoku/>
        <w:wordWrap/>
        <w:overflowPunct/>
        <w:topLinePunct w:val="0"/>
        <w:bidi w:val="0"/>
        <w:spacing w:before="120" w:after="120" w:line="360" w:lineRule="auto"/>
        <w:ind w:firstLine="480" w:firstLineChars="200"/>
        <w:rPr>
          <w:rFonts w:hAnsi="宋体" w:cs="宋体"/>
          <w:b/>
          <w:sz w:val="24"/>
          <w:szCs w:val="24"/>
          <w:highlight w:val="none"/>
        </w:rPr>
      </w:pPr>
      <w:r>
        <w:rPr>
          <w:rFonts w:hint="eastAsia" w:hAnsi="宋体" w:cs="宋体"/>
          <w:sz w:val="24"/>
          <w:szCs w:val="24"/>
          <w:highlight w:val="none"/>
        </w:rPr>
        <w:t>8.1 乙方应按招标文件规定的时间向甲方提供使用货物的有关技术资料。</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8.2 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九、知识产权</w:t>
      </w:r>
    </w:p>
    <w:p>
      <w:pPr>
        <w:kinsoku/>
        <w:wordWrap/>
        <w:overflowPunct/>
        <w:topLinePunct w:val="0"/>
        <w:bidi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乙方应保证甲方在使用、处置本合同项下的货物或其任何一部分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8"/>
        <w:numPr>
          <w:ilvl w:val="0"/>
          <w:numId w:val="2"/>
        </w:numPr>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违约责任</w:t>
      </w:r>
    </w:p>
    <w:p>
      <w:pPr>
        <w:pStyle w:val="8"/>
        <w:kinsoku/>
        <w:wordWrap/>
        <w:overflowPunct/>
        <w:topLinePunct w:val="0"/>
        <w:bidi w:val="0"/>
        <w:spacing w:before="200" w:after="120" w:line="360" w:lineRule="auto"/>
        <w:ind w:firstLine="480" w:firstLineChars="200"/>
        <w:rPr>
          <w:rFonts w:hAnsi="宋体" w:cs="宋体"/>
          <w:bCs/>
          <w:sz w:val="24"/>
          <w:szCs w:val="24"/>
          <w:highlight w:val="none"/>
        </w:rPr>
      </w:pPr>
      <w:r>
        <w:rPr>
          <w:rFonts w:hint="eastAsia" w:hAnsi="宋体" w:cs="宋体"/>
          <w:bCs/>
          <w:sz w:val="24"/>
          <w:szCs w:val="24"/>
          <w:highlight w:val="none"/>
        </w:rPr>
        <w:t>除第十一条规定的不可抗力外，双方按以下约定承担各自的违约责任：</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10.1 甲方无正当理由拒收货物的，甲方向乙方偿付拒收货款总值的万分之五违约金。甲方未按合同规定的时间和要求向乙方提供相关安装条件，乙方交付时间顺延。</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10.2 甲方无故迟延支付货款的,甲方应按逾期付款总额每日万分之五向乙方支付违约金。</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10.3 乙方逾期交付货物的，乙方应按逾期交货总额每日万分之五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10.4 乙方供给甲方的设备、材料及乙方自己的施工用具，进入甲方工地现场后的保管，由乙方负责，乙方在甲方工地现场安装、调试、验收人员的安全、保险、食宿和交通由乙方全权负责。</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10.5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10.6 如未能通过验收，乙方所供货物应在验收后一周内运离安装地点，所需费用由乙方承担，如乙方未在验收后一个月内运离，视为乙方放弃该货物，甲方有权自行处置（包括废物处理），同时，乙方还需支付甲方总货款的10%作为违约金。</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10.7 本合同所有货物的制造及安装，都必须由乙方自己或投标文件中明确的单位承担，不得分包或者转包给其他单位，否则，甲方有权解除本合同，合同解除后，乙方还应向甲方支付合同总值5%的违约金。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10.8 乙方履行义务不符合合同约定时，甲方有权扣减本合同总金额的10%的货款，尾款不足10%的，乙方应当补足。</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十一、不可抗力事件处理</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11.1 在合同有效期内，任何一方因战争、严重火灾、水灾、台风和地震以及其它经双方同意属于不可抗力的事故导致不能履行合同，则合同履行期应予以延长，延长的期限与不可抗力影响期相同。</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11.2 不可抗力事件发生后，应立即通知对方，并寄送有关权威机构出具的证明。</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11.3 不可抗力事件延续30天以上，双方应通过友好协商，确定是否继续履行合同。</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十二、诉讼</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双方在执行合同中所发生的一切争议，应通过协商解决。如协商不成，双方均应向甲方所在地人民法院提起诉讼。</w:t>
      </w:r>
    </w:p>
    <w:p>
      <w:pPr>
        <w:pStyle w:val="8"/>
        <w:kinsoku/>
        <w:wordWrap/>
        <w:overflowPunct/>
        <w:topLinePunct w:val="0"/>
        <w:bidi w:val="0"/>
        <w:spacing w:before="200" w:after="120" w:line="360" w:lineRule="auto"/>
        <w:ind w:firstLine="482" w:firstLineChars="200"/>
        <w:rPr>
          <w:rFonts w:hAnsi="宋体" w:cs="宋体"/>
          <w:b/>
          <w:sz w:val="24"/>
          <w:szCs w:val="24"/>
          <w:highlight w:val="none"/>
        </w:rPr>
      </w:pPr>
      <w:r>
        <w:rPr>
          <w:rFonts w:hint="eastAsia" w:hAnsi="宋体" w:cs="宋体"/>
          <w:b/>
          <w:sz w:val="24"/>
          <w:szCs w:val="24"/>
          <w:highlight w:val="none"/>
        </w:rPr>
        <w:t>十三、合同生效及其它</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13.1 合同经双方法定代表人或授权委托代表人签字、盖章后生效。</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13.2 组成本合同的招投标文件包括：采购文件、乙方投标文件、中标通知书、甲乙双方商定的其他必要文件。招投标文件作为合同的附件，与本合同具有同等法律效力。</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13.3 本合同未尽事宜，遵照《中华人民共和国民法典》有关条文执行。</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13.4 本合同正本一式柒份，中文书写。甲方伍份，乙方壹份，招标机构留存壹份，具有同等法律效力。</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13.5 其他：</w:t>
      </w:r>
      <w:r>
        <w:rPr>
          <w:rFonts w:hint="eastAsia" w:hAnsi="宋体" w:cs="宋体"/>
          <w:sz w:val="24"/>
          <w:szCs w:val="24"/>
          <w:highlight w:val="none"/>
          <w:u w:val="single"/>
        </w:rPr>
        <w:t xml:space="preserve">                    /                          </w:t>
      </w:r>
      <w:r>
        <w:rPr>
          <w:rFonts w:hint="eastAsia" w:hAnsi="宋体" w:cs="宋体"/>
          <w:sz w:val="24"/>
          <w:szCs w:val="24"/>
          <w:highlight w:val="none"/>
        </w:rPr>
        <w:t xml:space="preserve">。    </w:t>
      </w:r>
    </w:p>
    <w:p>
      <w:pPr>
        <w:pStyle w:val="8"/>
        <w:kinsoku/>
        <w:wordWrap/>
        <w:overflowPunct/>
        <w:topLinePunct w:val="0"/>
        <w:bidi w:val="0"/>
        <w:spacing w:before="120" w:after="120" w:line="360" w:lineRule="auto"/>
        <w:rPr>
          <w:rFonts w:hAnsi="宋体" w:cs="宋体"/>
          <w:sz w:val="24"/>
          <w:szCs w:val="24"/>
          <w:highlight w:val="none"/>
        </w:rPr>
      </w:pPr>
    </w:p>
    <w:p>
      <w:pPr>
        <w:pStyle w:val="8"/>
        <w:kinsoku/>
        <w:wordWrap/>
        <w:overflowPunct/>
        <w:topLinePunct w:val="0"/>
        <w:bidi w:val="0"/>
        <w:spacing w:before="120" w:after="120" w:line="360" w:lineRule="auto"/>
        <w:rPr>
          <w:rFonts w:hAnsi="宋体" w:cs="宋体"/>
          <w:sz w:val="24"/>
          <w:szCs w:val="24"/>
          <w:highlight w:val="none"/>
        </w:rPr>
      </w:pPr>
      <w:r>
        <w:rPr>
          <w:rFonts w:hint="eastAsia" w:hAnsi="宋体" w:cs="宋体"/>
          <w:sz w:val="24"/>
          <w:szCs w:val="24"/>
          <w:highlight w:val="none"/>
        </w:rPr>
        <w:t xml:space="preserve">甲方：南京医科大学                          乙方： </w:t>
      </w:r>
    </w:p>
    <w:p>
      <w:pPr>
        <w:pStyle w:val="8"/>
        <w:kinsoku/>
        <w:wordWrap/>
        <w:overflowPunct/>
        <w:topLinePunct w:val="0"/>
        <w:bidi w:val="0"/>
        <w:spacing w:before="120" w:after="120" w:line="360" w:lineRule="auto"/>
        <w:rPr>
          <w:rFonts w:hAnsi="宋体" w:cs="宋体"/>
          <w:sz w:val="24"/>
          <w:szCs w:val="24"/>
          <w:highlight w:val="none"/>
        </w:rPr>
      </w:pPr>
      <w:r>
        <w:rPr>
          <w:rFonts w:hint="eastAsia" w:hAnsi="宋体" w:cs="宋体"/>
          <w:sz w:val="24"/>
          <w:szCs w:val="24"/>
          <w:highlight w:val="none"/>
        </w:rPr>
        <w:t xml:space="preserve">地址：南京市江宁区龙眠大道101号            地址： </w:t>
      </w:r>
    </w:p>
    <w:p>
      <w:pPr>
        <w:pStyle w:val="8"/>
        <w:kinsoku/>
        <w:wordWrap/>
        <w:overflowPunct/>
        <w:topLinePunct w:val="0"/>
        <w:bidi w:val="0"/>
        <w:spacing w:before="120" w:after="120" w:line="360" w:lineRule="auto"/>
        <w:rPr>
          <w:rFonts w:hAnsi="宋体" w:cs="宋体"/>
          <w:sz w:val="24"/>
          <w:szCs w:val="24"/>
          <w:highlight w:val="none"/>
        </w:rPr>
      </w:pPr>
      <w:r>
        <w:rPr>
          <w:rFonts w:hint="eastAsia" w:hAnsi="宋体" w:cs="宋体"/>
          <w:sz w:val="24"/>
          <w:szCs w:val="24"/>
          <w:highlight w:val="none"/>
        </w:rPr>
        <w:t>法定代表人或授权代表：                      法定代表人或授权代表：</w:t>
      </w:r>
    </w:p>
    <w:p>
      <w:pPr>
        <w:pStyle w:val="8"/>
        <w:kinsoku/>
        <w:wordWrap/>
        <w:overflowPunct/>
        <w:topLinePunct w:val="0"/>
        <w:bidi w:val="0"/>
        <w:spacing w:before="120" w:after="120" w:line="360" w:lineRule="auto"/>
        <w:rPr>
          <w:rFonts w:hAnsi="宋体" w:cs="宋体"/>
          <w:sz w:val="24"/>
          <w:szCs w:val="24"/>
          <w:highlight w:val="none"/>
        </w:rPr>
      </w:pPr>
      <w:r>
        <w:rPr>
          <w:rFonts w:hint="eastAsia" w:hAnsi="宋体" w:cs="宋体"/>
          <w:sz w:val="24"/>
          <w:szCs w:val="24"/>
          <w:highlight w:val="none"/>
        </w:rPr>
        <w:t>联系电话：                                  联系电话：</w:t>
      </w:r>
    </w:p>
    <w:p>
      <w:pPr>
        <w:kinsoku/>
        <w:wordWrap/>
        <w:overflowPunct/>
        <w:topLinePunct w:val="0"/>
        <w:bidi w:val="0"/>
        <w:spacing w:line="360" w:lineRule="auto"/>
        <w:ind w:firstLine="480" w:firstLineChars="200"/>
        <w:rPr>
          <w:rFonts w:ascii="宋体" w:hAnsi="宋体" w:eastAsia="宋体" w:cs="宋体"/>
          <w:sz w:val="24"/>
          <w:szCs w:val="24"/>
          <w:highlight w:val="none"/>
        </w:rPr>
      </w:pPr>
    </w:p>
    <w:p>
      <w:pPr>
        <w:kinsoku/>
        <w:wordWrap/>
        <w:overflowPunct/>
        <w:topLinePunct w:val="0"/>
        <w:bidi w:val="0"/>
        <w:spacing w:line="360" w:lineRule="auto"/>
        <w:ind w:firstLine="723" w:firstLineChars="200"/>
        <w:rPr>
          <w:rFonts w:ascii="宋体" w:hAnsi="宋体" w:eastAsia="宋体" w:cs="宋体"/>
          <w:b/>
          <w:bCs/>
          <w:sz w:val="36"/>
          <w:szCs w:val="36"/>
          <w:highlight w:val="yellow"/>
        </w:rPr>
      </w:pPr>
      <w:r>
        <w:rPr>
          <w:rFonts w:hint="eastAsia" w:ascii="宋体" w:hAnsi="宋体" w:eastAsia="宋体" w:cs="宋体"/>
          <w:b/>
          <w:bCs/>
          <w:sz w:val="36"/>
          <w:szCs w:val="36"/>
          <w:highlight w:val="yellow"/>
        </w:rPr>
        <w:t>现更正为：</w:t>
      </w:r>
    </w:p>
    <w:p>
      <w:pPr>
        <w:jc w:val="center"/>
        <w:rPr>
          <w:rFonts w:hint="eastAsia" w:ascii="宋体" w:hAnsi="宋体" w:eastAsia="宋体" w:cs="宋体"/>
          <w:b/>
          <w:bCs/>
          <w:sz w:val="32"/>
          <w:szCs w:val="32"/>
          <w:lang w:val="zh-CN"/>
        </w:rPr>
      </w:pPr>
      <w:r>
        <w:rPr>
          <w:rFonts w:hint="eastAsia" w:ascii="宋体" w:hAnsi="宋体" w:eastAsia="宋体" w:cs="宋体"/>
          <w:b/>
          <w:bCs/>
          <w:sz w:val="32"/>
          <w:szCs w:val="32"/>
          <w:lang w:val="zh-CN"/>
        </w:rPr>
        <w:t>第三章 项目需求</w:t>
      </w:r>
    </w:p>
    <w:p>
      <w:pPr>
        <w:pStyle w:val="15"/>
        <w:kinsoku/>
        <w:wordWrap/>
        <w:overflowPunct/>
        <w:topLinePunct w:val="0"/>
        <w:bidi w:val="0"/>
        <w:spacing w:line="360" w:lineRule="auto"/>
        <w:ind w:firstLine="480"/>
        <w:rPr>
          <w:rFonts w:ascii="宋体" w:hAnsi="宋体"/>
          <w:b/>
          <w:bCs/>
          <w:sz w:val="24"/>
          <w:szCs w:val="24"/>
          <w:highlight w:val="none"/>
        </w:rPr>
      </w:pPr>
      <w:r>
        <w:rPr>
          <w:rFonts w:hint="eastAsia" w:ascii="宋体" w:hAnsi="宋体"/>
          <w:b/>
          <w:bCs/>
          <w:sz w:val="24"/>
          <w:szCs w:val="24"/>
          <w:highlight w:val="none"/>
        </w:rPr>
        <w:t>一、参数要求</w:t>
      </w:r>
    </w:p>
    <w:p>
      <w:pPr>
        <w:kinsoku/>
        <w:wordWrap/>
        <w:overflowPunct/>
        <w:topLinePunct w:val="0"/>
        <w:bidi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我院为满足教学需求，现需采购一套5G远程教学系统，用于手术的直播和录播教学等。功能如手术直播教学：通过系统可以将手术现场的画面高清采集传输到学校的示教室，用于学校的手术实时直播教学；手术录播教学：手术直播时可以开启录播功能，将手术过程的视频录制下来，可以重复作为教学素材使用，保证优质教学资源得以延续；手术机器人操控教学：系统可以进行远程操控机器人机械臂进行远程手术操控教学等。</w:t>
      </w:r>
    </w:p>
    <w:p>
      <w:pPr>
        <w:numPr>
          <w:ilvl w:val="0"/>
          <w:numId w:val="1"/>
        </w:numPr>
        <w:kinsoku/>
        <w:wordWrap/>
        <w:overflowPunct/>
        <w:topLinePunct w:val="0"/>
        <w:bidi w:val="0"/>
        <w:spacing w:line="360" w:lineRule="auto"/>
        <w:ind w:firstLine="480" w:firstLineChars="200"/>
        <w:rPr>
          <w:rFonts w:ascii="宋体" w:hAnsi="宋体" w:cs="宋体"/>
          <w:b/>
          <w:bCs/>
          <w:sz w:val="24"/>
          <w:szCs w:val="24"/>
          <w:highlight w:val="none"/>
        </w:rPr>
      </w:pPr>
      <w:r>
        <w:rPr>
          <w:rFonts w:hint="eastAsia" w:ascii="宋体" w:hAnsi="宋体" w:cs="宋体"/>
          <w:b/>
          <w:bCs/>
          <w:sz w:val="24"/>
          <w:szCs w:val="24"/>
          <w:highlight w:val="none"/>
        </w:rPr>
        <w:t>需求清单</w:t>
      </w:r>
    </w:p>
    <w:tbl>
      <w:tblPr>
        <w:tblStyle w:val="11"/>
        <w:tblW w:w="0" w:type="auto"/>
        <w:jc w:val="center"/>
        <w:tblLayout w:type="autofit"/>
        <w:tblCellMar>
          <w:top w:w="0" w:type="dxa"/>
          <w:left w:w="108" w:type="dxa"/>
          <w:bottom w:w="0" w:type="dxa"/>
          <w:right w:w="108" w:type="dxa"/>
        </w:tblCellMar>
      </w:tblPr>
      <w:tblGrid>
        <w:gridCol w:w="848"/>
        <w:gridCol w:w="2520"/>
        <w:gridCol w:w="970"/>
        <w:gridCol w:w="1030"/>
        <w:gridCol w:w="4048"/>
      </w:tblGrid>
      <w:tr>
        <w:tblPrEx>
          <w:tblCellMar>
            <w:top w:w="0" w:type="dxa"/>
            <w:left w:w="108" w:type="dxa"/>
            <w:bottom w:w="0" w:type="dxa"/>
            <w:right w:w="108" w:type="dxa"/>
          </w:tblCellMar>
        </w:tblPrEx>
        <w:trPr>
          <w:trHeight w:val="558" w:hRule="atLeast"/>
          <w:jc w:val="center"/>
        </w:trPr>
        <w:tc>
          <w:tcPr>
            <w:tcW w:w="848"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b/>
                <w:bCs/>
                <w:sz w:val="24"/>
                <w:szCs w:val="24"/>
                <w:highlight w:val="none"/>
              </w:rPr>
            </w:pPr>
            <w:r>
              <w:rPr>
                <w:rFonts w:hint="eastAsia"/>
                <w:b/>
                <w:bCs/>
                <w:kern w:val="0"/>
                <w:sz w:val="24"/>
                <w:szCs w:val="24"/>
                <w:highlight w:val="none"/>
              </w:rPr>
              <w:t>序号</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b/>
                <w:bCs/>
                <w:sz w:val="24"/>
                <w:szCs w:val="24"/>
                <w:highlight w:val="none"/>
              </w:rPr>
            </w:pPr>
            <w:r>
              <w:rPr>
                <w:rFonts w:hint="eastAsia"/>
                <w:b/>
                <w:bCs/>
                <w:kern w:val="0"/>
                <w:sz w:val="24"/>
                <w:szCs w:val="24"/>
                <w:highlight w:val="none"/>
              </w:rPr>
              <w:t>系统</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b/>
                <w:bCs/>
                <w:sz w:val="24"/>
                <w:szCs w:val="24"/>
                <w:highlight w:val="none"/>
              </w:rPr>
            </w:pPr>
            <w:r>
              <w:rPr>
                <w:rFonts w:hint="eastAsia"/>
                <w:b/>
                <w:bCs/>
                <w:kern w:val="0"/>
                <w:sz w:val="24"/>
                <w:szCs w:val="24"/>
                <w:highlight w:val="none"/>
              </w:rPr>
              <w:t>单位</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b/>
                <w:bCs/>
                <w:sz w:val="24"/>
                <w:szCs w:val="24"/>
                <w:highlight w:val="none"/>
              </w:rPr>
            </w:pPr>
            <w:r>
              <w:rPr>
                <w:rFonts w:hint="eastAsia"/>
                <w:b/>
                <w:bCs/>
                <w:kern w:val="0"/>
                <w:sz w:val="24"/>
                <w:szCs w:val="24"/>
                <w:highlight w:val="none"/>
              </w:rPr>
              <w:t>数量</w:t>
            </w:r>
          </w:p>
        </w:tc>
        <w:tc>
          <w:tcPr>
            <w:tcW w:w="4048"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b/>
                <w:bCs/>
                <w:sz w:val="24"/>
                <w:szCs w:val="24"/>
                <w:highlight w:val="none"/>
              </w:rPr>
            </w:pPr>
            <w:r>
              <w:rPr>
                <w:rFonts w:hint="eastAsia"/>
                <w:b/>
                <w:bCs/>
                <w:kern w:val="0"/>
                <w:sz w:val="24"/>
                <w:szCs w:val="24"/>
                <w:highlight w:val="none"/>
              </w:rPr>
              <w:t>系统组成</w:t>
            </w:r>
          </w:p>
        </w:tc>
      </w:tr>
      <w:tr>
        <w:tblPrEx>
          <w:tblCellMar>
            <w:top w:w="0" w:type="dxa"/>
            <w:left w:w="108" w:type="dxa"/>
            <w:bottom w:w="0" w:type="dxa"/>
            <w:right w:w="108" w:type="dxa"/>
          </w:tblCellMar>
        </w:tblPrEx>
        <w:trPr>
          <w:trHeight w:val="1096" w:hRule="atLeast"/>
          <w:jc w:val="center"/>
        </w:trPr>
        <w:tc>
          <w:tcPr>
            <w:tcW w:w="848"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远程教学服务平台</w:t>
            </w:r>
          </w:p>
        </w:tc>
        <w:tc>
          <w:tcPr>
            <w:tcW w:w="97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套</w:t>
            </w:r>
          </w:p>
        </w:tc>
        <w:tc>
          <w:tcPr>
            <w:tcW w:w="1030" w:type="dxa"/>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w:t>
            </w:r>
          </w:p>
        </w:tc>
        <w:tc>
          <w:tcPr>
            <w:tcW w:w="4048" w:type="dxa"/>
            <w:tcBorders>
              <w:top w:val="single" w:color="000000" w:sz="4" w:space="0"/>
              <w:left w:val="single" w:color="000000" w:sz="4" w:space="0"/>
              <w:bottom w:val="single" w:color="000000" w:sz="4" w:space="0"/>
              <w:right w:val="single" w:color="000000" w:sz="4" w:space="0"/>
            </w:tcBorders>
            <w:noWrap/>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远程教学服务平台</w:t>
            </w:r>
          </w:p>
        </w:tc>
      </w:tr>
      <w:tr>
        <w:tblPrEx>
          <w:tblCellMar>
            <w:top w:w="0" w:type="dxa"/>
            <w:left w:w="108" w:type="dxa"/>
            <w:bottom w:w="0" w:type="dxa"/>
            <w:right w:w="108" w:type="dxa"/>
          </w:tblCellMar>
        </w:tblPrEx>
        <w:trPr>
          <w:trHeight w:val="558" w:hRule="atLeast"/>
          <w:jc w:val="center"/>
        </w:trPr>
        <w:tc>
          <w:tcPr>
            <w:tcW w:w="848"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2</w:t>
            </w:r>
          </w:p>
        </w:tc>
        <w:tc>
          <w:tcPr>
            <w:tcW w:w="2520"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分体式远程终端</w:t>
            </w:r>
          </w:p>
        </w:tc>
        <w:tc>
          <w:tcPr>
            <w:tcW w:w="970"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套</w:t>
            </w:r>
          </w:p>
        </w:tc>
        <w:tc>
          <w:tcPr>
            <w:tcW w:w="1030" w:type="dxa"/>
            <w:vMerge w:val="restart"/>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w:t>
            </w:r>
          </w:p>
        </w:tc>
        <w:tc>
          <w:tcPr>
            <w:tcW w:w="4048" w:type="dxa"/>
            <w:tcBorders>
              <w:top w:val="single" w:color="000000" w:sz="4" w:space="0"/>
              <w:left w:val="single" w:color="000000" w:sz="4" w:space="0"/>
              <w:bottom w:val="single" w:color="000000" w:sz="4" w:space="0"/>
              <w:right w:val="single" w:color="000000" w:sz="4" w:space="0"/>
            </w:tcBorders>
            <w:noWrap/>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视讯终端一体机</w:t>
            </w:r>
          </w:p>
        </w:tc>
      </w:tr>
      <w:tr>
        <w:tblPrEx>
          <w:tblCellMar>
            <w:top w:w="0" w:type="dxa"/>
            <w:left w:w="108" w:type="dxa"/>
            <w:bottom w:w="0" w:type="dxa"/>
            <w:right w:w="108" w:type="dxa"/>
          </w:tblCellMar>
        </w:tblPrEx>
        <w:trPr>
          <w:trHeight w:val="55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4048" w:type="dxa"/>
            <w:tcBorders>
              <w:top w:val="single" w:color="000000" w:sz="4" w:space="0"/>
              <w:left w:val="single" w:color="000000" w:sz="4" w:space="0"/>
              <w:bottom w:val="single" w:color="000000" w:sz="4" w:space="0"/>
              <w:right w:val="single" w:color="000000" w:sz="4" w:space="0"/>
            </w:tcBorders>
            <w:noWrap/>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高清视频采集设备</w:t>
            </w:r>
          </w:p>
        </w:tc>
      </w:tr>
      <w:tr>
        <w:tblPrEx>
          <w:tblCellMar>
            <w:top w:w="0" w:type="dxa"/>
            <w:left w:w="108" w:type="dxa"/>
            <w:bottom w:w="0" w:type="dxa"/>
            <w:right w:w="108" w:type="dxa"/>
          </w:tblCellMar>
        </w:tblPrEx>
        <w:trPr>
          <w:trHeight w:val="55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4048" w:type="dxa"/>
            <w:tcBorders>
              <w:top w:val="single" w:color="000000" w:sz="4" w:space="0"/>
              <w:left w:val="single" w:color="000000" w:sz="4" w:space="0"/>
              <w:bottom w:val="single" w:color="000000" w:sz="4" w:space="0"/>
              <w:right w:val="single" w:color="000000" w:sz="4" w:space="0"/>
            </w:tcBorders>
            <w:noWrap/>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全景视频采集设备</w:t>
            </w:r>
          </w:p>
        </w:tc>
      </w:tr>
      <w:tr>
        <w:tblPrEx>
          <w:tblCellMar>
            <w:top w:w="0" w:type="dxa"/>
            <w:left w:w="108" w:type="dxa"/>
            <w:bottom w:w="0" w:type="dxa"/>
            <w:right w:w="108" w:type="dxa"/>
          </w:tblCellMar>
        </w:tblPrEx>
        <w:trPr>
          <w:trHeight w:val="55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4048" w:type="dxa"/>
            <w:tcBorders>
              <w:top w:val="single" w:color="000000" w:sz="4" w:space="0"/>
              <w:left w:val="single" w:color="000000" w:sz="4" w:space="0"/>
              <w:bottom w:val="single" w:color="000000" w:sz="4" w:space="0"/>
              <w:right w:val="single" w:color="000000" w:sz="4" w:space="0"/>
            </w:tcBorders>
            <w:noWrap/>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音频采集设备</w:t>
            </w:r>
          </w:p>
        </w:tc>
      </w:tr>
      <w:tr>
        <w:tblPrEx>
          <w:tblCellMar>
            <w:top w:w="0" w:type="dxa"/>
            <w:left w:w="108" w:type="dxa"/>
            <w:bottom w:w="0" w:type="dxa"/>
            <w:right w:w="108" w:type="dxa"/>
          </w:tblCellMar>
        </w:tblPrEx>
        <w:trPr>
          <w:trHeight w:val="55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kinsoku/>
              <w:wordWrap/>
              <w:overflowPunct/>
              <w:topLinePunct w:val="0"/>
              <w:bidi w:val="0"/>
              <w:spacing w:line="360" w:lineRule="auto"/>
              <w:jc w:val="left"/>
              <w:rPr>
                <w:rFonts w:hint="eastAsia" w:ascii="宋体" w:hAnsi="宋体" w:eastAsia="宋体" w:cs="宋体"/>
                <w:sz w:val="24"/>
                <w:szCs w:val="24"/>
                <w:highlight w:val="none"/>
              </w:rPr>
            </w:pPr>
          </w:p>
        </w:tc>
        <w:tc>
          <w:tcPr>
            <w:tcW w:w="4048" w:type="dxa"/>
            <w:tcBorders>
              <w:top w:val="single" w:color="000000" w:sz="4" w:space="0"/>
              <w:left w:val="single" w:color="000000" w:sz="4" w:space="0"/>
              <w:bottom w:val="single" w:color="000000" w:sz="4" w:space="0"/>
              <w:right w:val="single" w:color="000000" w:sz="4" w:space="0"/>
            </w:tcBorders>
            <w:noWrap/>
            <w:vAlign w:val="center"/>
          </w:tcPr>
          <w:p>
            <w:pPr>
              <w:widowControl/>
              <w:kinsoku/>
              <w:wordWrap/>
              <w:overflowPunct/>
              <w:topLinePunct w:val="0"/>
              <w:bidi w:val="0"/>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kern w:val="0"/>
                <w:sz w:val="24"/>
                <w:szCs w:val="24"/>
                <w:highlight w:val="none"/>
              </w:rPr>
              <w:t>5G CPE（含5G流量）</w:t>
            </w:r>
          </w:p>
        </w:tc>
      </w:tr>
    </w:tbl>
    <w:p>
      <w:pPr>
        <w:widowControl/>
        <w:numPr>
          <w:ilvl w:val="0"/>
          <w:numId w:val="1"/>
        </w:numPr>
        <w:kinsoku/>
        <w:wordWrap/>
        <w:overflowPunct/>
        <w:topLinePunct w:val="0"/>
        <w:bidi w:val="0"/>
        <w:adjustRightInd w:val="0"/>
        <w:snapToGrid w:val="0"/>
        <w:spacing w:before="480" w:beforeLines="200" w:line="360" w:lineRule="auto"/>
        <w:ind w:firstLine="480" w:firstLineChars="200"/>
        <w:rPr>
          <w:rFonts w:ascii="宋体" w:hAnsi="宋体" w:cs="宋体"/>
          <w:b/>
          <w:bCs/>
          <w:sz w:val="24"/>
          <w:szCs w:val="24"/>
          <w:highlight w:val="none"/>
        </w:rPr>
      </w:pPr>
      <w:r>
        <w:rPr>
          <w:rFonts w:hint="eastAsia" w:ascii="宋体" w:hAnsi="宋体" w:cs="宋体"/>
          <w:b/>
          <w:bCs/>
          <w:sz w:val="24"/>
          <w:szCs w:val="24"/>
          <w:highlight w:val="none"/>
        </w:rPr>
        <w:t>技术条款</w:t>
      </w:r>
    </w:p>
    <w:p>
      <w:pPr>
        <w:pStyle w:val="7"/>
        <w:widowControl/>
        <w:kinsoku/>
        <w:wordWrap/>
        <w:overflowPunct/>
        <w:topLinePunct w:val="0"/>
        <w:bidi w:val="0"/>
        <w:adjustRightInd w:val="0"/>
        <w:snapToGrid w:val="0"/>
        <w:spacing w:line="360" w:lineRule="auto"/>
        <w:ind w:left="418" w:leftChars="199"/>
        <w:rPr>
          <w:rFonts w:ascii="Times New Roman" w:hAnsi="Times New Roman"/>
          <w:b/>
          <w:bCs/>
          <w:kern w:val="0"/>
          <w:sz w:val="24"/>
          <w:szCs w:val="24"/>
          <w:highlight w:val="none"/>
        </w:rPr>
      </w:pPr>
      <w:r>
        <w:rPr>
          <w:rFonts w:ascii="Times New Roman" w:hAnsi="Times New Roman"/>
          <w:b/>
          <w:bCs/>
          <w:kern w:val="0"/>
          <w:sz w:val="24"/>
          <w:szCs w:val="24"/>
          <w:highlight w:val="none"/>
        </w:rPr>
        <w:t>1</w:t>
      </w:r>
      <w:r>
        <w:rPr>
          <w:rFonts w:hint="eastAsia" w:ascii="Times New Roman" w:hAnsi="Times New Roman"/>
          <w:b/>
          <w:bCs/>
          <w:kern w:val="0"/>
          <w:sz w:val="24"/>
          <w:szCs w:val="24"/>
          <w:highlight w:val="none"/>
        </w:rPr>
        <w:t>．云诊疗视讯平台服务</w:t>
      </w:r>
    </w:p>
    <w:tbl>
      <w:tblPr>
        <w:tblStyle w:val="12"/>
        <w:tblpPr w:leftFromText="181" w:rightFromText="181" w:vertAnchor="text" w:horzAnchor="page" w:tblpX="1311" w:tblpY="1"/>
        <w:tblOverlap w:val="never"/>
        <w:tblW w:w="44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8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2"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b/>
                <w:bCs/>
                <w:sz w:val="24"/>
                <w:szCs w:val="24"/>
                <w:highlight w:val="none"/>
              </w:rPr>
            </w:pPr>
            <w:r>
              <w:rPr>
                <w:rFonts w:hint="eastAsia" w:eastAsia="宋体"/>
                <w:b/>
                <w:bCs/>
                <w:sz w:val="24"/>
                <w:szCs w:val="24"/>
                <w:highlight w:val="none"/>
              </w:rPr>
              <w:t>服务</w:t>
            </w:r>
          </w:p>
          <w:p>
            <w:pPr>
              <w:widowControl/>
              <w:kinsoku/>
              <w:wordWrap/>
              <w:overflowPunct/>
              <w:topLinePunct w:val="0"/>
              <w:bidi w:val="0"/>
              <w:adjustRightInd w:val="0"/>
              <w:snapToGrid w:val="0"/>
              <w:spacing w:line="360" w:lineRule="auto"/>
              <w:jc w:val="center"/>
              <w:rPr>
                <w:rFonts w:eastAsia="宋体"/>
                <w:b/>
                <w:bCs/>
                <w:sz w:val="24"/>
                <w:szCs w:val="24"/>
                <w:highlight w:val="none"/>
              </w:rPr>
            </w:pPr>
            <w:r>
              <w:rPr>
                <w:rFonts w:hint="eastAsia" w:eastAsia="宋体"/>
                <w:b/>
                <w:bCs/>
                <w:sz w:val="24"/>
                <w:szCs w:val="24"/>
                <w:highlight w:val="none"/>
              </w:rPr>
              <w:t>内容</w:t>
            </w:r>
          </w:p>
        </w:tc>
        <w:tc>
          <w:tcPr>
            <w:tcW w:w="4397"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b/>
                <w:bCs/>
                <w:sz w:val="24"/>
                <w:szCs w:val="24"/>
                <w:highlight w:val="none"/>
              </w:rPr>
            </w:pPr>
            <w:r>
              <w:rPr>
                <w:rFonts w:hint="eastAsia" w:eastAsia="宋体"/>
                <w:b/>
                <w:bCs/>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教学服务平台功能</w:t>
            </w: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hint="eastAsia" w:ascii="宋体" w:hAnsi="宋体" w:eastAsia="宋体" w:cs="宋体"/>
                <w:kern w:val="2"/>
                <w:sz w:val="24"/>
                <w:szCs w:val="24"/>
                <w:highlight w:val="none"/>
              </w:rPr>
            </w:pPr>
            <w:r>
              <w:rPr>
                <w:rFonts w:hint="eastAsia" w:ascii="宋体" w:hAnsi="宋体" w:eastAsia="宋体" w:cs="宋体"/>
                <w:iCs/>
                <w:sz w:val="24"/>
                <w:szCs w:val="24"/>
                <w:highlight w:val="none"/>
              </w:rPr>
              <w:t>（1）</w:t>
            </w:r>
            <w:r>
              <w:rPr>
                <w:rFonts w:hint="eastAsia" w:ascii="宋体" w:hAnsi="宋体" w:eastAsia="宋体" w:cs="宋体"/>
                <w:sz w:val="24"/>
                <w:szCs w:val="24"/>
                <w:highlight w:val="none"/>
              </w:rPr>
              <w:t>具备手术示教、直播、转播功能；</w:t>
            </w:r>
          </w:p>
          <w:p>
            <w:pPr>
              <w:pStyle w:val="15"/>
              <w:kinsoku/>
              <w:wordWrap/>
              <w:overflowPunct/>
              <w:topLinePunct w:val="0"/>
              <w:bidi w:val="0"/>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iCs/>
                <w:sz w:val="24"/>
                <w:szCs w:val="24"/>
                <w:highlight w:val="none"/>
              </w:rPr>
              <w:t>（2）</w:t>
            </w:r>
            <w:r>
              <w:rPr>
                <w:rFonts w:hint="eastAsia" w:ascii="宋体" w:hAnsi="宋体" w:eastAsia="宋体" w:cs="宋体"/>
                <w:sz w:val="24"/>
                <w:szCs w:val="24"/>
                <w:highlight w:val="none"/>
              </w:rPr>
              <w:t>具备远程医疗协作功能，包括手术示教、手术指导、实时会诊、远程超声、远程影像、远程培训等；</w:t>
            </w:r>
          </w:p>
          <w:p>
            <w:pPr>
              <w:pStyle w:val="15"/>
              <w:kinsoku/>
              <w:wordWrap/>
              <w:overflowPunct/>
              <w:topLinePunct w:val="0"/>
              <w:bidi w:val="0"/>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iCs/>
                <w:sz w:val="24"/>
                <w:szCs w:val="24"/>
                <w:highlight w:val="none"/>
              </w:rPr>
              <w:t>（3）</w:t>
            </w:r>
            <w:r>
              <w:rPr>
                <w:rFonts w:hint="eastAsia" w:ascii="宋体" w:hAnsi="宋体" w:eastAsia="宋体" w:cs="宋体"/>
                <w:sz w:val="24"/>
                <w:szCs w:val="24"/>
                <w:highlight w:val="none"/>
              </w:rPr>
              <w:t>具备远程医疗设备操控功能；</w:t>
            </w:r>
          </w:p>
          <w:p>
            <w:pPr>
              <w:pStyle w:val="15"/>
              <w:kinsoku/>
              <w:wordWrap/>
              <w:overflowPunct/>
              <w:topLinePunct w:val="0"/>
              <w:bidi w:val="0"/>
              <w:spacing w:line="360" w:lineRule="auto"/>
              <w:ind w:firstLine="0" w:firstLineChars="0"/>
              <w:rPr>
                <w:rFonts w:hint="eastAsia" w:ascii="宋体" w:hAnsi="宋体" w:eastAsia="宋体" w:cs="宋体"/>
                <w:sz w:val="24"/>
                <w:szCs w:val="24"/>
                <w:highlight w:val="none"/>
              </w:rPr>
            </w:pPr>
            <w:r>
              <w:rPr>
                <w:rFonts w:hint="eastAsia" w:ascii="宋体" w:hAnsi="宋体" w:eastAsia="宋体" w:cs="宋体"/>
                <w:iCs/>
                <w:sz w:val="24"/>
                <w:szCs w:val="24"/>
                <w:highlight w:val="none"/>
              </w:rPr>
              <w:t>（4）</w:t>
            </w:r>
            <w:r>
              <w:rPr>
                <w:rFonts w:hint="eastAsia" w:ascii="宋体" w:hAnsi="宋体" w:eastAsia="宋体" w:cs="宋体"/>
                <w:sz w:val="24"/>
                <w:szCs w:val="24"/>
                <w:highlight w:val="none"/>
              </w:rPr>
              <w:t>具备云端和本地录制功能；</w:t>
            </w:r>
          </w:p>
          <w:p>
            <w:pPr>
              <w:pStyle w:val="15"/>
              <w:kinsoku/>
              <w:wordWrap/>
              <w:overflowPunct/>
              <w:topLinePunct w:val="0"/>
              <w:bidi w:val="0"/>
              <w:spacing w:line="360" w:lineRule="auto"/>
              <w:ind w:firstLine="0" w:firstLineChars="0"/>
              <w:rPr>
                <w:rFonts w:hint="eastAsia" w:ascii="宋体" w:hAnsi="宋体" w:eastAsia="宋体" w:cs="宋体"/>
                <w:kern w:val="2"/>
                <w:sz w:val="24"/>
                <w:szCs w:val="24"/>
                <w:highlight w:val="none"/>
              </w:rPr>
            </w:pPr>
            <w:r>
              <w:rPr>
                <w:rFonts w:hint="eastAsia" w:ascii="宋体" w:hAnsi="宋体" w:eastAsia="宋体" w:cs="宋体"/>
                <w:iCs/>
                <w:sz w:val="24"/>
                <w:szCs w:val="24"/>
                <w:highlight w:val="none"/>
              </w:rPr>
              <w:t>（5）</w:t>
            </w:r>
            <w:r>
              <w:rPr>
                <w:rFonts w:hint="eastAsia" w:ascii="宋体" w:hAnsi="宋体" w:eastAsia="宋体" w:cs="宋体"/>
                <w:sz w:val="24"/>
                <w:szCs w:val="24"/>
                <w:highlight w:val="none"/>
              </w:rPr>
              <w:t>▲</w:t>
            </w:r>
            <w:r>
              <w:rPr>
                <w:rFonts w:hint="eastAsia" w:ascii="宋体" w:hAnsi="宋体" w:eastAsia="宋体" w:cs="宋体"/>
                <w:iCs/>
                <w:sz w:val="24"/>
                <w:szCs w:val="24"/>
                <w:highlight w:val="none"/>
              </w:rPr>
              <w:t>产品具有相关国内自主知识产权，拥有中华人民共和国国家版权局颁发的《计算机软件著作权登记证书》，著作权名称中必须包含“远程医疗”字样。</w:t>
            </w:r>
            <w:r>
              <w:rPr>
                <w:rFonts w:hint="eastAsia" w:ascii="宋体" w:hAnsi="宋体" w:eastAsia="宋体" w:cs="宋体"/>
                <w:b/>
                <w:bCs/>
                <w:iCs/>
                <w:sz w:val="24"/>
                <w:szCs w:val="24"/>
                <w:highlight w:val="none"/>
              </w:rPr>
              <w:t>请在投标文件中提供加盖投标人或授权厂商公章的著作权证书复印件。（授权需提供原厂商授权函)。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2"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网络传输</w:t>
            </w: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b/>
                <w:bCs/>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支持</w:t>
            </w:r>
            <w:r>
              <w:rPr>
                <w:rFonts w:ascii="Times New Roman" w:hAnsi="Times New Roman" w:eastAsia="宋体"/>
                <w:sz w:val="24"/>
                <w:szCs w:val="24"/>
                <w:highlight w:val="none"/>
              </w:rPr>
              <w:t>FEC</w:t>
            </w:r>
            <w:r>
              <w:rPr>
                <w:rFonts w:hint="eastAsia" w:ascii="Times New Roman" w:hAnsi="Times New Roman" w:eastAsia="宋体"/>
                <w:sz w:val="24"/>
                <w:szCs w:val="24"/>
                <w:highlight w:val="none"/>
              </w:rPr>
              <w:t>（前向纠错）和</w:t>
            </w:r>
            <w:r>
              <w:rPr>
                <w:rFonts w:ascii="Times New Roman" w:hAnsi="Times New Roman" w:eastAsia="宋体"/>
                <w:sz w:val="24"/>
                <w:szCs w:val="24"/>
                <w:highlight w:val="none"/>
              </w:rPr>
              <w:t>ARQ</w:t>
            </w:r>
            <w:r>
              <w:rPr>
                <w:rFonts w:hint="eastAsia" w:ascii="Times New Roman" w:hAnsi="Times New Roman" w:eastAsia="宋体"/>
                <w:sz w:val="24"/>
                <w:szCs w:val="24"/>
                <w:highlight w:val="none"/>
              </w:rPr>
              <w:t>（自动重传请求）等机制来解决网络丢包问题。要求系统支持能有效抵抗</w:t>
            </w:r>
            <w:r>
              <w:rPr>
                <w:rFonts w:ascii="Times New Roman" w:hAnsi="Times New Roman" w:eastAsia="宋体"/>
                <w:sz w:val="24"/>
                <w:szCs w:val="24"/>
                <w:highlight w:val="none"/>
              </w:rPr>
              <w:t>30%</w:t>
            </w:r>
            <w:r>
              <w:rPr>
                <w:rFonts w:hint="eastAsia" w:ascii="Times New Roman" w:hAnsi="Times New Roman" w:eastAsia="宋体"/>
                <w:sz w:val="24"/>
                <w:szCs w:val="24"/>
                <w:highlight w:val="none"/>
              </w:rPr>
              <w:t>的随机丢包，仍然能够保证音视频的清晰流畅，保障会议的正常进行；</w:t>
            </w:r>
            <w:r>
              <w:rPr>
                <w:rFonts w:hint="eastAsia" w:ascii="Times New Roman" w:hAnsi="Times New Roman" w:eastAsia="宋体"/>
                <w:b/>
                <w:bCs/>
                <w:sz w:val="24"/>
                <w:szCs w:val="24"/>
                <w:highlight w:val="none"/>
              </w:rPr>
              <w:t>请在投标文件中提供加盖投标人或授权厂商公章的权威机构检测报告复印件；授权需提供原厂商授权函。</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支持传输数据中转，支持多路实时互备、多路自动切换、躲避网络拥塞等特征，确保网络传输延时最短、丢包抖动最少，将媒体高效传递到通信终端；</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支持基于网络质量（丢包、延时、抖动）、历史</w:t>
            </w:r>
            <w:r>
              <w:rPr>
                <w:rFonts w:ascii="Times New Roman" w:hAnsi="Times New Roman" w:eastAsia="宋体"/>
                <w:sz w:val="24"/>
                <w:szCs w:val="24"/>
                <w:highlight w:val="none"/>
              </w:rPr>
              <w:t>QOE</w:t>
            </w:r>
            <w:r>
              <w:rPr>
                <w:rFonts w:hint="eastAsia" w:ascii="Times New Roman" w:hAnsi="Times New Roman" w:eastAsia="宋体"/>
                <w:sz w:val="24"/>
                <w:szCs w:val="24"/>
                <w:highlight w:val="none"/>
              </w:rPr>
              <w:t>、设备负载等数据，提供综合即时决策传输路径。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602"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音视频指标</w:t>
            </w: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w:t>
            </w:r>
            <w:r>
              <w:rPr>
                <w:rFonts w:ascii="Times New Roman" w:hAnsi="Times New Roman" w:eastAsia="宋体"/>
                <w:sz w:val="24"/>
                <w:szCs w:val="24"/>
                <w:highlight w:val="none"/>
              </w:rPr>
              <w:t>H.264</w:t>
            </w:r>
            <w:r>
              <w:rPr>
                <w:rFonts w:hint="eastAsia" w:ascii="Times New Roman" w:hAnsi="Times New Roman" w:eastAsia="宋体"/>
                <w:sz w:val="24"/>
                <w:szCs w:val="24"/>
                <w:highlight w:val="none"/>
              </w:rPr>
              <w:t>视频编码，码率动态支持</w:t>
            </w:r>
            <w:r>
              <w:rPr>
                <w:rFonts w:ascii="Times New Roman" w:hAnsi="Times New Roman" w:eastAsia="宋体"/>
                <w:sz w:val="24"/>
                <w:szCs w:val="24"/>
                <w:highlight w:val="none"/>
              </w:rPr>
              <w:t>150Kbps-20Mbps</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w:t>
            </w:r>
            <w:r>
              <w:rPr>
                <w:rFonts w:ascii="Times New Roman" w:hAnsi="Times New Roman" w:eastAsia="宋体"/>
                <w:sz w:val="24"/>
                <w:szCs w:val="24"/>
                <w:highlight w:val="none"/>
              </w:rPr>
              <w:t>Speex</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OPUS</w:t>
            </w:r>
            <w:r>
              <w:rPr>
                <w:rFonts w:hint="eastAsia" w:ascii="Times New Roman" w:hAnsi="Times New Roman" w:eastAsia="宋体"/>
                <w:sz w:val="24"/>
                <w:szCs w:val="24"/>
                <w:highlight w:val="none"/>
              </w:rPr>
              <w:t>音频编码；</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w:t>
            </w:r>
            <w:r>
              <w:rPr>
                <w:rFonts w:ascii="Times New Roman" w:hAnsi="Times New Roman" w:eastAsia="宋体"/>
                <w:sz w:val="24"/>
                <w:szCs w:val="24"/>
                <w:highlight w:val="none"/>
              </w:rPr>
              <w:t>AEC</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NR</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AGC</w:t>
            </w:r>
            <w:r>
              <w:rPr>
                <w:rFonts w:hint="eastAsia" w:ascii="Times New Roman" w:hAnsi="Times New Roman" w:eastAsia="宋体"/>
                <w:sz w:val="24"/>
                <w:szCs w:val="24"/>
                <w:highlight w:val="none"/>
              </w:rPr>
              <w:t>等音频处理方式；</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4</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支持唇音同步，误差应不可察觉，相对延迟小于</w:t>
            </w:r>
            <w:r>
              <w:rPr>
                <w:rFonts w:ascii="Times New Roman" w:hAnsi="Times New Roman" w:eastAsia="宋体"/>
                <w:sz w:val="24"/>
                <w:szCs w:val="24"/>
                <w:highlight w:val="none"/>
              </w:rPr>
              <w:t>40ms</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5</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支持医疗视讯协同过程中多方高清实时互动讨论，延时小于</w:t>
            </w:r>
            <w:r>
              <w:rPr>
                <w:rFonts w:ascii="Times New Roman" w:hAnsi="Times New Roman" w:eastAsia="宋体"/>
                <w:sz w:val="24"/>
                <w:szCs w:val="24"/>
                <w:highlight w:val="none"/>
              </w:rPr>
              <w:t>350ms</w:t>
            </w:r>
            <w:r>
              <w:rPr>
                <w:rFonts w:hint="eastAsia" w:ascii="Times New Roman" w:hAnsi="Times New Roman" w:eastAsia="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pct"/>
            <w:vMerge w:val="restar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远程仿真操控</w:t>
            </w: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b/>
                <w:bCs/>
                <w:iCs/>
                <w:kern w:val="2"/>
                <w:sz w:val="24"/>
                <w:highlight w:val="none"/>
                <w:shd w:val="clear" w:color="auto" w:fill="FFFFFF"/>
              </w:rPr>
            </w:pPr>
            <w:r>
              <w:rPr>
                <w:rFonts w:hint="eastAsia" w:ascii="Times New Roman" w:hAnsi="Times New Roman" w:eastAsia="宋体"/>
                <w:iCs/>
                <w:sz w:val="24"/>
                <w:highlight w:val="none"/>
                <w:shd w:val="clear" w:color="auto" w:fill="FFFFFF"/>
              </w:rPr>
              <w:t>（</w:t>
            </w:r>
            <w:r>
              <w:rPr>
                <w:rFonts w:ascii="Times New Roman" w:hAnsi="Times New Roman" w:eastAsia="宋体"/>
                <w:iCs/>
                <w:sz w:val="24"/>
                <w:highlight w:val="none"/>
                <w:shd w:val="clear" w:color="auto" w:fill="FFFFFF"/>
              </w:rPr>
              <w:t>1</w:t>
            </w:r>
            <w:r>
              <w:rPr>
                <w:rFonts w:hint="eastAsia" w:ascii="Times New Roman" w:hAnsi="Times New Roman" w:eastAsia="宋体"/>
                <w:iCs/>
                <w:sz w:val="24"/>
                <w:highlight w:val="none"/>
                <w:shd w:val="clear" w:color="auto" w:fill="FFFFFF"/>
              </w:rPr>
              <w:t>）</w:t>
            </w:r>
            <w:r>
              <w:rPr>
                <w:rFonts w:ascii="Times New Roman" w:hAnsi="Times New Roman" w:eastAsia="宋体"/>
                <w:iCs/>
                <w:sz w:val="24"/>
                <w:highlight w:val="none"/>
                <w:shd w:val="clear" w:color="auto" w:fill="FFFFFF"/>
              </w:rPr>
              <w:t>▲</w:t>
            </w:r>
            <w:r>
              <w:rPr>
                <w:rFonts w:hint="eastAsia" w:ascii="Times New Roman" w:hAnsi="Times New Roman" w:eastAsia="宋体"/>
                <w:iCs/>
                <w:sz w:val="24"/>
                <w:highlight w:val="none"/>
                <w:shd w:val="clear" w:color="auto" w:fill="FFFFFF"/>
              </w:rPr>
              <w:t>支持无介入式远程仿真控制，以满足无需在医疗设备和工作站上额外安装软硬件，即可以对医疗设备和工作站进行远程仿真、控制的需求；</w:t>
            </w:r>
            <w:r>
              <w:rPr>
                <w:rFonts w:hint="eastAsia" w:ascii="Times New Roman" w:hAnsi="Times New Roman" w:eastAsia="宋体"/>
                <w:b/>
                <w:bCs/>
                <w:iCs/>
                <w:sz w:val="24"/>
                <w:highlight w:val="none"/>
                <w:shd w:val="clear" w:color="auto" w:fill="FFFFFF"/>
              </w:rPr>
              <w:t>请在投标文件中提供加盖投标人或授权厂商公章的第三方权威检测报告复印件，或者加盖投标人或授权厂商公章的专利证明复印件；授权需提供原厂商授权函。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rPr>
                <w:sz w:val="24"/>
                <w:szCs w:val="24"/>
                <w:highlight w:val="none"/>
              </w:rPr>
            </w:pP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支持授权操作，远程协同操作过程全程可见，所有操作均在授权情况下才能进行，被控制设备不要求有网络接入；</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支持在终端设备远程操控基础上，进行多方标注，支持文字标注、支持鼠标标记、支持画线、箭头、图形、马赛克、支持插入图标标记、支持图标放大、缩小、拖动、旋转等、支持擦除、全部清除功能；</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4</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支持各种医疗设备的远程操控，包括但不限于</w:t>
            </w:r>
            <w:r>
              <w:rPr>
                <w:rFonts w:ascii="Times New Roman" w:hAnsi="Times New Roman" w:eastAsia="宋体"/>
                <w:sz w:val="24"/>
                <w:szCs w:val="24"/>
                <w:highlight w:val="none"/>
              </w:rPr>
              <w:t>HISI\PACS\EMR</w:t>
            </w:r>
            <w:r>
              <w:rPr>
                <w:rFonts w:hint="eastAsia" w:ascii="Times New Roman" w:hAnsi="Times New Roman" w:eastAsia="宋体"/>
                <w:sz w:val="24"/>
                <w:szCs w:val="24"/>
                <w:highlight w:val="none"/>
              </w:rPr>
              <w:t>工作站、</w:t>
            </w:r>
            <w:r>
              <w:rPr>
                <w:rFonts w:ascii="Times New Roman" w:hAnsi="Times New Roman" w:eastAsia="宋体"/>
                <w:sz w:val="24"/>
                <w:szCs w:val="24"/>
                <w:highlight w:val="none"/>
              </w:rPr>
              <w:t>CT\MR\DR\IVUS</w:t>
            </w:r>
            <w:r>
              <w:rPr>
                <w:rFonts w:hint="eastAsia" w:ascii="Times New Roman" w:hAnsi="Times New Roman" w:eastAsia="宋体"/>
                <w:sz w:val="24"/>
                <w:szCs w:val="24"/>
                <w:highlight w:val="none"/>
              </w:rPr>
              <w:t>工作站、病理工作站等。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多流功能要求</w:t>
            </w: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支持视频多流传输，支持同一个终端同时发送二路人像和二路数据，每路均支持</w:t>
            </w:r>
            <w:r>
              <w:rPr>
                <w:rFonts w:ascii="Times New Roman" w:hAnsi="Times New Roman" w:eastAsia="宋体"/>
                <w:sz w:val="24"/>
                <w:szCs w:val="24"/>
                <w:highlight w:val="none"/>
              </w:rPr>
              <w:t>1080P</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数据画面支持</w:t>
            </w:r>
            <w:r>
              <w:rPr>
                <w:rFonts w:ascii="Times New Roman" w:hAnsi="Times New Roman" w:eastAsia="宋体"/>
                <w:sz w:val="24"/>
                <w:szCs w:val="24"/>
                <w:highlight w:val="none"/>
              </w:rPr>
              <w:t>4</w:t>
            </w:r>
            <w:r>
              <w:rPr>
                <w:rFonts w:hint="eastAsia" w:ascii="Times New Roman" w:hAnsi="Times New Roman" w:eastAsia="宋体"/>
                <w:sz w:val="24"/>
                <w:szCs w:val="24"/>
                <w:highlight w:val="none"/>
              </w:rPr>
              <w:t>路及以上视频信号同时采集和混屏编码，分辨率至少支持</w:t>
            </w:r>
            <w:r>
              <w:rPr>
                <w:rFonts w:ascii="Times New Roman" w:hAnsi="Times New Roman" w:eastAsia="宋体"/>
                <w:sz w:val="24"/>
                <w:szCs w:val="24"/>
                <w:highlight w:val="none"/>
              </w:rPr>
              <w:t>1080P</w:t>
            </w:r>
            <w:r>
              <w:rPr>
                <w:rFonts w:hint="eastAsia" w:ascii="Times New Roman" w:hAnsi="Times New Roman" w:eastAsia="宋体"/>
                <w:sz w:val="24"/>
                <w:szCs w:val="24"/>
                <w:highlight w:val="none"/>
              </w:rPr>
              <w:t>，支持多路医学影像视频信号混屏组合，支持组合画面远程切换。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远程摄像控制</w:t>
            </w:r>
          </w:p>
        </w:tc>
        <w:tc>
          <w:tcPr>
            <w:tcW w:w="4397" w:type="pct"/>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b/>
                <w:bCs/>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为方便专家远程会诊指导，必须支持远程摄像控制功能，专家可远程控制基层医院摄像头的云台和焦距，实现拍摄位置变化以及拍摄画面的放大缩小；</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支持远程摄像头位置预置功能，远程选择预置位，摄像头位置即调整到指定位置。预置位不低于</w:t>
            </w:r>
            <w:r>
              <w:rPr>
                <w:rFonts w:ascii="Times New Roman" w:hAnsi="Times New Roman" w:eastAsia="宋体"/>
                <w:sz w:val="24"/>
                <w:szCs w:val="24"/>
                <w:highlight w:val="none"/>
              </w:rPr>
              <w:t>6</w:t>
            </w:r>
            <w:r>
              <w:rPr>
                <w:rFonts w:hint="eastAsia" w:ascii="Times New Roman" w:hAnsi="Times New Roman" w:eastAsia="宋体"/>
                <w:sz w:val="24"/>
                <w:szCs w:val="24"/>
                <w:highlight w:val="none"/>
              </w:rPr>
              <w:t>个。</w:t>
            </w:r>
          </w:p>
        </w:tc>
      </w:tr>
    </w:tbl>
    <w:p>
      <w:pPr>
        <w:pStyle w:val="7"/>
        <w:widowControl/>
        <w:kinsoku/>
        <w:wordWrap/>
        <w:overflowPunct/>
        <w:topLinePunct w:val="0"/>
        <w:bidi w:val="0"/>
        <w:adjustRightInd w:val="0"/>
        <w:snapToGrid w:val="0"/>
        <w:spacing w:line="360" w:lineRule="auto"/>
        <w:ind w:left="1260"/>
        <w:rPr>
          <w:rFonts w:ascii="Times New Roman" w:hAnsi="Times New Roman"/>
          <w:b/>
          <w:bCs/>
          <w:kern w:val="0"/>
          <w:sz w:val="24"/>
          <w:szCs w:val="24"/>
          <w:highlight w:val="none"/>
        </w:rPr>
      </w:pPr>
    </w:p>
    <w:p>
      <w:pPr>
        <w:widowControl/>
        <w:kinsoku/>
        <w:wordWrap/>
        <w:overflowPunct/>
        <w:topLinePunct w:val="0"/>
        <w:bidi w:val="0"/>
        <w:spacing w:line="360" w:lineRule="auto"/>
        <w:jc w:val="left"/>
        <w:rPr>
          <w:b/>
          <w:bCs/>
          <w:kern w:val="0"/>
          <w:sz w:val="24"/>
          <w:szCs w:val="24"/>
          <w:highlight w:val="none"/>
        </w:rPr>
        <w:sectPr>
          <w:pgSz w:w="11906" w:h="16838"/>
          <w:pgMar w:top="720" w:right="720" w:bottom="720" w:left="720" w:header="851" w:footer="992" w:gutter="0"/>
          <w:cols w:space="720" w:num="1"/>
        </w:sectPr>
      </w:pPr>
    </w:p>
    <w:p>
      <w:pPr>
        <w:pStyle w:val="7"/>
        <w:widowControl/>
        <w:kinsoku/>
        <w:wordWrap/>
        <w:overflowPunct/>
        <w:topLinePunct w:val="0"/>
        <w:bidi w:val="0"/>
        <w:adjustRightInd w:val="0"/>
        <w:snapToGrid w:val="0"/>
        <w:spacing w:line="360" w:lineRule="auto"/>
        <w:ind w:left="420" w:leftChars="200"/>
        <w:rPr>
          <w:rFonts w:ascii="Times New Roman" w:hAnsi="Times New Roman"/>
          <w:b/>
          <w:bCs/>
          <w:sz w:val="24"/>
          <w:szCs w:val="24"/>
          <w:highlight w:val="none"/>
        </w:rPr>
      </w:pPr>
      <w:r>
        <w:rPr>
          <w:rFonts w:ascii="Times New Roman" w:hAnsi="Times New Roman"/>
          <w:b/>
          <w:bCs/>
          <w:kern w:val="0"/>
          <w:sz w:val="24"/>
          <w:szCs w:val="24"/>
          <w:highlight w:val="none"/>
        </w:rPr>
        <w:t>2</w:t>
      </w:r>
      <w:r>
        <w:rPr>
          <w:rFonts w:hint="eastAsia" w:ascii="Times New Roman" w:hAnsi="Times New Roman"/>
          <w:b/>
          <w:bCs/>
          <w:kern w:val="0"/>
          <w:sz w:val="24"/>
          <w:szCs w:val="24"/>
          <w:highlight w:val="none"/>
        </w:rPr>
        <w:t>．云诊室分体式终端</w:t>
      </w:r>
    </w:p>
    <w:tbl>
      <w:tblPr>
        <w:tblStyle w:val="12"/>
        <w:tblW w:w="0" w:type="auto"/>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7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b/>
                <w:bCs/>
                <w:sz w:val="24"/>
                <w:szCs w:val="24"/>
                <w:highlight w:val="none"/>
              </w:rPr>
            </w:pPr>
            <w:r>
              <w:rPr>
                <w:rFonts w:hint="eastAsia" w:eastAsia="宋体"/>
                <w:b/>
                <w:bCs/>
                <w:sz w:val="24"/>
                <w:szCs w:val="24"/>
                <w:highlight w:val="none"/>
              </w:rPr>
              <w:t>服务内容</w:t>
            </w:r>
          </w:p>
        </w:tc>
        <w:tc>
          <w:tcPr>
            <w:tcW w:w="899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b/>
                <w:bCs/>
                <w:sz w:val="24"/>
                <w:szCs w:val="24"/>
                <w:highlight w:val="none"/>
              </w:rPr>
            </w:pPr>
            <w:r>
              <w:rPr>
                <w:rFonts w:hint="eastAsia" w:eastAsia="宋体"/>
                <w:b/>
                <w:bCs/>
                <w:sz w:val="24"/>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医疗会诊终端</w:t>
            </w:r>
          </w:p>
        </w:tc>
        <w:tc>
          <w:tcPr>
            <w:tcW w:w="8990" w:type="dxa"/>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远程控制接口</w:t>
            </w:r>
            <w:r>
              <w:rPr>
                <w:rFonts w:ascii="Times New Roman" w:hAnsi="Times New Roman" w:eastAsia="宋体"/>
                <w:sz w:val="24"/>
                <w:szCs w:val="24"/>
                <w:highlight w:val="none"/>
              </w:rPr>
              <w:t>≥2</w:t>
            </w:r>
            <w:r>
              <w:rPr>
                <w:rFonts w:hint="eastAsia" w:ascii="Times New Roman" w:hAnsi="Times New Roman" w:eastAsia="宋体"/>
                <w:sz w:val="24"/>
                <w:szCs w:val="24"/>
                <w:highlight w:val="none"/>
              </w:rPr>
              <w:t>个；</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视频输入</w:t>
            </w:r>
            <w:r>
              <w:rPr>
                <w:rFonts w:ascii="Times New Roman" w:hAnsi="Times New Roman" w:eastAsia="宋体"/>
                <w:sz w:val="24"/>
                <w:szCs w:val="24"/>
                <w:highlight w:val="none"/>
              </w:rPr>
              <w:t>≥4</w:t>
            </w:r>
            <w:r>
              <w:rPr>
                <w:rFonts w:hint="eastAsia" w:ascii="Times New Roman" w:hAnsi="Times New Roman" w:eastAsia="宋体"/>
                <w:sz w:val="24"/>
                <w:szCs w:val="24"/>
                <w:highlight w:val="none"/>
              </w:rPr>
              <w:t>路</w:t>
            </w:r>
            <w:r>
              <w:rPr>
                <w:rFonts w:ascii="Times New Roman" w:hAnsi="Times New Roman" w:eastAsia="宋体"/>
                <w:sz w:val="24"/>
                <w:szCs w:val="24"/>
                <w:highlight w:val="none"/>
              </w:rPr>
              <w:t>HDMI/SDI</w:t>
            </w:r>
            <w:r>
              <w:rPr>
                <w:rFonts w:hint="eastAsia" w:ascii="Times New Roman" w:hAnsi="Times New Roman" w:eastAsia="宋体"/>
                <w:sz w:val="24"/>
                <w:szCs w:val="24"/>
                <w:highlight w:val="none"/>
              </w:rPr>
              <w:t>等接口输入；</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w:t>
            </w:r>
            <w:r>
              <w:rPr>
                <w:rFonts w:hint="eastAsia" w:ascii="Times New Roman" w:hAnsi="Times New Roman" w:eastAsia="宋体"/>
                <w:sz w:val="24"/>
                <w:szCs w:val="24"/>
                <w:highlight w:val="none"/>
              </w:rPr>
              <w:t>视频输出</w:t>
            </w:r>
            <w:r>
              <w:rPr>
                <w:rFonts w:ascii="Times New Roman" w:hAnsi="Times New Roman" w:eastAsia="宋体"/>
                <w:sz w:val="24"/>
                <w:szCs w:val="24"/>
                <w:highlight w:val="none"/>
              </w:rPr>
              <w:t>≥2</w:t>
            </w:r>
            <w:r>
              <w:rPr>
                <w:rFonts w:hint="eastAsia" w:ascii="Times New Roman" w:hAnsi="Times New Roman" w:eastAsia="宋体"/>
                <w:sz w:val="24"/>
                <w:szCs w:val="24"/>
                <w:highlight w:val="none"/>
              </w:rPr>
              <w:t>路</w:t>
            </w:r>
            <w:r>
              <w:rPr>
                <w:rFonts w:ascii="Times New Roman" w:hAnsi="Times New Roman" w:eastAsia="宋体"/>
                <w:sz w:val="24"/>
                <w:szCs w:val="24"/>
                <w:highlight w:val="none"/>
              </w:rPr>
              <w:t>HDMI/USB-C(DP)</w:t>
            </w:r>
            <w:r>
              <w:rPr>
                <w:rFonts w:hint="eastAsia" w:ascii="Times New Roman" w:hAnsi="Times New Roman" w:eastAsia="宋体"/>
                <w:sz w:val="24"/>
                <w:szCs w:val="24"/>
                <w:highlight w:val="none"/>
              </w:rPr>
              <w:t>等接口输出；</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4</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USB</w:t>
            </w:r>
            <w:r>
              <w:rPr>
                <w:rFonts w:hint="eastAsia" w:ascii="Times New Roman" w:hAnsi="Times New Roman" w:eastAsia="宋体"/>
                <w:sz w:val="24"/>
                <w:szCs w:val="24"/>
                <w:highlight w:val="none"/>
              </w:rPr>
              <w:t>口</w:t>
            </w:r>
            <w:r>
              <w:rPr>
                <w:rFonts w:ascii="Times New Roman" w:hAnsi="Times New Roman" w:eastAsia="宋体"/>
                <w:sz w:val="24"/>
                <w:szCs w:val="24"/>
                <w:highlight w:val="none"/>
              </w:rPr>
              <w:t>≥4</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b/>
                <w:bCs/>
                <w:iCs/>
                <w:sz w:val="24"/>
                <w:highlight w:val="none"/>
                <w:shd w:val="clear" w:color="auto" w:fill="FFFFFF"/>
              </w:rPr>
              <w:t>注：带</w:t>
            </w:r>
            <w:r>
              <w:rPr>
                <w:rFonts w:ascii="Times New Roman" w:hAnsi="Times New Roman" w:eastAsia="宋体"/>
                <w:b/>
                <w:bCs/>
                <w:iCs/>
                <w:sz w:val="24"/>
                <w:highlight w:val="none"/>
                <w:shd w:val="clear" w:color="auto" w:fill="FFFFFF"/>
              </w:rPr>
              <w:t>“▲”</w:t>
            </w:r>
            <w:r>
              <w:rPr>
                <w:rFonts w:hint="eastAsia" w:ascii="Times New Roman" w:hAnsi="Times New Roman" w:eastAsia="宋体"/>
                <w:b/>
                <w:bCs/>
                <w:iCs/>
                <w:sz w:val="24"/>
                <w:highlight w:val="none"/>
                <w:shd w:val="clear" w:color="auto" w:fill="FFFFFF"/>
              </w:rPr>
              <w:t>项请在投标文件中</w:t>
            </w:r>
            <w:r>
              <w:rPr>
                <w:rFonts w:hint="eastAsia" w:ascii="Times New Roman" w:hAnsi="Times New Roman" w:eastAsia="宋体"/>
                <w:b/>
                <w:bCs/>
                <w:sz w:val="24"/>
                <w:highlight w:val="none"/>
              </w:rPr>
              <w:t>提供加盖投标人公章的产品彩页，彩页中应包含清晰的设备前板、背板图片及核心参数</w:t>
            </w:r>
            <w:r>
              <w:rPr>
                <w:rFonts w:hint="eastAsia" w:ascii="Times New Roman" w:hAnsi="Times New Roman" w:eastAsia="宋体"/>
                <w:b/>
                <w:bCs/>
                <w:sz w:val="24"/>
                <w:szCs w:val="24"/>
                <w:highlight w:val="none"/>
              </w:rPr>
              <w:t>；</w:t>
            </w:r>
            <w:r>
              <w:rPr>
                <w:rFonts w:hint="eastAsia" w:ascii="Times New Roman" w:hAnsi="Times New Roman" w:eastAsia="宋体"/>
                <w:b/>
                <w:bCs/>
                <w:sz w:val="24"/>
                <w:highlight w:val="none"/>
              </w:rPr>
              <w:t>授权需提供原厂商授权函。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高清特写摄像头</w:t>
            </w:r>
          </w:p>
        </w:tc>
        <w:tc>
          <w:tcPr>
            <w:tcW w:w="8990" w:type="dxa"/>
            <w:tcBorders>
              <w:top w:val="single" w:color="auto" w:sz="4" w:space="0"/>
              <w:left w:val="single" w:color="auto" w:sz="4" w:space="0"/>
              <w:bottom w:val="single" w:color="auto" w:sz="4" w:space="0"/>
              <w:right w:val="single" w:color="auto" w:sz="4" w:space="0"/>
            </w:tcBorders>
            <w:vAlign w:val="center"/>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图像传感器：</w:t>
            </w:r>
            <w:r>
              <w:rPr>
                <w:rFonts w:ascii="Times New Roman" w:hAnsi="Times New Roman" w:eastAsia="宋体"/>
                <w:sz w:val="24"/>
                <w:szCs w:val="24"/>
                <w:highlight w:val="none"/>
              </w:rPr>
              <w:t>1/2.8</w:t>
            </w:r>
            <w:r>
              <w:rPr>
                <w:rFonts w:hint="eastAsia" w:ascii="Times New Roman" w:hAnsi="Times New Roman" w:eastAsia="宋体"/>
                <w:sz w:val="24"/>
                <w:szCs w:val="24"/>
                <w:highlight w:val="none"/>
              </w:rPr>
              <w:t>英寸；</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像素</w:t>
            </w:r>
            <w:r>
              <w:rPr>
                <w:rFonts w:ascii="Times New Roman" w:hAnsi="Times New Roman" w:eastAsia="宋体"/>
                <w:sz w:val="24"/>
                <w:szCs w:val="24"/>
                <w:highlight w:val="none"/>
              </w:rPr>
              <w:t>≥350</w:t>
            </w:r>
            <w:r>
              <w:rPr>
                <w:rFonts w:hint="eastAsia" w:ascii="Times New Roman" w:hAnsi="Times New Roman" w:eastAsia="宋体"/>
                <w:sz w:val="24"/>
                <w:szCs w:val="24"/>
                <w:highlight w:val="none"/>
              </w:rPr>
              <w:t>万（</w:t>
            </w:r>
            <w:r>
              <w:rPr>
                <w:rFonts w:ascii="Times New Roman" w:hAnsi="Times New Roman" w:eastAsia="宋体"/>
                <w:sz w:val="24"/>
                <w:szCs w:val="24"/>
                <w:highlight w:val="none"/>
              </w:rPr>
              <w:t>16</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9</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1080p/60</w:t>
            </w:r>
            <w:r>
              <w:rPr>
                <w:rFonts w:hint="eastAsia" w:ascii="Times New Roman" w:hAnsi="Times New Roman" w:eastAsia="宋体"/>
                <w:sz w:val="24"/>
                <w:szCs w:val="24"/>
                <w:highlight w:val="none"/>
              </w:rPr>
              <w:t>及以上；</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4</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镜头：至少</w:t>
            </w:r>
            <w:r>
              <w:rPr>
                <w:rFonts w:ascii="Times New Roman" w:hAnsi="Times New Roman" w:eastAsia="宋体"/>
                <w:sz w:val="24"/>
                <w:szCs w:val="24"/>
                <w:highlight w:val="none"/>
              </w:rPr>
              <w:t>20</w:t>
            </w:r>
            <w:r>
              <w:rPr>
                <w:rFonts w:hint="eastAsia" w:ascii="Times New Roman" w:hAnsi="Times New Roman" w:eastAsia="宋体"/>
                <w:sz w:val="24"/>
                <w:szCs w:val="24"/>
                <w:highlight w:val="none"/>
              </w:rPr>
              <w:t>倍光学变焦，</w:t>
            </w:r>
            <w:r>
              <w:rPr>
                <w:rFonts w:ascii="Times New Roman" w:hAnsi="Times New Roman" w:eastAsia="宋体"/>
                <w:sz w:val="24"/>
                <w:szCs w:val="24"/>
                <w:highlight w:val="none"/>
              </w:rPr>
              <w:t>f=4.7mm</w:t>
            </w:r>
            <w:r>
              <w:rPr>
                <w:rFonts w:hint="eastAsia" w:ascii="Times New Roman" w:hAnsi="Times New Roman" w:eastAsia="宋体"/>
                <w:sz w:val="24"/>
                <w:szCs w:val="24"/>
                <w:highlight w:val="none"/>
              </w:rPr>
              <w:t>（广角端）～</w:t>
            </w:r>
            <w:r>
              <w:rPr>
                <w:rFonts w:ascii="Times New Roman" w:hAnsi="Times New Roman" w:eastAsia="宋体"/>
                <w:sz w:val="24"/>
                <w:szCs w:val="24"/>
                <w:highlight w:val="none"/>
              </w:rPr>
              <w:t>94.0 mm</w:t>
            </w:r>
            <w:r>
              <w:rPr>
                <w:rFonts w:hint="eastAsia" w:ascii="Times New Roman" w:hAnsi="Times New Roman" w:eastAsia="宋体"/>
                <w:sz w:val="24"/>
                <w:szCs w:val="24"/>
                <w:highlight w:val="none"/>
              </w:rPr>
              <w:t>（远端）；</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5</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水平视角：</w:t>
            </w:r>
            <w:r>
              <w:rPr>
                <w:rFonts w:ascii="Times New Roman" w:hAnsi="Times New Roman" w:eastAsia="宋体"/>
                <w:sz w:val="24"/>
                <w:szCs w:val="24"/>
                <w:highlight w:val="none"/>
              </w:rPr>
              <w:t>58.7°</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W</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3.2°</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T</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6</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信噪比：</w:t>
            </w:r>
            <w:r>
              <w:rPr>
                <w:rFonts w:ascii="Times New Roman" w:hAnsi="Times New Roman" w:eastAsia="宋体"/>
                <w:sz w:val="24"/>
                <w:szCs w:val="24"/>
                <w:highlight w:val="none"/>
              </w:rPr>
              <w:t>≥50dB</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7</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水平摇移：</w:t>
            </w:r>
            <w:r>
              <w:rPr>
                <w:rFonts w:ascii="Times New Roman" w:hAnsi="Times New Roman" w:eastAsia="宋体"/>
                <w:sz w:val="24"/>
                <w:szCs w:val="24"/>
                <w:highlight w:val="none"/>
              </w:rPr>
              <w:t>355°</w:t>
            </w:r>
            <w:r>
              <w:rPr>
                <w:rFonts w:hint="eastAsia" w:ascii="Times New Roman" w:hAnsi="Times New Roman" w:eastAsia="宋体"/>
                <w:sz w:val="24"/>
                <w:szCs w:val="24"/>
                <w:highlight w:val="none"/>
              </w:rPr>
              <w:t>（最大速度</w:t>
            </w:r>
            <w:r>
              <w:rPr>
                <w:rFonts w:ascii="Times New Roman" w:hAnsi="Times New Roman" w:eastAsia="宋体"/>
                <w:sz w:val="24"/>
                <w:szCs w:val="24"/>
                <w:highlight w:val="none"/>
              </w:rPr>
              <w:t>80°/</w:t>
            </w:r>
            <w:r>
              <w:rPr>
                <w:rFonts w:hint="eastAsia" w:ascii="Times New Roman" w:hAnsi="Times New Roman" w:eastAsia="宋体"/>
                <w:sz w:val="24"/>
                <w:szCs w:val="24"/>
                <w:highlight w:val="none"/>
              </w:rPr>
              <w:t>秒）；</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8</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俯仰摇移：</w:t>
            </w:r>
            <w:r>
              <w:rPr>
                <w:rFonts w:ascii="Times New Roman" w:hAnsi="Times New Roman" w:eastAsia="宋体"/>
                <w:sz w:val="24"/>
                <w:szCs w:val="24"/>
                <w:highlight w:val="none"/>
              </w:rPr>
              <w:t>-30</w:t>
            </w:r>
            <w:r>
              <w:rPr>
                <w:rFonts w:hint="eastAsia" w:ascii="Times New Roman" w:hAnsi="Times New Roman" w:eastAsia="宋体"/>
                <w:sz w:val="24"/>
                <w:szCs w:val="24"/>
                <w:highlight w:val="none"/>
              </w:rPr>
              <w:t>度至</w:t>
            </w:r>
            <w:r>
              <w:rPr>
                <w:rFonts w:ascii="Times New Roman" w:hAnsi="Times New Roman" w:eastAsia="宋体"/>
                <w:sz w:val="24"/>
                <w:szCs w:val="24"/>
                <w:highlight w:val="none"/>
              </w:rPr>
              <w:t>90</w:t>
            </w:r>
            <w:r>
              <w:rPr>
                <w:rFonts w:hint="eastAsia" w:ascii="Times New Roman" w:hAnsi="Times New Roman" w:eastAsia="宋体"/>
                <w:sz w:val="24"/>
                <w:szCs w:val="24"/>
                <w:highlight w:val="none"/>
              </w:rPr>
              <w:t>度（最大速度</w:t>
            </w:r>
            <w:r>
              <w:rPr>
                <w:rFonts w:ascii="Times New Roman" w:hAnsi="Times New Roman" w:eastAsia="宋体"/>
                <w:sz w:val="24"/>
                <w:szCs w:val="24"/>
                <w:highlight w:val="none"/>
              </w:rPr>
              <w:t>60°/</w:t>
            </w:r>
            <w:r>
              <w:rPr>
                <w:rFonts w:hint="eastAsia" w:ascii="Times New Roman" w:hAnsi="Times New Roman" w:eastAsia="宋体"/>
                <w:sz w:val="24"/>
                <w:szCs w:val="24"/>
                <w:highlight w:val="none"/>
              </w:rPr>
              <w:t>秒）；</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9</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预置位：遥控至少</w:t>
            </w:r>
            <w:r>
              <w:rPr>
                <w:rFonts w:ascii="Times New Roman" w:hAnsi="Times New Roman" w:eastAsia="宋体"/>
                <w:sz w:val="24"/>
                <w:szCs w:val="24"/>
                <w:highlight w:val="none"/>
              </w:rPr>
              <w:t>9</w:t>
            </w:r>
            <w:r>
              <w:rPr>
                <w:rFonts w:hint="eastAsia" w:ascii="Times New Roman" w:hAnsi="Times New Roman" w:eastAsia="宋体"/>
                <w:sz w:val="24"/>
                <w:szCs w:val="24"/>
                <w:highlight w:val="none"/>
              </w:rPr>
              <w:t>个，最多可设</w:t>
            </w:r>
            <w:r>
              <w:rPr>
                <w:rFonts w:ascii="Times New Roman" w:hAnsi="Times New Roman" w:eastAsia="宋体"/>
                <w:sz w:val="24"/>
                <w:szCs w:val="24"/>
                <w:highlight w:val="none"/>
              </w:rPr>
              <w:t>200</w:t>
            </w:r>
            <w:r>
              <w:rPr>
                <w:rFonts w:hint="eastAsia" w:ascii="Times New Roman" w:hAnsi="Times New Roman" w:eastAsia="宋体"/>
                <w:sz w:val="24"/>
                <w:szCs w:val="24"/>
                <w:highlight w:val="none"/>
              </w:rPr>
              <w:t>个预置位；</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10</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视频输出</w:t>
            </w:r>
            <w:r>
              <w:rPr>
                <w:rFonts w:ascii="Times New Roman" w:hAnsi="Times New Roman" w:eastAsia="宋体"/>
                <w:sz w:val="24"/>
                <w:szCs w:val="24"/>
                <w:highlight w:val="none"/>
              </w:rPr>
              <w:t>HD</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HDMI/3G-SDI/USB2.0/RJ-45</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11</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音频输入：</w:t>
            </w:r>
            <w:r>
              <w:rPr>
                <w:rFonts w:ascii="Times New Roman" w:hAnsi="Times New Roman" w:eastAsia="宋体"/>
                <w:sz w:val="24"/>
                <w:szCs w:val="24"/>
                <w:highlight w:val="none"/>
              </w:rPr>
              <w:t>3.5mm</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b/>
                <w:bCs/>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控制协议：</w:t>
            </w:r>
            <w:r>
              <w:rPr>
                <w:rFonts w:ascii="Times New Roman" w:hAnsi="Times New Roman" w:eastAsia="宋体"/>
                <w:sz w:val="24"/>
                <w:szCs w:val="24"/>
                <w:highlight w:val="none"/>
              </w:rPr>
              <w:t>VISCA</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P/D</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13</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控制方式：</w:t>
            </w:r>
            <w:r>
              <w:rPr>
                <w:rFonts w:ascii="Times New Roman" w:hAnsi="Times New Roman" w:eastAsia="宋体"/>
                <w:sz w:val="24"/>
                <w:szCs w:val="24"/>
                <w:highlight w:val="none"/>
              </w:rPr>
              <w:t>RS-232C</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RS-422/485</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USB</w:t>
            </w:r>
            <w:r>
              <w:rPr>
                <w:rFonts w:hint="eastAsia" w:ascii="Times New Roman" w:hAnsi="Times New Roman" w:eastAsia="宋体"/>
                <w:sz w:val="24"/>
                <w:szCs w:val="24"/>
                <w:highlight w:val="none"/>
              </w:rPr>
              <w:t>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高清全景摄像头</w:t>
            </w:r>
          </w:p>
        </w:tc>
        <w:tc>
          <w:tcPr>
            <w:tcW w:w="8990" w:type="dxa"/>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USB</w:t>
            </w:r>
            <w:r>
              <w:rPr>
                <w:rFonts w:hint="eastAsia" w:ascii="Times New Roman" w:hAnsi="Times New Roman" w:eastAsia="宋体"/>
                <w:sz w:val="24"/>
                <w:szCs w:val="24"/>
                <w:highlight w:val="none"/>
              </w:rPr>
              <w:t>接口：</w:t>
            </w:r>
            <w:r>
              <w:rPr>
                <w:rFonts w:ascii="Times New Roman" w:hAnsi="Times New Roman" w:eastAsia="宋体"/>
                <w:sz w:val="24"/>
                <w:szCs w:val="24"/>
                <w:highlight w:val="none"/>
              </w:rPr>
              <w:t>USB-A</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内置麦克风：立体声，双全向；</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对焦类型：自动；</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4</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对角线视角（</w:t>
            </w:r>
            <w:r>
              <w:rPr>
                <w:rFonts w:ascii="Times New Roman" w:hAnsi="Times New Roman" w:eastAsia="宋体"/>
                <w:sz w:val="24"/>
                <w:szCs w:val="24"/>
                <w:highlight w:val="none"/>
              </w:rPr>
              <w:t>dFOV</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90°</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5</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分辨率：至少支持</w:t>
            </w:r>
            <w:r>
              <w:rPr>
                <w:rFonts w:ascii="Times New Roman" w:hAnsi="Times New Roman" w:eastAsia="宋体"/>
                <w:sz w:val="24"/>
                <w:szCs w:val="24"/>
                <w:highlight w:val="none"/>
              </w:rPr>
              <w:t>1080P 30fps</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6</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支持三脚架安装。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hint="eastAsia" w:eastAsia="宋体"/>
                <w:sz w:val="24"/>
                <w:szCs w:val="24"/>
                <w:highlight w:val="none"/>
              </w:rPr>
              <w:t>全向麦克风</w:t>
            </w:r>
          </w:p>
        </w:tc>
        <w:tc>
          <w:tcPr>
            <w:tcW w:w="8990" w:type="dxa"/>
            <w:tcBorders>
              <w:top w:val="single" w:color="auto" w:sz="4" w:space="0"/>
              <w:left w:val="single" w:color="auto" w:sz="4" w:space="0"/>
              <w:bottom w:val="single" w:color="auto" w:sz="4" w:space="0"/>
              <w:right w:val="single" w:color="auto" w:sz="4" w:space="0"/>
            </w:tcBorders>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ascii="Times New Roman" w:hAnsi="Times New Roman" w:eastAsia="宋体"/>
                <w:sz w:val="24"/>
                <w:szCs w:val="24"/>
                <w:highlight w:val="none"/>
              </w:rPr>
              <w:t>360</w:t>
            </w:r>
            <w:r>
              <w:rPr>
                <w:rFonts w:hint="eastAsia" w:ascii="Times New Roman" w:hAnsi="Times New Roman" w:eastAsia="宋体"/>
                <w:sz w:val="24"/>
                <w:szCs w:val="24"/>
                <w:highlight w:val="none"/>
              </w:rPr>
              <w:t>度麦克风可拾取来自任何角度的声音，使通话双方都能听清楚；</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连接：</w:t>
            </w:r>
            <w:r>
              <w:rPr>
                <w:rFonts w:ascii="Times New Roman" w:hAnsi="Times New Roman" w:eastAsia="宋体"/>
                <w:sz w:val="24"/>
                <w:szCs w:val="24"/>
                <w:highlight w:val="none"/>
              </w:rPr>
              <w:t xml:space="preserve">USB 2.0 </w:t>
            </w:r>
            <w:r>
              <w:rPr>
                <w:rFonts w:hint="eastAsia" w:ascii="Times New Roman" w:hAnsi="Times New Roman" w:eastAsia="宋体"/>
                <w:sz w:val="24"/>
                <w:szCs w:val="24"/>
                <w:highlight w:val="none"/>
              </w:rPr>
              <w:t>和</w:t>
            </w:r>
            <w:r>
              <w:rPr>
                <w:rFonts w:ascii="Times New Roman" w:hAnsi="Times New Roman" w:eastAsia="宋体"/>
                <w:sz w:val="24"/>
                <w:szCs w:val="24"/>
                <w:highlight w:val="none"/>
              </w:rPr>
              <w:t xml:space="preserve"> Bluetooth</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3</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无线距离：至少</w:t>
            </w:r>
            <w:r>
              <w:rPr>
                <w:rFonts w:ascii="Times New Roman" w:hAnsi="Times New Roman" w:eastAsia="宋体"/>
                <w:sz w:val="24"/>
                <w:szCs w:val="24"/>
                <w:highlight w:val="none"/>
              </w:rPr>
              <w:t>30</w:t>
            </w:r>
            <w:r>
              <w:rPr>
                <w:rFonts w:hint="eastAsia" w:ascii="Times New Roman" w:hAnsi="Times New Roman" w:eastAsia="宋体"/>
                <w:sz w:val="24"/>
                <w:szCs w:val="24"/>
                <w:highlight w:val="none"/>
              </w:rPr>
              <w:t>米（扬声器与蓝牙适配器之间）；</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4</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信噪比：</w:t>
            </w:r>
            <w:r>
              <w:rPr>
                <w:rFonts w:ascii="Times New Roman" w:hAnsi="Times New Roman" w:eastAsia="宋体"/>
                <w:sz w:val="24"/>
                <w:szCs w:val="24"/>
                <w:highlight w:val="none"/>
              </w:rPr>
              <w:t>≥+70db</w:t>
            </w:r>
            <w:r>
              <w:rPr>
                <w:rFonts w:hint="eastAsia" w:ascii="Times New Roman" w:hAnsi="Times New Roman" w:eastAsia="宋体"/>
                <w:sz w:val="24"/>
                <w:szCs w:val="24"/>
                <w:highlight w:val="none"/>
              </w:rPr>
              <w:t>；</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5</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充电功率和时间：</w:t>
            </w:r>
            <w:r>
              <w:rPr>
                <w:rFonts w:ascii="Times New Roman" w:hAnsi="Times New Roman" w:eastAsia="宋体"/>
                <w:sz w:val="24"/>
                <w:szCs w:val="24"/>
                <w:highlight w:val="none"/>
              </w:rPr>
              <w:t>USB 5V / 500 mA</w:t>
            </w:r>
            <w:r>
              <w:rPr>
                <w:rFonts w:hint="eastAsia" w:ascii="Times New Roman" w:hAnsi="Times New Roman" w:eastAsia="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adjustRightInd w:val="0"/>
              <w:snapToGrid w:val="0"/>
              <w:spacing w:line="360" w:lineRule="auto"/>
              <w:jc w:val="center"/>
              <w:rPr>
                <w:rFonts w:eastAsia="宋体"/>
                <w:sz w:val="24"/>
                <w:szCs w:val="24"/>
                <w:highlight w:val="none"/>
              </w:rPr>
            </w:pPr>
            <w:r>
              <w:rPr>
                <w:rFonts w:eastAsia="宋体"/>
                <w:sz w:val="24"/>
                <w:szCs w:val="24"/>
                <w:highlight w:val="none"/>
              </w:rPr>
              <w:t>5G CPE</w:t>
            </w:r>
          </w:p>
        </w:tc>
        <w:tc>
          <w:tcPr>
            <w:tcW w:w="8990" w:type="dxa"/>
            <w:tcBorders>
              <w:top w:val="single" w:color="auto" w:sz="4" w:space="0"/>
              <w:left w:val="single" w:color="auto" w:sz="4" w:space="0"/>
              <w:bottom w:val="single" w:color="auto" w:sz="4" w:space="0"/>
              <w:right w:val="single" w:color="auto" w:sz="4" w:space="0"/>
            </w:tcBorders>
            <w:vAlign w:val="center"/>
          </w:tcPr>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1</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可插卡；</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iCs/>
                <w:sz w:val="24"/>
                <w:szCs w:val="24"/>
                <w:highlight w:val="none"/>
              </w:rPr>
              <w:t>（</w:t>
            </w:r>
            <w:r>
              <w:rPr>
                <w:rFonts w:ascii="Times New Roman" w:hAnsi="Times New Roman" w:eastAsia="宋体"/>
                <w:iCs/>
                <w:sz w:val="24"/>
                <w:szCs w:val="24"/>
                <w:highlight w:val="none"/>
              </w:rPr>
              <w:t>2</w:t>
            </w:r>
            <w:r>
              <w:rPr>
                <w:rFonts w:hint="eastAsia" w:ascii="Times New Roman" w:hAnsi="Times New Roman" w:eastAsia="宋体"/>
                <w:iCs/>
                <w:sz w:val="24"/>
                <w:szCs w:val="24"/>
                <w:highlight w:val="none"/>
              </w:rPr>
              <w:t>）</w:t>
            </w:r>
            <w:r>
              <w:rPr>
                <w:rFonts w:hint="eastAsia" w:ascii="Times New Roman" w:hAnsi="Times New Roman" w:eastAsia="宋体"/>
                <w:sz w:val="24"/>
                <w:szCs w:val="24"/>
                <w:highlight w:val="none"/>
              </w:rPr>
              <w:t>内置防火墙；</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sz w:val="24"/>
                <w:szCs w:val="24"/>
                <w:highlight w:val="none"/>
              </w:rPr>
              <w:t>（</w:t>
            </w:r>
            <w:r>
              <w:rPr>
                <w:rFonts w:ascii="Times New Roman" w:hAnsi="Times New Roman" w:eastAsia="宋体"/>
                <w:sz w:val="24"/>
                <w:szCs w:val="24"/>
                <w:highlight w:val="none"/>
              </w:rPr>
              <w:t>3</w:t>
            </w:r>
            <w:r>
              <w:rPr>
                <w:rFonts w:hint="eastAsia" w:ascii="Times New Roman" w:hAnsi="Times New Roman" w:eastAsia="宋体"/>
                <w:sz w:val="24"/>
                <w:szCs w:val="24"/>
                <w:highlight w:val="none"/>
              </w:rPr>
              <w:t>）最多可连接用户</w:t>
            </w:r>
            <w:r>
              <w:rPr>
                <w:rFonts w:ascii="Times New Roman" w:hAnsi="Times New Roman" w:eastAsia="宋体"/>
                <w:sz w:val="24"/>
                <w:szCs w:val="24"/>
                <w:highlight w:val="none"/>
              </w:rPr>
              <w:t>20</w:t>
            </w:r>
            <w:r>
              <w:rPr>
                <w:rFonts w:hint="eastAsia" w:ascii="Times New Roman" w:hAnsi="Times New Roman" w:eastAsia="宋体"/>
                <w:sz w:val="24"/>
                <w:szCs w:val="24"/>
                <w:highlight w:val="none"/>
              </w:rPr>
              <w:t>人以上；</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sz w:val="24"/>
                <w:szCs w:val="24"/>
                <w:highlight w:val="none"/>
              </w:rPr>
              <w:t>（</w:t>
            </w:r>
            <w:r>
              <w:rPr>
                <w:rFonts w:ascii="Times New Roman" w:hAnsi="Times New Roman" w:eastAsia="宋体"/>
                <w:sz w:val="24"/>
                <w:szCs w:val="24"/>
                <w:highlight w:val="none"/>
              </w:rPr>
              <w:t>4</w:t>
            </w:r>
            <w:r>
              <w:rPr>
                <w:rFonts w:hint="eastAsia" w:ascii="Times New Roman" w:hAnsi="Times New Roman" w:eastAsia="宋体"/>
                <w:sz w:val="24"/>
                <w:szCs w:val="24"/>
                <w:highlight w:val="none"/>
              </w:rPr>
              <w:t>）千兆端口网络支持；</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sz w:val="24"/>
                <w:szCs w:val="24"/>
                <w:highlight w:val="none"/>
              </w:rPr>
              <w:t>（</w:t>
            </w:r>
            <w:r>
              <w:rPr>
                <w:rFonts w:ascii="Times New Roman" w:hAnsi="Times New Roman" w:eastAsia="宋体"/>
                <w:sz w:val="24"/>
                <w:szCs w:val="24"/>
                <w:highlight w:val="none"/>
              </w:rPr>
              <w:t>5</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Wi-Fi 6APP</w:t>
            </w:r>
            <w:r>
              <w:rPr>
                <w:rFonts w:hint="eastAsia" w:ascii="Times New Roman" w:hAnsi="Times New Roman" w:eastAsia="宋体"/>
                <w:sz w:val="24"/>
                <w:szCs w:val="24"/>
                <w:highlight w:val="none"/>
              </w:rPr>
              <w:t>控制；</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sz w:val="24"/>
                <w:szCs w:val="24"/>
                <w:highlight w:val="none"/>
              </w:rPr>
              <w:t>（</w:t>
            </w:r>
            <w:r>
              <w:rPr>
                <w:rFonts w:ascii="Times New Roman" w:hAnsi="Times New Roman" w:eastAsia="宋体"/>
                <w:sz w:val="24"/>
                <w:szCs w:val="24"/>
                <w:highlight w:val="none"/>
              </w:rPr>
              <w:t>6</w:t>
            </w:r>
            <w:r>
              <w:rPr>
                <w:rFonts w:hint="eastAsia" w:ascii="Times New Roman" w:hAnsi="Times New Roman" w:eastAsia="宋体"/>
                <w:sz w:val="24"/>
                <w:szCs w:val="24"/>
                <w:highlight w:val="none"/>
              </w:rPr>
              <w:t>）支持</w:t>
            </w:r>
            <w:r>
              <w:rPr>
                <w:rFonts w:ascii="Times New Roman" w:hAnsi="Times New Roman" w:eastAsia="宋体"/>
                <w:sz w:val="24"/>
                <w:szCs w:val="24"/>
                <w:highlight w:val="none"/>
              </w:rPr>
              <w:t>APP</w:t>
            </w:r>
            <w:r>
              <w:rPr>
                <w:rFonts w:hint="eastAsia" w:ascii="Times New Roman" w:hAnsi="Times New Roman" w:eastAsia="宋体"/>
                <w:sz w:val="24"/>
                <w:szCs w:val="24"/>
                <w:highlight w:val="none"/>
              </w:rPr>
              <w:t>控制无线速率；</w:t>
            </w:r>
          </w:p>
          <w:p>
            <w:pPr>
              <w:pStyle w:val="15"/>
              <w:kinsoku/>
              <w:wordWrap/>
              <w:overflowPunct/>
              <w:topLinePunct w:val="0"/>
              <w:bidi w:val="0"/>
              <w:spacing w:line="360" w:lineRule="auto"/>
              <w:ind w:firstLine="0" w:firstLineChars="0"/>
              <w:rPr>
                <w:rFonts w:ascii="Times New Roman" w:hAnsi="Times New Roman" w:eastAsia="宋体"/>
                <w:sz w:val="24"/>
                <w:szCs w:val="24"/>
                <w:highlight w:val="none"/>
              </w:rPr>
            </w:pPr>
            <w:r>
              <w:rPr>
                <w:rFonts w:hint="eastAsia" w:ascii="Times New Roman" w:hAnsi="Times New Roman" w:eastAsia="宋体"/>
                <w:sz w:val="24"/>
                <w:szCs w:val="24"/>
                <w:highlight w:val="none"/>
              </w:rPr>
              <w:t>（</w:t>
            </w:r>
            <w:r>
              <w:rPr>
                <w:rFonts w:ascii="Times New Roman" w:hAnsi="Times New Roman" w:eastAsia="宋体"/>
                <w:sz w:val="24"/>
                <w:szCs w:val="24"/>
                <w:highlight w:val="none"/>
              </w:rPr>
              <w:t>7</w:t>
            </w:r>
            <w:r>
              <w:rPr>
                <w:rFonts w:hint="eastAsia" w:ascii="Times New Roman" w:hAnsi="Times New Roman" w:eastAsia="宋体"/>
                <w:sz w:val="24"/>
                <w:szCs w:val="24"/>
                <w:highlight w:val="none"/>
              </w:rPr>
              <w:t>）</w:t>
            </w:r>
            <w:r>
              <w:rPr>
                <w:rFonts w:ascii="Times New Roman" w:hAnsi="Times New Roman" w:eastAsia="宋体"/>
                <w:sz w:val="24"/>
                <w:szCs w:val="24"/>
                <w:highlight w:val="none"/>
              </w:rPr>
              <w:t>150M</w:t>
            </w:r>
            <w:r>
              <w:rPr>
                <w:rFonts w:hint="eastAsia" w:ascii="Times New Roman" w:hAnsi="Times New Roman" w:eastAsia="宋体"/>
                <w:sz w:val="24"/>
                <w:szCs w:val="24"/>
                <w:highlight w:val="none"/>
              </w:rPr>
              <w:t>以上天线；</w:t>
            </w:r>
          </w:p>
          <w:p>
            <w:pPr>
              <w:pStyle w:val="15"/>
              <w:kinsoku/>
              <w:wordWrap/>
              <w:overflowPunct/>
              <w:topLinePunct w:val="0"/>
              <w:bidi w:val="0"/>
              <w:spacing w:line="360" w:lineRule="auto"/>
              <w:ind w:firstLine="0" w:firstLineChars="0"/>
              <w:rPr>
                <w:rFonts w:ascii="Times New Roman" w:hAnsi="Times New Roman" w:eastAsia="宋体"/>
                <w:kern w:val="2"/>
                <w:sz w:val="24"/>
                <w:szCs w:val="24"/>
                <w:highlight w:val="none"/>
              </w:rPr>
            </w:pPr>
            <w:r>
              <w:rPr>
                <w:rFonts w:hint="eastAsia" w:ascii="Times New Roman" w:hAnsi="Times New Roman" w:eastAsia="宋体"/>
                <w:sz w:val="24"/>
                <w:szCs w:val="24"/>
                <w:highlight w:val="none"/>
              </w:rPr>
              <w:t>（</w:t>
            </w:r>
            <w:r>
              <w:rPr>
                <w:rFonts w:ascii="Times New Roman" w:hAnsi="Times New Roman" w:eastAsia="宋体"/>
                <w:sz w:val="24"/>
                <w:szCs w:val="24"/>
                <w:highlight w:val="none"/>
              </w:rPr>
              <w:t>8</w:t>
            </w:r>
            <w:r>
              <w:rPr>
                <w:rFonts w:hint="eastAsia" w:ascii="Times New Roman" w:hAnsi="Times New Roman" w:eastAsia="宋体"/>
                <w:sz w:val="24"/>
                <w:szCs w:val="24"/>
                <w:highlight w:val="none"/>
              </w:rPr>
              <w:t>）外置天线。</w:t>
            </w:r>
          </w:p>
        </w:tc>
      </w:tr>
    </w:tbl>
    <w:p>
      <w:pPr>
        <w:pStyle w:val="15"/>
        <w:kinsoku/>
        <w:wordWrap/>
        <w:overflowPunct/>
        <w:topLinePunct w:val="0"/>
        <w:bidi w:val="0"/>
        <w:spacing w:line="360" w:lineRule="auto"/>
        <w:ind w:firstLine="480"/>
        <w:rPr>
          <w:rFonts w:ascii="宋体" w:hAnsi="宋体" w:cs="Times New Roman"/>
          <w:b/>
          <w:bCs/>
          <w:kern w:val="2"/>
          <w:sz w:val="24"/>
          <w:szCs w:val="24"/>
          <w:highlight w:val="none"/>
        </w:rPr>
      </w:pPr>
    </w:p>
    <w:p>
      <w:pPr>
        <w:pStyle w:val="15"/>
        <w:kinsoku/>
        <w:wordWrap/>
        <w:overflowPunct/>
        <w:topLinePunct w:val="0"/>
        <w:bidi w:val="0"/>
        <w:spacing w:line="360" w:lineRule="auto"/>
        <w:ind w:firstLine="480"/>
        <w:rPr>
          <w:rFonts w:ascii="宋体" w:hAnsi="宋体"/>
          <w:b/>
          <w:bCs/>
          <w:sz w:val="24"/>
          <w:szCs w:val="24"/>
          <w:highlight w:val="none"/>
        </w:rPr>
      </w:pPr>
    </w:p>
    <w:p>
      <w:pPr>
        <w:pStyle w:val="15"/>
        <w:kinsoku/>
        <w:wordWrap/>
        <w:overflowPunct/>
        <w:topLinePunct w:val="0"/>
        <w:bidi w:val="0"/>
        <w:spacing w:line="360" w:lineRule="auto"/>
        <w:ind w:firstLine="480"/>
        <w:rPr>
          <w:rFonts w:ascii="宋体" w:hAnsi="宋体"/>
          <w:b/>
          <w:bCs/>
          <w:sz w:val="24"/>
          <w:szCs w:val="24"/>
          <w:highlight w:val="none"/>
        </w:rPr>
      </w:pPr>
    </w:p>
    <w:p>
      <w:pPr>
        <w:pStyle w:val="15"/>
        <w:kinsoku/>
        <w:wordWrap/>
        <w:overflowPunct/>
        <w:topLinePunct w:val="0"/>
        <w:bidi w:val="0"/>
        <w:spacing w:line="360" w:lineRule="auto"/>
        <w:ind w:firstLine="480"/>
        <w:rPr>
          <w:rFonts w:ascii="宋体" w:hAnsi="宋体"/>
          <w:b/>
          <w:bCs/>
          <w:sz w:val="24"/>
          <w:szCs w:val="24"/>
          <w:highlight w:val="none"/>
        </w:rPr>
      </w:pPr>
    </w:p>
    <w:p>
      <w:pPr>
        <w:pStyle w:val="15"/>
        <w:kinsoku/>
        <w:wordWrap/>
        <w:overflowPunct/>
        <w:topLinePunct w:val="0"/>
        <w:bidi w:val="0"/>
        <w:spacing w:line="360" w:lineRule="auto"/>
        <w:ind w:firstLine="480"/>
        <w:rPr>
          <w:rFonts w:ascii="宋体" w:hAnsi="宋体"/>
          <w:b/>
          <w:bCs/>
          <w:sz w:val="24"/>
          <w:szCs w:val="24"/>
          <w:highlight w:val="none"/>
        </w:rPr>
      </w:pPr>
      <w:r>
        <w:rPr>
          <w:rFonts w:hint="eastAsia" w:ascii="宋体" w:hAnsi="宋体"/>
          <w:b/>
          <w:bCs/>
          <w:sz w:val="24"/>
          <w:szCs w:val="24"/>
          <w:highlight w:val="none"/>
        </w:rPr>
        <w:t>二、服务要求</w:t>
      </w:r>
    </w:p>
    <w:p>
      <w:pPr>
        <w:kinsoku/>
        <w:wordWrap/>
        <w:overflowPunct/>
        <w:topLinePunct w:val="0"/>
        <w:bidi w:val="0"/>
        <w:spacing w:line="360" w:lineRule="auto"/>
        <w:ind w:firstLine="480" w:firstLineChars="200"/>
        <w:rPr>
          <w:rFonts w:hint="eastAsia" w:ascii="宋体" w:hAnsi="宋体"/>
          <w:bCs/>
          <w:sz w:val="24"/>
          <w:szCs w:val="24"/>
          <w:highlight w:val="none"/>
        </w:rPr>
      </w:pPr>
      <w:r>
        <w:rPr>
          <w:rFonts w:hint="eastAsia" w:ascii="宋体" w:hAnsi="宋体"/>
          <w:bCs/>
          <w:sz w:val="24"/>
          <w:szCs w:val="24"/>
          <w:highlight w:val="none"/>
        </w:rPr>
        <w:t>1.免费质保期：本次招标设备质保期≧ 1 年。</w:t>
      </w:r>
    </w:p>
    <w:p>
      <w:pPr>
        <w:kinsoku/>
        <w:wordWrap/>
        <w:overflowPunct/>
        <w:topLinePunct w:val="0"/>
        <w:bidi w:val="0"/>
        <w:spacing w:line="360" w:lineRule="auto"/>
        <w:ind w:firstLine="480" w:firstLineChars="200"/>
        <w:rPr>
          <w:rFonts w:hint="eastAsia" w:ascii="宋体" w:hAnsi="宋体"/>
          <w:bCs/>
          <w:sz w:val="24"/>
          <w:szCs w:val="24"/>
          <w:highlight w:val="none"/>
        </w:rPr>
      </w:pPr>
      <w:r>
        <w:rPr>
          <w:rFonts w:hint="eastAsia" w:ascii="宋体" w:hAnsi="宋体"/>
          <w:bCs/>
          <w:sz w:val="24"/>
          <w:szCs w:val="24"/>
          <w:highlight w:val="none"/>
        </w:rPr>
        <w:t>2.培训：定期培训</w:t>
      </w:r>
    </w:p>
    <w:p>
      <w:pPr>
        <w:kinsoku/>
        <w:wordWrap/>
        <w:overflowPunct/>
        <w:topLinePunct w:val="0"/>
        <w:bidi w:val="0"/>
        <w:spacing w:line="360" w:lineRule="auto"/>
        <w:ind w:firstLine="480" w:firstLineChars="200"/>
        <w:rPr>
          <w:rFonts w:hint="eastAsia" w:ascii="宋体" w:hAnsi="宋体"/>
          <w:bCs/>
          <w:sz w:val="24"/>
          <w:szCs w:val="24"/>
          <w:highlight w:val="none"/>
        </w:rPr>
      </w:pPr>
      <w:r>
        <w:rPr>
          <w:rFonts w:hint="eastAsia" w:ascii="宋体" w:hAnsi="宋体"/>
          <w:bCs/>
          <w:sz w:val="24"/>
          <w:szCs w:val="24"/>
          <w:highlight w:val="none"/>
        </w:rPr>
        <w:t>3.响应时间：投标人在接到采购单位维修函电后，必须在4小时内对采购单位所提出的维修要求作出响应，12小时内到达维修现场并维修完毕。</w:t>
      </w:r>
    </w:p>
    <w:p>
      <w:pPr>
        <w:kinsoku/>
        <w:wordWrap/>
        <w:overflowPunct/>
        <w:topLinePunct w:val="0"/>
        <w:bidi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4.售后技术服务要求：若48小时内无法维修完毕的须更换同型号产品到位，保证设备正常使用，费用由投标人负责。</w:t>
      </w:r>
    </w:p>
    <w:p>
      <w:pPr>
        <w:kinsoku/>
        <w:wordWrap/>
        <w:overflowPunct/>
        <w:topLinePunct w:val="0"/>
        <w:bidi w:val="0"/>
        <w:spacing w:line="360" w:lineRule="auto"/>
        <w:ind w:firstLine="480" w:firstLineChars="200"/>
        <w:rPr>
          <w:rFonts w:ascii="宋体" w:hAnsi="宋体"/>
          <w:b/>
          <w:bCs/>
          <w:sz w:val="24"/>
          <w:szCs w:val="24"/>
          <w:highlight w:val="none"/>
        </w:rPr>
      </w:pPr>
      <w:r>
        <w:rPr>
          <w:rFonts w:hint="eastAsia" w:ascii="宋体" w:hAnsi="宋体"/>
          <w:b/>
          <w:bCs/>
          <w:sz w:val="24"/>
          <w:szCs w:val="24"/>
          <w:highlight w:val="none"/>
        </w:rPr>
        <w:t>三、安装要求</w:t>
      </w:r>
    </w:p>
    <w:p>
      <w:pPr>
        <w:kinsoku/>
        <w:wordWrap/>
        <w:overflowPunct/>
        <w:topLinePunct w:val="0"/>
        <w:bidi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按照国家现行行业规范标准进行安装，符合国家或行业质量检验评定标准。</w:t>
      </w:r>
    </w:p>
    <w:p>
      <w:pPr>
        <w:pStyle w:val="2"/>
        <w:rPr>
          <w:rFonts w:hint="eastAsia" w:ascii="宋体" w:hAnsi="宋体" w:eastAsia="微软雅黑" w:cs="Times New Roman"/>
          <w:bCs/>
          <w:kern w:val="2"/>
          <w:sz w:val="24"/>
          <w:szCs w:val="24"/>
          <w:highlight w:val="none"/>
          <w:lang w:val="en-US" w:eastAsia="zh-CN" w:bidi="ar-SA"/>
        </w:rPr>
      </w:pPr>
      <w:r>
        <w:rPr>
          <w:rFonts w:hint="eastAsia" w:ascii="宋体" w:hAnsi="宋体" w:eastAsia="微软雅黑" w:cs="Times New Roman"/>
          <w:bCs/>
          <w:kern w:val="2"/>
          <w:sz w:val="24"/>
          <w:szCs w:val="24"/>
          <w:highlight w:val="none"/>
          <w:lang w:val="en-US" w:eastAsia="zh-CN" w:bidi="ar-SA"/>
        </w:rPr>
        <w:t>1.按照用户制定的时间地点安装</w:t>
      </w:r>
    </w:p>
    <w:p>
      <w:pPr>
        <w:kinsoku/>
        <w:wordWrap/>
        <w:overflowPunct/>
        <w:topLinePunct w:val="0"/>
        <w:bidi w:val="0"/>
        <w:spacing w:line="360" w:lineRule="auto"/>
        <w:ind w:firstLine="480" w:firstLineChars="200"/>
        <w:rPr>
          <w:rFonts w:ascii="宋体" w:hAnsi="宋体"/>
          <w:b/>
          <w:bCs/>
          <w:sz w:val="24"/>
          <w:szCs w:val="24"/>
          <w:highlight w:val="none"/>
        </w:rPr>
      </w:pPr>
      <w:r>
        <w:rPr>
          <w:rFonts w:hint="eastAsia" w:ascii="宋体" w:hAnsi="宋体"/>
          <w:b/>
          <w:bCs/>
          <w:sz w:val="24"/>
          <w:szCs w:val="24"/>
          <w:highlight w:val="none"/>
        </w:rPr>
        <w:t>四、交货期、交货方式及交货地点</w:t>
      </w:r>
    </w:p>
    <w:p>
      <w:pPr>
        <w:kinsoku/>
        <w:wordWrap/>
        <w:overflowPunct/>
        <w:topLinePunct w:val="0"/>
        <w:bidi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1. 交货期：收到中标通知书后一个月内完成全部设备到货安装及验收。</w:t>
      </w:r>
    </w:p>
    <w:p>
      <w:pPr>
        <w:kinsoku/>
        <w:wordWrap/>
        <w:overflowPunct/>
        <w:topLinePunct w:val="0"/>
        <w:bidi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2. 交货方式：中标人在买方指定地点交货，并完成安装、验收。</w:t>
      </w:r>
    </w:p>
    <w:p>
      <w:pPr>
        <w:kinsoku/>
        <w:wordWrap/>
        <w:overflowPunct/>
        <w:topLinePunct w:val="0"/>
        <w:bidi w:val="0"/>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3. 交货地点：南京医科大学。</w:t>
      </w:r>
    </w:p>
    <w:p>
      <w:pPr>
        <w:kinsoku/>
        <w:wordWrap/>
        <w:overflowPunct/>
        <w:topLinePunct w:val="0"/>
        <w:bidi w:val="0"/>
        <w:spacing w:line="360" w:lineRule="auto"/>
        <w:ind w:firstLine="480" w:firstLineChars="200"/>
        <w:rPr>
          <w:rFonts w:ascii="宋体" w:hAnsi="宋体"/>
          <w:b/>
          <w:bCs/>
          <w:sz w:val="24"/>
          <w:szCs w:val="24"/>
          <w:highlight w:val="none"/>
        </w:rPr>
      </w:pPr>
    </w:p>
    <w:p>
      <w:pPr>
        <w:kinsoku/>
        <w:wordWrap/>
        <w:overflowPunct/>
        <w:topLinePunct w:val="0"/>
        <w:bidi w:val="0"/>
        <w:spacing w:line="360" w:lineRule="auto"/>
        <w:ind w:firstLine="480" w:firstLineChars="200"/>
        <w:rPr>
          <w:rFonts w:ascii="宋体" w:hAnsi="宋体"/>
          <w:b/>
          <w:bCs/>
          <w:sz w:val="24"/>
          <w:szCs w:val="24"/>
          <w:highlight w:val="none"/>
        </w:rPr>
      </w:pPr>
      <w:r>
        <w:rPr>
          <w:rFonts w:hint="eastAsia" w:ascii="宋体" w:hAnsi="宋体"/>
          <w:b/>
          <w:bCs/>
          <w:sz w:val="24"/>
          <w:szCs w:val="24"/>
          <w:highlight w:val="none"/>
        </w:rPr>
        <w:t>五、货款支付</w:t>
      </w:r>
    </w:p>
    <w:p>
      <w:pPr>
        <w:pStyle w:val="5"/>
        <w:keepNext w:val="0"/>
        <w:kinsoku/>
        <w:wordWrap/>
        <w:overflowPunct/>
        <w:topLinePunct w:val="0"/>
        <w:bidi w:val="0"/>
        <w:spacing w:before="312" w:after="312" w:line="360" w:lineRule="auto"/>
        <w:ind w:firstLine="480" w:firstLineChars="200"/>
        <w:jc w:val="left"/>
        <w:rPr>
          <w:rFonts w:hint="eastAsia" w:ascii="宋体" w:hAnsi="宋体" w:eastAsia="微软雅黑" w:cs="Times New Roman"/>
          <w:b w:val="0"/>
          <w:bCs/>
          <w:kern w:val="2"/>
          <w:sz w:val="24"/>
          <w:szCs w:val="24"/>
          <w:highlight w:val="none"/>
          <w:lang w:val="zh-CN" w:eastAsia="zh-CN" w:bidi="ar-SA"/>
        </w:rPr>
      </w:pPr>
      <w:r>
        <w:rPr>
          <w:rFonts w:hint="eastAsia" w:ascii="宋体" w:hAnsi="宋体" w:eastAsia="微软雅黑" w:cs="Times New Roman"/>
          <w:b w:val="0"/>
          <w:bCs/>
          <w:kern w:val="2"/>
          <w:sz w:val="24"/>
          <w:szCs w:val="24"/>
          <w:highlight w:val="none"/>
          <w:lang w:val="zh-CN" w:eastAsia="zh-CN" w:bidi="ar-SA"/>
        </w:rPr>
        <w:t>货到安装验收合格后支付合同金额的90% ，尾款待质保期满后甲方支付乙方合同总价款的10%。</w:t>
      </w:r>
    </w:p>
    <w:p>
      <w:pPr>
        <w:pStyle w:val="5"/>
        <w:keepNext w:val="0"/>
        <w:kinsoku/>
        <w:wordWrap/>
        <w:overflowPunct/>
        <w:topLinePunct w:val="0"/>
        <w:bidi w:val="0"/>
        <w:spacing w:before="312" w:after="312" w:line="360" w:lineRule="auto"/>
        <w:jc w:val="center"/>
        <w:rPr>
          <w:rFonts w:ascii="Cambria" w:hAnsi="Cambria" w:eastAsia="宋体"/>
          <w:bCs w:val="0"/>
          <w:kern w:val="2"/>
          <w:sz w:val="32"/>
          <w:szCs w:val="32"/>
          <w:highlight w:val="none"/>
          <w:lang w:val="zh-CN"/>
        </w:rPr>
      </w:pPr>
    </w:p>
    <w:p>
      <w:pPr>
        <w:pStyle w:val="5"/>
        <w:keepNext w:val="0"/>
        <w:kinsoku/>
        <w:wordWrap/>
        <w:overflowPunct/>
        <w:topLinePunct w:val="0"/>
        <w:bidi w:val="0"/>
        <w:spacing w:before="312" w:after="312" w:line="360" w:lineRule="auto"/>
        <w:jc w:val="center"/>
        <w:rPr>
          <w:rFonts w:ascii="Cambria" w:hAnsi="Cambria" w:eastAsia="宋体"/>
          <w:bCs w:val="0"/>
          <w:kern w:val="2"/>
          <w:sz w:val="32"/>
          <w:szCs w:val="32"/>
          <w:highlight w:val="none"/>
          <w:lang w:val="zh-CN"/>
        </w:rPr>
      </w:pPr>
    </w:p>
    <w:p>
      <w:pPr>
        <w:jc w:val="center"/>
        <w:rPr>
          <w:rFonts w:hint="eastAsia" w:ascii="宋体" w:hAnsi="宋体" w:eastAsia="宋体" w:cs="宋体"/>
          <w:b/>
          <w:bCs/>
          <w:sz w:val="32"/>
          <w:szCs w:val="32"/>
          <w:lang w:val="zh-CN"/>
        </w:rPr>
      </w:pPr>
      <w:r>
        <w:rPr>
          <w:rFonts w:hint="eastAsia" w:ascii="宋体" w:hAnsi="宋体" w:eastAsia="宋体" w:cs="宋体"/>
          <w:b/>
          <w:bCs/>
          <w:sz w:val="32"/>
          <w:szCs w:val="32"/>
          <w:lang w:val="zh-CN"/>
        </w:rPr>
        <w:t>第四章  评标方法与评标标准</w:t>
      </w:r>
    </w:p>
    <w:p>
      <w:pPr>
        <w:tabs>
          <w:tab w:val="left" w:pos="444"/>
        </w:tabs>
        <w:kinsoku/>
        <w:wordWrap/>
        <w:overflowPunct/>
        <w:topLinePunct w:val="0"/>
        <w:bidi w:val="0"/>
        <w:spacing w:line="360" w:lineRule="auto"/>
        <w:ind w:firstLine="480" w:firstLineChars="200"/>
        <w:rPr>
          <w:rFonts w:ascii="宋体" w:hAnsi="宋体" w:eastAsia="宋体"/>
          <w:b/>
          <w:sz w:val="24"/>
          <w:szCs w:val="24"/>
          <w:highlight w:val="none"/>
        </w:rPr>
      </w:pPr>
      <w:r>
        <w:rPr>
          <w:rFonts w:hint="eastAsia" w:ascii="宋体" w:hAnsi="宋体"/>
          <w:b/>
          <w:sz w:val="24"/>
          <w:szCs w:val="24"/>
          <w:highlight w:val="none"/>
        </w:rPr>
        <w:t>一、评标方法与定标原则</w:t>
      </w:r>
    </w:p>
    <w:p>
      <w:pPr>
        <w:pStyle w:val="16"/>
        <w:kinsoku/>
        <w:wordWrap/>
        <w:overflowPunct/>
        <w:topLinePunct w:val="0"/>
        <w:bidi w:val="0"/>
        <w:spacing w:line="360" w:lineRule="auto"/>
        <w:rPr>
          <w:rFonts w:hint="eastAsia" w:ascii="宋体" w:hAnsi="宋体" w:eastAsia="宋体" w:cs="宋体"/>
          <w:b/>
          <w:highlight w:val="none"/>
        </w:rPr>
      </w:pPr>
      <w:r>
        <w:rPr>
          <w:rFonts w:hint="eastAsia" w:ascii="宋体" w:hAnsi="宋体" w:eastAsia="宋体" w:cs="宋体"/>
          <w:bCs/>
          <w:highlight w:val="none"/>
        </w:rPr>
        <w:t>评委会将对确定为实质性响应招标文件要求的投标文件进行评价和比较，评标采用综合评分法。</w:t>
      </w:r>
      <w:r>
        <w:rPr>
          <w:rFonts w:hint="eastAsia" w:ascii="宋体" w:hAnsi="宋体" w:eastAsia="宋体" w:cs="宋体"/>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insoku/>
        <w:wordWrap/>
        <w:overflowPunct/>
        <w:topLinePunct w:val="0"/>
        <w:bidi w:val="0"/>
        <w:spacing w:line="360" w:lineRule="auto"/>
        <w:ind w:firstLine="482" w:firstLineChars="200"/>
        <w:rPr>
          <w:rFonts w:hint="eastAsia" w:ascii="宋体" w:hAnsi="宋体" w:eastAsia="宋体" w:cs="宋体"/>
          <w:b/>
          <w:color w:val="FF0000"/>
          <w:sz w:val="24"/>
          <w:szCs w:val="24"/>
          <w:highlight w:val="none"/>
        </w:rPr>
      </w:pPr>
      <w:r>
        <w:rPr>
          <w:rFonts w:hint="eastAsia" w:ascii="宋体" w:hAnsi="宋体" w:eastAsia="宋体" w:cs="宋体"/>
          <w:b/>
          <w:color w:val="FF0000"/>
          <w:sz w:val="24"/>
          <w:szCs w:val="24"/>
          <w:highlight w:val="none"/>
        </w:rPr>
        <w:t>二、评标标准</w:t>
      </w:r>
    </w:p>
    <w:p>
      <w:pPr>
        <w:kinsoku/>
        <w:wordWrap/>
        <w:overflowPunct/>
        <w:topLinePunct w:val="0"/>
        <w:bidi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本项目采用综合评分法确定中标候选人。评标委员会将按下列评分办法和标准进行评分，总分值为100分。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5572"/>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000" w:type="pct"/>
            <w:gridSpan w:val="3"/>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rFonts w:ascii="宋体" w:hAnsi="宋体" w:cs="宋体"/>
                <w:b/>
                <w:bCs/>
                <w:color w:val="000000"/>
                <w:sz w:val="28"/>
                <w:szCs w:val="28"/>
                <w:highlight w:val="none"/>
              </w:rPr>
            </w:pPr>
            <w:r>
              <w:rPr>
                <w:rFonts w:hint="eastAsia" w:ascii="宋体" w:hAnsi="宋体" w:cs="宋体"/>
                <w:b/>
                <w:bCs/>
                <w:color w:val="000000"/>
                <w:kern w:val="0"/>
                <w:sz w:val="28"/>
                <w:szCs w:val="28"/>
                <w:highlight w:val="none"/>
              </w:rPr>
              <w:t>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5000" w:type="pct"/>
            <w:gridSpan w:val="3"/>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rFonts w:ascii="宋体" w:hAnsi="宋体" w:cs="宋体"/>
                <w:b/>
                <w:bCs/>
                <w:color w:val="000000"/>
                <w:sz w:val="24"/>
                <w:szCs w:val="24"/>
                <w:highlight w:val="none"/>
              </w:rPr>
            </w:pPr>
            <w:r>
              <w:rPr>
                <w:rFonts w:hint="eastAsia" w:ascii="宋体" w:hAnsi="宋体" w:cs="宋体"/>
                <w:b/>
                <w:bCs/>
                <w:color w:val="000000"/>
                <w:kern w:val="0"/>
                <w:sz w:val="24"/>
                <w:szCs w:val="24"/>
                <w:highlight w:val="none"/>
              </w:rPr>
              <w:t>（一）价格部分（</w:t>
            </w:r>
            <w:r>
              <w:rPr>
                <w:b/>
                <w:bCs/>
                <w:color w:val="000000"/>
                <w:kern w:val="0"/>
                <w:sz w:val="24"/>
                <w:szCs w:val="24"/>
                <w:highlight w:val="none"/>
              </w:rPr>
              <w:t>10</w:t>
            </w:r>
            <w:r>
              <w:rPr>
                <w:rFonts w:hint="eastAsia" w:ascii="宋体" w:hAnsi="宋体" w:cs="宋体"/>
                <w:b/>
                <w:bCs/>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95" w:type="pct"/>
            <w:vMerge w:val="restar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1.1</w:t>
            </w:r>
            <w:r>
              <w:rPr>
                <w:rFonts w:hint="eastAsia" w:ascii="宋体" w:hAnsi="宋体" w:cs="宋体"/>
                <w:color w:val="000000"/>
                <w:kern w:val="0"/>
                <w:sz w:val="22"/>
                <w:highlight w:val="none"/>
              </w:rPr>
              <w:t>价格</w:t>
            </w:r>
          </w:p>
        </w:tc>
        <w:tc>
          <w:tcPr>
            <w:tcW w:w="3905" w:type="pct"/>
            <w:gridSpan w:val="2"/>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left"/>
              <w:textAlignment w:val="center"/>
              <w:rPr>
                <w:b/>
                <w:bCs/>
                <w:color w:val="000000"/>
                <w:sz w:val="22"/>
                <w:highlight w:val="none"/>
              </w:rPr>
            </w:pPr>
            <w:r>
              <w:rPr>
                <w:b/>
                <w:bCs/>
                <w:color w:val="000000"/>
                <w:kern w:val="0"/>
                <w:sz w:val="22"/>
                <w:highlight w:val="none"/>
              </w:rPr>
              <w:t>1</w:t>
            </w:r>
            <w:r>
              <w:rPr>
                <w:rFonts w:hint="eastAsia" w:ascii="宋体" w:hAnsi="宋体" w:cs="宋体"/>
                <w:b/>
                <w:bCs/>
                <w:color w:val="000000"/>
                <w:kern w:val="0"/>
                <w:sz w:val="24"/>
                <w:szCs w:val="24"/>
                <w:highlight w:val="none"/>
              </w:rPr>
              <w:t>、价格分（</w:t>
            </w:r>
            <w:r>
              <w:rPr>
                <w:b/>
                <w:bCs/>
                <w:color w:val="000000"/>
                <w:kern w:val="0"/>
                <w:sz w:val="22"/>
                <w:highlight w:val="none"/>
              </w:rPr>
              <w:t>10</w:t>
            </w:r>
            <w:r>
              <w:rPr>
                <w:rFonts w:hint="eastAsia" w:ascii="宋体" w:hAnsi="宋体" w:cs="宋体"/>
                <w:b/>
                <w:bCs/>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rPr>
                <w:color w:val="000000"/>
                <w:sz w:val="22"/>
                <w:highlight w:val="none"/>
              </w:rPr>
            </w:pP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价格采用低价优先法计算，即满足采购文件要求且最终报价最低的报价为基准价，其价格分为满分。其他供应商的价格分统一按照下列公式计算：报价得分</w:t>
            </w:r>
            <w:r>
              <w:rPr>
                <w:color w:val="000000"/>
                <w:kern w:val="0"/>
                <w:sz w:val="22"/>
                <w:highlight w:val="none"/>
              </w:rPr>
              <w:t>=</w:t>
            </w:r>
            <w:r>
              <w:rPr>
                <w:rFonts w:hint="eastAsia" w:ascii="宋体" w:hAnsi="宋体" w:cs="宋体"/>
                <w:color w:val="000000"/>
                <w:kern w:val="0"/>
                <w:sz w:val="22"/>
                <w:highlight w:val="none"/>
              </w:rPr>
              <w:t>（磋商基准价</w:t>
            </w:r>
            <w:r>
              <w:rPr>
                <w:color w:val="000000"/>
                <w:kern w:val="0"/>
                <w:sz w:val="22"/>
                <w:highlight w:val="none"/>
              </w:rPr>
              <w:t>/</w:t>
            </w:r>
            <w:r>
              <w:rPr>
                <w:rFonts w:hint="eastAsia" w:ascii="宋体" w:hAnsi="宋体" w:cs="宋体"/>
                <w:color w:val="000000"/>
                <w:kern w:val="0"/>
                <w:sz w:val="22"/>
                <w:highlight w:val="none"/>
              </w:rPr>
              <w:t>最终报价）</w:t>
            </w:r>
            <w:r>
              <w:rPr>
                <w:color w:val="000000"/>
                <w:kern w:val="0"/>
                <w:sz w:val="22"/>
                <w:highlight w:val="none"/>
              </w:rPr>
              <w:t>×10</w:t>
            </w:r>
            <w:r>
              <w:rPr>
                <w:rFonts w:hint="eastAsia" w:ascii="宋体" w:hAnsi="宋体" w:cs="宋体"/>
                <w:color w:val="000000"/>
                <w:kern w:val="0"/>
                <w:sz w:val="22"/>
                <w:highlight w:val="none"/>
              </w:rPr>
              <w:t>分（四舍五入，保留二位小数）</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10</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1095"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left"/>
              <w:textAlignment w:val="center"/>
              <w:rPr>
                <w:color w:val="000000"/>
                <w:sz w:val="22"/>
                <w:highlight w:val="none"/>
              </w:rPr>
            </w:pPr>
            <w:r>
              <w:rPr>
                <w:color w:val="000000"/>
                <w:kern w:val="0"/>
                <w:sz w:val="22"/>
                <w:highlight w:val="none"/>
              </w:rPr>
              <w:t>2.1</w:t>
            </w:r>
            <w:r>
              <w:rPr>
                <w:rFonts w:hint="eastAsia" w:ascii="宋体" w:hAnsi="宋体" w:cs="宋体"/>
                <w:color w:val="000000"/>
                <w:kern w:val="0"/>
                <w:sz w:val="22"/>
                <w:highlight w:val="none"/>
              </w:rPr>
              <w:t>技术响应情况</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w:t>
            </w:r>
            <w:r>
              <w:rPr>
                <w:color w:val="000000"/>
                <w:kern w:val="0"/>
                <w:sz w:val="22"/>
                <w:highlight w:val="none"/>
              </w:rPr>
              <w:t>1</w:t>
            </w:r>
            <w:r>
              <w:rPr>
                <w:rFonts w:hint="eastAsia" w:ascii="宋体" w:hAnsi="宋体" w:cs="宋体"/>
                <w:color w:val="000000"/>
                <w:kern w:val="0"/>
                <w:sz w:val="22"/>
                <w:highlight w:val="none"/>
              </w:rPr>
              <w:t>）技术指标要求加</w:t>
            </w:r>
            <w:r>
              <w:rPr>
                <w:color w:val="000000"/>
                <w:kern w:val="0"/>
                <w:sz w:val="22"/>
                <w:highlight w:val="none"/>
              </w:rPr>
              <w:t>“</w:t>
            </w:r>
            <w:r>
              <w:rPr>
                <w:rFonts w:hint="eastAsia" w:ascii="宋体" w:hAnsi="宋体" w:cs="宋体"/>
                <w:color w:val="000000"/>
                <w:kern w:val="0"/>
                <w:sz w:val="22"/>
                <w:highlight w:val="none"/>
              </w:rPr>
              <w:t>▲</w:t>
            </w:r>
            <w:r>
              <w:rPr>
                <w:color w:val="000000"/>
                <w:kern w:val="0"/>
                <w:sz w:val="22"/>
                <w:highlight w:val="none"/>
              </w:rPr>
              <w:t>”</w:t>
            </w:r>
            <w:r>
              <w:rPr>
                <w:rFonts w:hint="eastAsia" w:ascii="宋体" w:hAnsi="宋体" w:cs="宋体"/>
                <w:color w:val="000000"/>
                <w:kern w:val="0"/>
                <w:sz w:val="22"/>
                <w:highlight w:val="none"/>
              </w:rPr>
              <w:t>号标志的为重要响应指标，有一项负偏离扣</w:t>
            </w:r>
            <w:r>
              <w:rPr>
                <w:color w:val="000000"/>
                <w:kern w:val="0"/>
                <w:sz w:val="22"/>
                <w:highlight w:val="none"/>
              </w:rPr>
              <w:t>3</w:t>
            </w:r>
            <w:r>
              <w:rPr>
                <w:rFonts w:hint="eastAsia" w:ascii="宋体" w:hAnsi="宋体" w:cs="宋体"/>
                <w:color w:val="000000"/>
                <w:kern w:val="0"/>
                <w:sz w:val="22"/>
                <w:highlight w:val="none"/>
              </w:rPr>
              <w:t>分，并按技术参数内容相应要求提供证明材料，并加盖公章，并在《技术要求相应及偏离表》注明具体位置如页码或序号，否则视为负偏离。</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w:t>
            </w:r>
            <w:r>
              <w:rPr>
                <w:color w:val="000000"/>
                <w:kern w:val="0"/>
                <w:sz w:val="22"/>
                <w:highlight w:val="none"/>
              </w:rPr>
              <w:t>2</w:t>
            </w:r>
            <w:r>
              <w:rPr>
                <w:rFonts w:hint="eastAsia" w:ascii="宋体" w:hAnsi="宋体" w:cs="宋体"/>
                <w:color w:val="000000"/>
                <w:kern w:val="0"/>
                <w:sz w:val="22"/>
                <w:highlight w:val="none"/>
              </w:rPr>
              <w:t>）其余项为一般响应指标，有一项负偏离扣</w:t>
            </w:r>
            <w:r>
              <w:rPr>
                <w:color w:val="000000"/>
                <w:kern w:val="0"/>
                <w:sz w:val="22"/>
                <w:highlight w:val="none"/>
              </w:rPr>
              <w:t>1</w:t>
            </w:r>
            <w:r>
              <w:rPr>
                <w:rFonts w:hint="eastAsia" w:ascii="宋体" w:hAnsi="宋体" w:cs="宋体"/>
                <w:color w:val="000000"/>
                <w:kern w:val="0"/>
                <w:sz w:val="22"/>
                <w:highlight w:val="none"/>
              </w:rPr>
              <w:t>分。</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投标人对招标文件中的技术参数进行应答，完全满足的得</w:t>
            </w:r>
            <w:r>
              <w:rPr>
                <w:color w:val="000000"/>
                <w:kern w:val="0"/>
                <w:sz w:val="22"/>
                <w:highlight w:val="none"/>
              </w:rPr>
              <w:t>30</w:t>
            </w:r>
            <w:r>
              <w:rPr>
                <w:rFonts w:hint="eastAsia" w:ascii="宋体" w:hAnsi="宋体" w:cs="宋体"/>
                <w:color w:val="000000"/>
                <w:kern w:val="0"/>
                <w:sz w:val="22"/>
                <w:highlight w:val="none"/>
              </w:rPr>
              <w:t>分，每一偏离一项扣一次分，扣完为止。</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30</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095" w:type="pct"/>
            <w:vMerge w:val="restar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2.2</w:t>
            </w:r>
            <w:r>
              <w:rPr>
                <w:rFonts w:hint="eastAsia" w:ascii="宋体" w:hAnsi="宋体" w:cs="宋体"/>
                <w:color w:val="000000"/>
                <w:kern w:val="0"/>
                <w:sz w:val="22"/>
                <w:highlight w:val="none"/>
              </w:rPr>
              <w:t>技术方案设计</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w:t>
            </w:r>
            <w:r>
              <w:rPr>
                <w:color w:val="000000"/>
                <w:kern w:val="0"/>
                <w:sz w:val="22"/>
                <w:highlight w:val="none"/>
              </w:rPr>
              <w:t>1</w:t>
            </w:r>
            <w:r>
              <w:rPr>
                <w:rFonts w:hint="eastAsia" w:ascii="宋体" w:hAnsi="宋体" w:cs="宋体"/>
                <w:color w:val="000000"/>
                <w:kern w:val="0"/>
                <w:sz w:val="22"/>
                <w:highlight w:val="none"/>
              </w:rPr>
              <w:t>）总体设计方案</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投标人应根据招标文件要求就本次投标提供总体技术解决方案，包括项目需求分析、远程医疗平台总体架构设计、远程医疗硬件设计、网络设计、远程直播设计、手术录播教学、远程手术机器人操控等。重点评审对项目需求的理解、技术方案的合理性、可行性、针对性。根据方案撰写情况优得</w:t>
            </w:r>
            <w:r>
              <w:rPr>
                <w:color w:val="000000"/>
                <w:kern w:val="0"/>
                <w:sz w:val="22"/>
                <w:highlight w:val="none"/>
              </w:rPr>
              <w:t xml:space="preserve"> 10 </w:t>
            </w:r>
            <w:r>
              <w:rPr>
                <w:rFonts w:hint="eastAsia" w:ascii="宋体" w:hAnsi="宋体" w:cs="宋体"/>
                <w:color w:val="000000"/>
                <w:kern w:val="0"/>
                <w:sz w:val="22"/>
                <w:highlight w:val="none"/>
              </w:rPr>
              <w:t>分，良</w:t>
            </w:r>
            <w:r>
              <w:rPr>
                <w:color w:val="000000"/>
                <w:kern w:val="0"/>
                <w:sz w:val="22"/>
                <w:highlight w:val="none"/>
              </w:rPr>
              <w:t xml:space="preserve"> 5 </w:t>
            </w:r>
            <w:r>
              <w:rPr>
                <w:rFonts w:hint="eastAsia" w:ascii="宋体" w:hAnsi="宋体" w:cs="宋体"/>
                <w:color w:val="000000"/>
                <w:kern w:val="0"/>
                <w:sz w:val="22"/>
                <w:highlight w:val="none"/>
              </w:rPr>
              <w:t>分，一般</w:t>
            </w:r>
            <w:r>
              <w:rPr>
                <w:color w:val="000000"/>
                <w:kern w:val="0"/>
                <w:sz w:val="22"/>
                <w:highlight w:val="none"/>
              </w:rPr>
              <w:t xml:space="preserve"> 3</w:t>
            </w:r>
            <w:r>
              <w:rPr>
                <w:rFonts w:hint="eastAsia" w:ascii="宋体" w:hAnsi="宋体" w:cs="宋体"/>
                <w:color w:val="000000"/>
                <w:kern w:val="0"/>
                <w:sz w:val="22"/>
                <w:highlight w:val="none"/>
              </w:rPr>
              <w:t>分。此项最高得</w:t>
            </w:r>
            <w:r>
              <w:rPr>
                <w:color w:val="000000"/>
                <w:kern w:val="0"/>
                <w:sz w:val="22"/>
                <w:highlight w:val="none"/>
              </w:rPr>
              <w:t>10</w:t>
            </w:r>
            <w:r>
              <w:rPr>
                <w:rFonts w:hint="eastAsia" w:ascii="宋体" w:hAnsi="宋体" w:cs="宋体"/>
                <w:color w:val="000000"/>
                <w:kern w:val="0"/>
                <w:sz w:val="22"/>
                <w:highlight w:val="none"/>
              </w:rPr>
              <w:t>分。</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10</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rPr>
                <w:color w:val="000000"/>
                <w:sz w:val="22"/>
                <w:highlight w:val="none"/>
              </w:rPr>
            </w:pP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w:t>
            </w:r>
            <w:r>
              <w:rPr>
                <w:color w:val="000000"/>
                <w:kern w:val="0"/>
                <w:sz w:val="22"/>
                <w:highlight w:val="none"/>
              </w:rPr>
              <w:t>2</w:t>
            </w:r>
            <w:r>
              <w:rPr>
                <w:rFonts w:hint="eastAsia" w:ascii="宋体" w:hAnsi="宋体" w:cs="宋体"/>
                <w:color w:val="000000"/>
                <w:kern w:val="0"/>
                <w:sz w:val="22"/>
                <w:highlight w:val="none"/>
              </w:rPr>
              <w:t>）系统演示</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针对招标文件进行系统演示，重点阐述设备性能、产品功能、实际项目建设经验及应用效果，提供不低于</w:t>
            </w:r>
            <w:r>
              <w:rPr>
                <w:color w:val="000000"/>
                <w:kern w:val="0"/>
                <w:sz w:val="22"/>
                <w:highlight w:val="none"/>
              </w:rPr>
              <w:t>120</w:t>
            </w:r>
            <w:r>
              <w:rPr>
                <w:rFonts w:hint="eastAsia" w:ascii="宋体" w:hAnsi="宋体" w:cs="宋体"/>
                <w:color w:val="000000"/>
                <w:kern w:val="0"/>
                <w:sz w:val="22"/>
                <w:highlight w:val="none"/>
              </w:rPr>
              <w:t>秒的</w:t>
            </w:r>
            <w:r>
              <w:rPr>
                <w:color w:val="000000"/>
                <w:kern w:val="0"/>
                <w:sz w:val="22"/>
                <w:highlight w:val="none"/>
              </w:rPr>
              <w:t>MP4</w:t>
            </w:r>
            <w:r>
              <w:rPr>
                <w:rFonts w:hint="eastAsia" w:ascii="宋体" w:hAnsi="宋体" w:cs="宋体"/>
                <w:color w:val="000000"/>
                <w:kern w:val="0"/>
                <w:sz w:val="22"/>
                <w:highlight w:val="none"/>
              </w:rPr>
              <w:t>格式演示视频，视频中应包含对各功能项的语音讲解</w:t>
            </w:r>
            <w:r>
              <w:rPr>
                <w:color w:val="000000"/>
                <w:kern w:val="0"/>
                <w:sz w:val="22"/>
                <w:highlight w:val="none"/>
              </w:rPr>
              <w:t xml:space="preserve"> </w:t>
            </w:r>
            <w:r>
              <w:rPr>
                <w:rFonts w:hint="eastAsia" w:ascii="宋体" w:hAnsi="宋体" w:cs="宋体"/>
                <w:color w:val="000000"/>
                <w:kern w:val="0"/>
                <w:sz w:val="22"/>
                <w:highlight w:val="none"/>
              </w:rPr>
              <w:t>，演示中如无远程仿真操控、多流功能、远程摄像控制演示该项不得分，如有这些功能根据演示效果优得</w:t>
            </w:r>
            <w:r>
              <w:rPr>
                <w:color w:val="000000"/>
                <w:kern w:val="0"/>
                <w:sz w:val="22"/>
                <w:highlight w:val="none"/>
              </w:rPr>
              <w:t xml:space="preserve"> 10</w:t>
            </w:r>
            <w:r>
              <w:rPr>
                <w:rFonts w:hint="eastAsia" w:ascii="宋体" w:hAnsi="宋体" w:cs="宋体"/>
                <w:color w:val="000000"/>
                <w:kern w:val="0"/>
                <w:sz w:val="22"/>
                <w:highlight w:val="none"/>
              </w:rPr>
              <w:t>分，良</w:t>
            </w:r>
            <w:r>
              <w:rPr>
                <w:color w:val="000000"/>
                <w:kern w:val="0"/>
                <w:sz w:val="22"/>
                <w:highlight w:val="none"/>
              </w:rPr>
              <w:t xml:space="preserve"> 5</w:t>
            </w:r>
            <w:r>
              <w:rPr>
                <w:rFonts w:hint="eastAsia" w:ascii="宋体" w:hAnsi="宋体" w:cs="宋体"/>
                <w:color w:val="000000"/>
                <w:kern w:val="0"/>
                <w:sz w:val="22"/>
                <w:highlight w:val="none"/>
              </w:rPr>
              <w:t>分，一般</w:t>
            </w:r>
            <w:r>
              <w:rPr>
                <w:color w:val="000000"/>
                <w:kern w:val="0"/>
                <w:sz w:val="22"/>
                <w:highlight w:val="none"/>
              </w:rPr>
              <w:t xml:space="preserve"> 3</w:t>
            </w:r>
            <w:r>
              <w:rPr>
                <w:rFonts w:hint="eastAsia" w:ascii="宋体" w:hAnsi="宋体" w:cs="宋体"/>
                <w:color w:val="000000"/>
                <w:kern w:val="0"/>
                <w:sz w:val="22"/>
                <w:highlight w:val="none"/>
              </w:rPr>
              <w:t>分。此项最高得</w:t>
            </w:r>
            <w:r>
              <w:rPr>
                <w:color w:val="000000"/>
                <w:kern w:val="0"/>
                <w:sz w:val="22"/>
                <w:highlight w:val="none"/>
              </w:rPr>
              <w:t>10</w:t>
            </w:r>
            <w:r>
              <w:rPr>
                <w:rFonts w:hint="eastAsia" w:ascii="宋体" w:hAnsi="宋体" w:cs="宋体"/>
                <w:color w:val="000000"/>
                <w:kern w:val="0"/>
                <w:sz w:val="22"/>
                <w:highlight w:val="none"/>
              </w:rPr>
              <w:t>分。</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10</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095" w:type="pct"/>
            <w:vMerge w:val="restar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rFonts w:ascii="宋体" w:hAnsi="宋体" w:cs="宋体"/>
                <w:color w:val="000000"/>
                <w:sz w:val="22"/>
                <w:highlight w:val="none"/>
              </w:rPr>
            </w:pPr>
            <w:r>
              <w:rPr>
                <w:rFonts w:hint="eastAsia" w:ascii="宋体" w:hAnsi="宋体" w:cs="宋体"/>
                <w:color w:val="000000"/>
                <w:kern w:val="0"/>
                <w:sz w:val="22"/>
                <w:highlight w:val="none"/>
              </w:rPr>
              <w:t>3.1项目实施</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（1）投标人为本项目配备的项目技术负责人：需同时具有网络工程师、信息系统项目管理师、</w:t>
            </w:r>
            <w:r>
              <w:rPr>
                <w:color w:val="000000"/>
                <w:kern w:val="0"/>
                <w:sz w:val="22"/>
                <w:highlight w:val="none"/>
              </w:rPr>
              <w:t>ITSS-</w:t>
            </w:r>
            <w:r>
              <w:rPr>
                <w:rFonts w:hint="eastAsia" w:ascii="宋体" w:hAnsi="宋体" w:cs="宋体"/>
                <w:color w:val="000000"/>
                <w:kern w:val="0"/>
                <w:sz w:val="22"/>
                <w:highlight w:val="none"/>
              </w:rPr>
              <w:t>信息技术应用创新服务工程师、</w:t>
            </w:r>
            <w:r>
              <w:rPr>
                <w:color w:val="000000"/>
                <w:kern w:val="0"/>
                <w:sz w:val="22"/>
                <w:highlight w:val="none"/>
              </w:rPr>
              <w:t>ITSS-IT</w:t>
            </w:r>
            <w:r>
              <w:rPr>
                <w:rFonts w:hint="eastAsia" w:ascii="宋体" w:hAnsi="宋体" w:cs="宋体"/>
                <w:color w:val="000000"/>
                <w:kern w:val="0"/>
                <w:sz w:val="22"/>
                <w:highlight w:val="none"/>
              </w:rPr>
              <w:t>服务工程师证书，完全满足的得</w:t>
            </w:r>
            <w:r>
              <w:rPr>
                <w:color w:val="000000"/>
                <w:kern w:val="0"/>
                <w:sz w:val="22"/>
                <w:highlight w:val="none"/>
              </w:rPr>
              <w:t>4</w:t>
            </w:r>
            <w:r>
              <w:rPr>
                <w:rFonts w:hint="eastAsia" w:ascii="宋体" w:hAnsi="宋体" w:cs="宋体"/>
                <w:color w:val="000000"/>
                <w:kern w:val="0"/>
                <w:sz w:val="22"/>
                <w:highlight w:val="none"/>
              </w:rPr>
              <w:t>分，每缺少</w:t>
            </w:r>
            <w:r>
              <w:rPr>
                <w:color w:val="000000"/>
                <w:kern w:val="0"/>
                <w:sz w:val="22"/>
                <w:highlight w:val="none"/>
              </w:rPr>
              <w:t>1</w:t>
            </w:r>
            <w:r>
              <w:rPr>
                <w:rFonts w:hint="eastAsia" w:ascii="宋体" w:hAnsi="宋体" w:cs="宋体"/>
                <w:color w:val="000000"/>
                <w:kern w:val="0"/>
                <w:sz w:val="22"/>
                <w:highlight w:val="none"/>
              </w:rPr>
              <w:t>项扣</w:t>
            </w:r>
            <w:r>
              <w:rPr>
                <w:color w:val="000000"/>
                <w:kern w:val="0"/>
                <w:sz w:val="22"/>
                <w:highlight w:val="none"/>
              </w:rPr>
              <w:t>2</w:t>
            </w:r>
            <w:r>
              <w:rPr>
                <w:rFonts w:hint="eastAsia" w:ascii="宋体" w:hAnsi="宋体" w:cs="宋体"/>
                <w:color w:val="000000"/>
                <w:kern w:val="0"/>
                <w:sz w:val="22"/>
                <w:highlight w:val="none"/>
              </w:rPr>
              <w:t>分，扣完为止。（提供投标人为项目技术负责人缴纳的近</w:t>
            </w:r>
            <w:r>
              <w:rPr>
                <w:color w:val="000000"/>
                <w:kern w:val="0"/>
                <w:sz w:val="22"/>
                <w:highlight w:val="none"/>
              </w:rPr>
              <w:t>6</w:t>
            </w:r>
            <w:r>
              <w:rPr>
                <w:rFonts w:hint="eastAsia" w:ascii="宋体" w:hAnsi="宋体" w:cs="宋体"/>
                <w:color w:val="000000"/>
                <w:kern w:val="0"/>
                <w:sz w:val="22"/>
                <w:highlight w:val="none"/>
              </w:rPr>
              <w:t>个月中任意三个月社保证明及相关有效证书复印件，并加盖投标人公章）</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4</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rPr>
                <w:rFonts w:ascii="宋体" w:hAnsi="宋体" w:cs="宋体"/>
                <w:color w:val="000000"/>
                <w:sz w:val="22"/>
                <w:highlight w:val="none"/>
              </w:rPr>
            </w:pP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（2）项目实施方案</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投标人结合实际情况，为本项目提供详细的实施方案。重点评审方案的合理性、可行性、针对性。针对实施方案的撰写情况优得</w:t>
            </w:r>
            <w:r>
              <w:rPr>
                <w:color w:val="000000"/>
                <w:kern w:val="0"/>
                <w:sz w:val="22"/>
                <w:highlight w:val="none"/>
              </w:rPr>
              <w:t>10</w:t>
            </w:r>
            <w:r>
              <w:rPr>
                <w:rFonts w:hint="eastAsia" w:ascii="宋体" w:hAnsi="宋体" w:cs="宋体"/>
                <w:color w:val="000000"/>
                <w:kern w:val="0"/>
                <w:sz w:val="22"/>
                <w:highlight w:val="none"/>
              </w:rPr>
              <w:t>分，良得</w:t>
            </w:r>
            <w:r>
              <w:rPr>
                <w:rFonts w:hint="eastAsia"/>
                <w:color w:val="000000"/>
                <w:kern w:val="0"/>
                <w:sz w:val="22"/>
                <w:highlight w:val="none"/>
              </w:rPr>
              <w:t>6</w:t>
            </w:r>
            <w:r>
              <w:rPr>
                <w:rFonts w:hint="eastAsia" w:ascii="宋体" w:hAnsi="宋体" w:cs="宋体"/>
                <w:color w:val="000000"/>
                <w:kern w:val="0"/>
                <w:sz w:val="22"/>
                <w:highlight w:val="none"/>
              </w:rPr>
              <w:t>分，一般</w:t>
            </w:r>
            <w:r>
              <w:rPr>
                <w:color w:val="000000"/>
                <w:kern w:val="0"/>
                <w:sz w:val="22"/>
                <w:highlight w:val="none"/>
              </w:rPr>
              <w:t>3</w:t>
            </w:r>
            <w:r>
              <w:rPr>
                <w:rFonts w:hint="eastAsia" w:ascii="宋体" w:hAnsi="宋体" w:cs="宋体"/>
                <w:color w:val="000000"/>
                <w:kern w:val="0"/>
                <w:sz w:val="22"/>
                <w:highlight w:val="none"/>
              </w:rPr>
              <w:t>分；另外为了保证项目的顺利落地，投标单位需提供测试材料或者对接视频，提供材料得</w:t>
            </w:r>
            <w:r>
              <w:rPr>
                <w:color w:val="000000"/>
                <w:kern w:val="0"/>
                <w:sz w:val="22"/>
                <w:highlight w:val="none"/>
              </w:rPr>
              <w:t>5</w:t>
            </w:r>
            <w:r>
              <w:rPr>
                <w:rFonts w:hint="eastAsia" w:ascii="宋体" w:hAnsi="宋体" w:cs="宋体"/>
                <w:color w:val="000000"/>
                <w:kern w:val="0"/>
                <w:sz w:val="22"/>
                <w:highlight w:val="none"/>
              </w:rPr>
              <w:t>分，不提供不得分。此项最高得分</w:t>
            </w:r>
            <w:r>
              <w:rPr>
                <w:color w:val="000000"/>
                <w:kern w:val="0"/>
                <w:sz w:val="22"/>
                <w:highlight w:val="none"/>
              </w:rPr>
              <w:t>15</w:t>
            </w:r>
            <w:r>
              <w:rPr>
                <w:rFonts w:hint="eastAsia" w:ascii="宋体" w:hAnsi="宋体" w:cs="宋体"/>
                <w:color w:val="000000"/>
                <w:kern w:val="0"/>
                <w:sz w:val="22"/>
                <w:highlight w:val="none"/>
              </w:rPr>
              <w:t>分。</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15</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rPr>
                <w:rFonts w:ascii="宋体" w:hAnsi="宋体" w:cs="宋体"/>
                <w:color w:val="000000"/>
                <w:sz w:val="22"/>
                <w:highlight w:val="none"/>
              </w:rPr>
            </w:pP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w:t>
            </w:r>
            <w:r>
              <w:rPr>
                <w:color w:val="000000"/>
                <w:kern w:val="0"/>
                <w:sz w:val="22"/>
                <w:highlight w:val="none"/>
              </w:rPr>
              <w:t>3</w:t>
            </w:r>
            <w:r>
              <w:rPr>
                <w:rFonts w:hint="eastAsia" w:ascii="宋体" w:hAnsi="宋体" w:cs="宋体"/>
                <w:color w:val="000000"/>
                <w:kern w:val="0"/>
                <w:sz w:val="22"/>
                <w:highlight w:val="none"/>
              </w:rPr>
              <w:t>）项目验收方案</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投标人应根据招标文件要求制定详细、具体、科学合理的项目验收方案。重点评审方案的合理性、可行性、针对性。根据方案的撰写情况优得</w:t>
            </w:r>
            <w:r>
              <w:rPr>
                <w:color w:val="000000"/>
                <w:kern w:val="0"/>
                <w:sz w:val="22"/>
                <w:highlight w:val="none"/>
              </w:rPr>
              <w:t>5</w:t>
            </w:r>
            <w:r>
              <w:rPr>
                <w:rFonts w:hint="eastAsia" w:ascii="宋体" w:hAnsi="宋体" w:cs="宋体"/>
                <w:color w:val="000000"/>
                <w:kern w:val="0"/>
                <w:sz w:val="22"/>
                <w:highlight w:val="none"/>
              </w:rPr>
              <w:t>分，良得</w:t>
            </w:r>
            <w:r>
              <w:rPr>
                <w:color w:val="000000"/>
                <w:kern w:val="0"/>
                <w:sz w:val="22"/>
                <w:highlight w:val="none"/>
              </w:rPr>
              <w:t>3</w:t>
            </w:r>
            <w:r>
              <w:rPr>
                <w:rFonts w:hint="eastAsia" w:ascii="宋体" w:hAnsi="宋体" w:cs="宋体"/>
                <w:color w:val="000000"/>
                <w:kern w:val="0"/>
                <w:sz w:val="22"/>
                <w:highlight w:val="none"/>
              </w:rPr>
              <w:t>分，一般</w:t>
            </w:r>
            <w:r>
              <w:rPr>
                <w:color w:val="000000"/>
                <w:kern w:val="0"/>
                <w:sz w:val="22"/>
                <w:highlight w:val="none"/>
              </w:rPr>
              <w:t>2</w:t>
            </w:r>
            <w:r>
              <w:rPr>
                <w:rFonts w:hint="eastAsia" w:ascii="宋体" w:hAnsi="宋体" w:cs="宋体"/>
                <w:color w:val="000000"/>
                <w:kern w:val="0"/>
                <w:sz w:val="22"/>
                <w:highlight w:val="none"/>
              </w:rPr>
              <w:t>分。此项最高得分</w:t>
            </w:r>
            <w:r>
              <w:rPr>
                <w:color w:val="000000"/>
                <w:kern w:val="0"/>
                <w:sz w:val="22"/>
                <w:highlight w:val="none"/>
              </w:rPr>
              <w:t>5</w:t>
            </w:r>
            <w:r>
              <w:rPr>
                <w:rFonts w:hint="eastAsia" w:ascii="宋体" w:hAnsi="宋体" w:cs="宋体"/>
                <w:color w:val="000000"/>
                <w:kern w:val="0"/>
                <w:sz w:val="22"/>
                <w:highlight w:val="none"/>
              </w:rPr>
              <w:t>分。</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5</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95"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3.2</w:t>
            </w:r>
            <w:r>
              <w:rPr>
                <w:rFonts w:hint="eastAsia" w:ascii="宋体" w:hAnsi="宋体" w:cs="宋体"/>
                <w:color w:val="000000"/>
                <w:kern w:val="0"/>
                <w:sz w:val="22"/>
                <w:highlight w:val="none"/>
              </w:rPr>
              <w:t>售后服务</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售后服务和培训方案</w:t>
            </w:r>
            <w:r>
              <w:rPr>
                <w:rFonts w:hint="eastAsia" w:ascii="宋体" w:hAnsi="宋体" w:cs="宋体"/>
                <w:color w:val="000000"/>
                <w:kern w:val="0"/>
                <w:sz w:val="22"/>
                <w:highlight w:val="none"/>
              </w:rPr>
              <w:br w:type="textWrapping"/>
            </w:r>
            <w:r>
              <w:rPr>
                <w:rFonts w:hint="eastAsia" w:ascii="宋体" w:hAnsi="宋体" w:cs="宋体"/>
                <w:color w:val="000000"/>
                <w:kern w:val="0"/>
                <w:sz w:val="22"/>
                <w:highlight w:val="none"/>
              </w:rPr>
              <w:t>投标人及投标产品制造商具有完善的售后服务体系，投标人应根据招标文件要求制定详细、具体、科学合理的售后服务方案和培训方案。重点评审方案的合理性、可行性、针对性。根据方案的撰写情况优得6分，良得</w:t>
            </w:r>
            <w:r>
              <w:rPr>
                <w:color w:val="000000"/>
                <w:kern w:val="0"/>
                <w:sz w:val="22"/>
                <w:highlight w:val="none"/>
              </w:rPr>
              <w:t>3</w:t>
            </w:r>
            <w:r>
              <w:rPr>
                <w:rFonts w:hint="eastAsia" w:ascii="宋体" w:hAnsi="宋体" w:cs="宋体"/>
                <w:color w:val="000000"/>
                <w:kern w:val="0"/>
                <w:sz w:val="22"/>
                <w:highlight w:val="none"/>
              </w:rPr>
              <w:t>分，一般</w:t>
            </w:r>
            <w:r>
              <w:rPr>
                <w:rFonts w:hint="eastAsia"/>
                <w:color w:val="000000"/>
                <w:kern w:val="0"/>
                <w:sz w:val="22"/>
                <w:highlight w:val="none"/>
              </w:rPr>
              <w:t>1</w:t>
            </w:r>
            <w:r>
              <w:rPr>
                <w:rFonts w:hint="eastAsia" w:ascii="宋体" w:hAnsi="宋体" w:cs="宋体"/>
                <w:color w:val="000000"/>
                <w:kern w:val="0"/>
                <w:sz w:val="22"/>
                <w:highlight w:val="none"/>
              </w:rPr>
              <w:t>分。此项最高得分</w:t>
            </w:r>
            <w:r>
              <w:rPr>
                <w:color w:val="000000"/>
                <w:kern w:val="0"/>
                <w:sz w:val="22"/>
                <w:highlight w:val="none"/>
              </w:rPr>
              <w:t>6</w:t>
            </w:r>
            <w:r>
              <w:rPr>
                <w:rFonts w:hint="eastAsia" w:ascii="宋体" w:hAnsi="宋体" w:cs="宋体"/>
                <w:color w:val="000000"/>
                <w:kern w:val="0"/>
                <w:sz w:val="22"/>
                <w:highlight w:val="none"/>
              </w:rPr>
              <w:t>分。</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6</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95"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4.1</w:t>
            </w:r>
            <w:r>
              <w:rPr>
                <w:rFonts w:hint="eastAsia" w:ascii="宋体" w:hAnsi="宋体" w:cs="宋体"/>
                <w:color w:val="000000"/>
                <w:kern w:val="0"/>
                <w:sz w:val="22"/>
                <w:highlight w:val="none"/>
              </w:rPr>
              <w:t>投标人资质</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投标人具有</w:t>
            </w:r>
            <w:r>
              <w:rPr>
                <w:color w:val="000000"/>
                <w:kern w:val="0"/>
                <w:sz w:val="22"/>
                <w:highlight w:val="none"/>
              </w:rPr>
              <w:t>ISO9001</w:t>
            </w:r>
            <w:r>
              <w:rPr>
                <w:rFonts w:hint="eastAsia" w:ascii="宋体" w:hAnsi="宋体" w:cs="宋体"/>
                <w:color w:val="000000"/>
                <w:kern w:val="0"/>
                <w:sz w:val="22"/>
                <w:highlight w:val="none"/>
              </w:rPr>
              <w:t>质量管理体系认证、</w:t>
            </w:r>
            <w:r>
              <w:rPr>
                <w:color w:val="000000"/>
                <w:kern w:val="0"/>
                <w:sz w:val="22"/>
                <w:highlight w:val="none"/>
              </w:rPr>
              <w:t>ISO20000</w:t>
            </w:r>
            <w:r>
              <w:rPr>
                <w:rFonts w:hint="eastAsia" w:ascii="宋体" w:hAnsi="宋体" w:cs="宋体"/>
                <w:color w:val="000000"/>
                <w:kern w:val="0"/>
                <w:sz w:val="22"/>
                <w:highlight w:val="none"/>
              </w:rPr>
              <w:t>信息技术服务管理体系认证、</w:t>
            </w:r>
            <w:r>
              <w:rPr>
                <w:color w:val="000000"/>
                <w:kern w:val="0"/>
                <w:sz w:val="22"/>
                <w:highlight w:val="none"/>
              </w:rPr>
              <w:t>ISO27001</w:t>
            </w:r>
            <w:r>
              <w:rPr>
                <w:rFonts w:hint="eastAsia" w:ascii="宋体" w:hAnsi="宋体" w:cs="宋体"/>
                <w:color w:val="000000"/>
                <w:kern w:val="0"/>
                <w:sz w:val="22"/>
                <w:highlight w:val="none"/>
              </w:rPr>
              <w:t>信息安全管理体系认证、</w:t>
            </w:r>
            <w:r>
              <w:rPr>
                <w:color w:val="000000"/>
                <w:kern w:val="0"/>
                <w:sz w:val="22"/>
                <w:highlight w:val="none"/>
              </w:rPr>
              <w:t>ISO14001</w:t>
            </w:r>
            <w:r>
              <w:rPr>
                <w:rFonts w:hint="eastAsia" w:ascii="宋体" w:hAnsi="宋体" w:cs="宋体"/>
                <w:color w:val="000000"/>
                <w:kern w:val="0"/>
                <w:sz w:val="22"/>
                <w:highlight w:val="none"/>
              </w:rPr>
              <w:t>环境管理体系认证、</w:t>
            </w:r>
            <w:r>
              <w:rPr>
                <w:color w:val="000000"/>
                <w:kern w:val="0"/>
                <w:sz w:val="22"/>
                <w:highlight w:val="none"/>
              </w:rPr>
              <w:t>ISO45001</w:t>
            </w:r>
            <w:r>
              <w:rPr>
                <w:rFonts w:hint="eastAsia" w:ascii="宋体" w:hAnsi="宋体" w:cs="宋体"/>
                <w:color w:val="000000"/>
                <w:kern w:val="0"/>
                <w:sz w:val="22"/>
                <w:highlight w:val="none"/>
              </w:rPr>
              <w:t>职业健康安全管理体系认证，每提供</w:t>
            </w:r>
            <w:r>
              <w:rPr>
                <w:color w:val="000000"/>
                <w:kern w:val="0"/>
                <w:sz w:val="22"/>
                <w:highlight w:val="none"/>
              </w:rPr>
              <w:t>1</w:t>
            </w:r>
            <w:r>
              <w:rPr>
                <w:rFonts w:hint="eastAsia" w:ascii="宋体" w:hAnsi="宋体" w:cs="宋体"/>
                <w:color w:val="000000"/>
                <w:kern w:val="0"/>
                <w:sz w:val="22"/>
                <w:highlight w:val="none"/>
              </w:rPr>
              <w:t>个证书得</w:t>
            </w:r>
            <w:r>
              <w:rPr>
                <w:color w:val="000000"/>
                <w:kern w:val="0"/>
                <w:sz w:val="22"/>
                <w:highlight w:val="none"/>
              </w:rPr>
              <w:t>1</w:t>
            </w:r>
            <w:r>
              <w:rPr>
                <w:rFonts w:hint="eastAsia" w:ascii="宋体" w:hAnsi="宋体" w:cs="宋体"/>
                <w:color w:val="000000"/>
                <w:kern w:val="0"/>
                <w:sz w:val="22"/>
                <w:highlight w:val="none"/>
              </w:rPr>
              <w:t>分，最多不超过</w:t>
            </w:r>
            <w:r>
              <w:rPr>
                <w:color w:val="000000"/>
                <w:kern w:val="0"/>
                <w:sz w:val="22"/>
                <w:highlight w:val="none"/>
              </w:rPr>
              <w:t>5</w:t>
            </w:r>
            <w:r>
              <w:rPr>
                <w:rFonts w:hint="eastAsia" w:ascii="宋体" w:hAnsi="宋体" w:cs="宋体"/>
                <w:color w:val="000000"/>
                <w:kern w:val="0"/>
                <w:sz w:val="22"/>
                <w:highlight w:val="none"/>
              </w:rPr>
              <w:t>分，不提供不得分（提供证书复印件并加盖投标人公章）</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5</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95"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4.2</w:t>
            </w:r>
            <w:r>
              <w:rPr>
                <w:rFonts w:hint="eastAsia" w:ascii="宋体" w:hAnsi="宋体" w:cs="宋体"/>
                <w:color w:val="000000"/>
                <w:kern w:val="0"/>
                <w:sz w:val="22"/>
                <w:highlight w:val="none"/>
              </w:rPr>
              <w:t>投标人软件服务能力</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投标人具有</w:t>
            </w:r>
            <w:r>
              <w:rPr>
                <w:color w:val="000000"/>
                <w:kern w:val="0"/>
                <w:sz w:val="22"/>
                <w:highlight w:val="none"/>
              </w:rPr>
              <w:t>ITSS</w:t>
            </w:r>
            <w:r>
              <w:rPr>
                <w:rFonts w:hint="eastAsia" w:ascii="宋体" w:hAnsi="宋体" w:cs="宋体"/>
                <w:color w:val="000000"/>
                <w:kern w:val="0"/>
                <w:sz w:val="22"/>
                <w:highlight w:val="none"/>
              </w:rPr>
              <w:t>信息技术服务标准符合性证书的、软件能力成熟度证书</w:t>
            </w:r>
            <w:r>
              <w:rPr>
                <w:color w:val="000000"/>
                <w:kern w:val="0"/>
                <w:sz w:val="22"/>
                <w:highlight w:val="none"/>
              </w:rPr>
              <w:t>CMMI3</w:t>
            </w:r>
            <w:r>
              <w:rPr>
                <w:rFonts w:hint="eastAsia" w:ascii="宋体" w:hAnsi="宋体" w:cs="宋体"/>
                <w:color w:val="000000"/>
                <w:kern w:val="0"/>
                <w:sz w:val="22"/>
                <w:highlight w:val="none"/>
              </w:rPr>
              <w:t>及以上的，每提供</w:t>
            </w:r>
            <w:r>
              <w:rPr>
                <w:color w:val="000000"/>
                <w:kern w:val="0"/>
                <w:sz w:val="22"/>
                <w:highlight w:val="none"/>
              </w:rPr>
              <w:t>1</w:t>
            </w:r>
            <w:r>
              <w:rPr>
                <w:rFonts w:hint="eastAsia" w:ascii="宋体" w:hAnsi="宋体" w:cs="宋体"/>
                <w:color w:val="000000"/>
                <w:kern w:val="0"/>
                <w:sz w:val="22"/>
                <w:highlight w:val="none"/>
              </w:rPr>
              <w:t>个证书得</w:t>
            </w:r>
            <w:r>
              <w:rPr>
                <w:color w:val="000000"/>
                <w:kern w:val="0"/>
                <w:sz w:val="22"/>
                <w:highlight w:val="none"/>
              </w:rPr>
              <w:t>1</w:t>
            </w:r>
            <w:r>
              <w:rPr>
                <w:rFonts w:hint="eastAsia" w:ascii="宋体" w:hAnsi="宋体" w:cs="宋体"/>
                <w:color w:val="000000"/>
                <w:kern w:val="0"/>
                <w:sz w:val="22"/>
                <w:highlight w:val="none"/>
              </w:rPr>
              <w:t>分，不提供不得分（提供证书复印件并加盖投标人公章）</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2</w:t>
            </w:r>
            <w:r>
              <w:rPr>
                <w:rFonts w:hint="eastAsia" w:ascii="宋体" w:hAnsi="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95"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4.3</w:t>
            </w:r>
            <w:r>
              <w:rPr>
                <w:rFonts w:hint="eastAsia" w:ascii="宋体" w:hAnsi="宋体" w:cs="宋体"/>
                <w:color w:val="000000"/>
                <w:kern w:val="0"/>
                <w:sz w:val="22"/>
                <w:highlight w:val="none"/>
              </w:rPr>
              <w:t>投标人业绩</w:t>
            </w:r>
          </w:p>
        </w:tc>
        <w:tc>
          <w:tcPr>
            <w:tcW w:w="3269" w:type="pct"/>
            <w:tcBorders>
              <w:top w:val="single" w:color="auto" w:sz="4" w:space="0"/>
              <w:left w:val="single" w:color="auto" w:sz="4" w:space="0"/>
              <w:bottom w:val="single" w:color="auto" w:sz="4" w:space="0"/>
              <w:right w:val="single" w:color="auto" w:sz="4" w:space="0"/>
            </w:tcBorders>
            <w:vAlign w:val="center"/>
          </w:tcPr>
          <w:p>
            <w:pPr>
              <w:widowControl/>
              <w:kinsoku/>
              <w:wordWrap/>
              <w:overflowPunct/>
              <w:topLinePunct w:val="0"/>
              <w:bidi w:val="0"/>
              <w:spacing w:line="360" w:lineRule="auto"/>
              <w:jc w:val="left"/>
              <w:textAlignment w:val="center"/>
              <w:rPr>
                <w:rFonts w:ascii="宋体" w:hAnsi="宋体" w:cs="宋体"/>
                <w:color w:val="000000"/>
                <w:sz w:val="22"/>
                <w:highlight w:val="none"/>
              </w:rPr>
            </w:pPr>
            <w:r>
              <w:rPr>
                <w:rFonts w:hint="eastAsia" w:ascii="宋体" w:hAnsi="宋体" w:cs="宋体"/>
                <w:color w:val="000000"/>
                <w:kern w:val="0"/>
                <w:sz w:val="22"/>
                <w:highlight w:val="none"/>
              </w:rPr>
              <w:t>投标人提供2019年以来的视频服务类相似项目业绩，有一个得</w:t>
            </w:r>
            <w:r>
              <w:rPr>
                <w:color w:val="000000"/>
                <w:kern w:val="0"/>
                <w:sz w:val="22"/>
                <w:highlight w:val="none"/>
              </w:rPr>
              <w:t>1</w:t>
            </w:r>
            <w:r>
              <w:rPr>
                <w:rFonts w:hint="eastAsia" w:ascii="宋体" w:hAnsi="宋体" w:cs="宋体"/>
                <w:color w:val="000000"/>
                <w:kern w:val="0"/>
                <w:sz w:val="22"/>
                <w:highlight w:val="none"/>
              </w:rPr>
              <w:t>分，最多得</w:t>
            </w:r>
            <w:r>
              <w:rPr>
                <w:color w:val="000000"/>
                <w:kern w:val="0"/>
                <w:sz w:val="22"/>
                <w:highlight w:val="none"/>
              </w:rPr>
              <w:t>3</w:t>
            </w:r>
            <w:r>
              <w:rPr>
                <w:rFonts w:hint="eastAsia" w:ascii="宋体" w:hAnsi="宋体" w:cs="宋体"/>
                <w:color w:val="000000"/>
                <w:kern w:val="0"/>
                <w:sz w:val="22"/>
                <w:highlight w:val="none"/>
              </w:rPr>
              <w:t>分（请在投标文件中提供相关合同的复印件，不提供的不得分）</w:t>
            </w:r>
          </w:p>
        </w:tc>
        <w:tc>
          <w:tcPr>
            <w:tcW w:w="636" w:type="pct"/>
            <w:tcBorders>
              <w:top w:val="single" w:color="auto" w:sz="4" w:space="0"/>
              <w:left w:val="single" w:color="auto" w:sz="4" w:space="0"/>
              <w:bottom w:val="single" w:color="auto" w:sz="4" w:space="0"/>
              <w:right w:val="single" w:color="auto" w:sz="4" w:space="0"/>
            </w:tcBorders>
            <w:noWrap/>
            <w:vAlign w:val="center"/>
          </w:tcPr>
          <w:p>
            <w:pPr>
              <w:widowControl/>
              <w:kinsoku/>
              <w:wordWrap/>
              <w:overflowPunct/>
              <w:topLinePunct w:val="0"/>
              <w:bidi w:val="0"/>
              <w:spacing w:line="360" w:lineRule="auto"/>
              <w:jc w:val="center"/>
              <w:textAlignment w:val="center"/>
              <w:rPr>
                <w:color w:val="000000"/>
                <w:sz w:val="22"/>
                <w:highlight w:val="none"/>
              </w:rPr>
            </w:pPr>
            <w:r>
              <w:rPr>
                <w:color w:val="000000"/>
                <w:kern w:val="0"/>
                <w:sz w:val="22"/>
                <w:highlight w:val="none"/>
              </w:rPr>
              <w:t>3</w:t>
            </w:r>
            <w:r>
              <w:rPr>
                <w:rFonts w:hint="eastAsia" w:ascii="宋体" w:hAnsi="宋体" w:cs="宋体"/>
                <w:color w:val="000000"/>
                <w:kern w:val="0"/>
                <w:sz w:val="22"/>
                <w:highlight w:val="none"/>
              </w:rPr>
              <w:t>分</w:t>
            </w:r>
          </w:p>
        </w:tc>
      </w:tr>
    </w:tbl>
    <w:p>
      <w:pPr>
        <w:kinsoku/>
        <w:wordWrap/>
        <w:overflowPunct/>
        <w:topLinePunct w:val="0"/>
        <w:bidi w:val="0"/>
        <w:spacing w:line="360" w:lineRule="auto"/>
        <w:jc w:val="center"/>
        <w:rPr>
          <w:rFonts w:ascii="宋体" w:hAnsi="宋体" w:eastAsia="宋体" w:cs="宋体"/>
          <w:b/>
          <w:bCs/>
          <w:sz w:val="44"/>
          <w:szCs w:val="44"/>
          <w:highlight w:val="none"/>
        </w:rPr>
      </w:pPr>
    </w:p>
    <w:p>
      <w:pPr>
        <w:pStyle w:val="2"/>
        <w:rPr>
          <w:rFonts w:ascii="宋体" w:hAnsi="宋体" w:eastAsia="宋体" w:cs="宋体"/>
          <w:b/>
          <w:bCs/>
          <w:sz w:val="44"/>
          <w:szCs w:val="44"/>
          <w:highlight w:val="none"/>
        </w:rPr>
      </w:pPr>
    </w:p>
    <w:p>
      <w:pPr>
        <w:rPr>
          <w:rFonts w:ascii="宋体" w:hAnsi="宋体" w:eastAsia="宋体" w:cs="宋体"/>
          <w:b/>
          <w:bCs/>
          <w:sz w:val="44"/>
          <w:szCs w:val="44"/>
          <w:highlight w:val="none"/>
        </w:rPr>
      </w:pPr>
    </w:p>
    <w:p>
      <w:pPr>
        <w:pStyle w:val="2"/>
        <w:rPr>
          <w:rFonts w:ascii="宋体" w:hAnsi="宋体" w:eastAsia="宋体" w:cs="宋体"/>
          <w:b/>
          <w:bCs/>
          <w:sz w:val="44"/>
          <w:szCs w:val="44"/>
          <w:highlight w:val="none"/>
        </w:rPr>
      </w:pPr>
    </w:p>
    <w:p>
      <w:pPr>
        <w:rPr>
          <w:rFonts w:ascii="宋体" w:hAnsi="宋体" w:eastAsia="宋体" w:cs="宋体"/>
          <w:b/>
          <w:bCs/>
          <w:sz w:val="44"/>
          <w:szCs w:val="44"/>
          <w:highlight w:val="none"/>
        </w:rPr>
      </w:pPr>
    </w:p>
    <w:p>
      <w:pPr>
        <w:pStyle w:val="2"/>
        <w:rPr>
          <w:rFonts w:ascii="宋体" w:hAnsi="宋体" w:eastAsia="宋体" w:cs="宋体"/>
          <w:b/>
          <w:bCs/>
          <w:sz w:val="44"/>
          <w:szCs w:val="44"/>
          <w:highlight w:val="none"/>
        </w:rPr>
      </w:pPr>
    </w:p>
    <w:p/>
    <w:p>
      <w:pPr>
        <w:pStyle w:val="2"/>
        <w:rPr>
          <w:rFonts w:ascii="宋体" w:hAnsi="宋体" w:eastAsia="宋体" w:cs="宋体"/>
          <w:b/>
          <w:bCs/>
          <w:sz w:val="44"/>
          <w:szCs w:val="44"/>
          <w:highlight w:val="none"/>
        </w:rPr>
      </w:pPr>
    </w:p>
    <w:p>
      <w:pPr>
        <w:rPr>
          <w:rFonts w:ascii="宋体" w:hAnsi="宋体" w:eastAsia="宋体" w:cs="宋体"/>
          <w:b/>
          <w:bCs/>
          <w:sz w:val="44"/>
          <w:szCs w:val="44"/>
          <w:highlight w:val="none"/>
        </w:rPr>
      </w:pPr>
    </w:p>
    <w:p>
      <w:pPr>
        <w:pStyle w:val="2"/>
      </w:pPr>
    </w:p>
    <w:p>
      <w:pPr>
        <w:kinsoku/>
        <w:wordWrap/>
        <w:overflowPunct/>
        <w:topLinePunct w:val="0"/>
        <w:bidi w:val="0"/>
        <w:spacing w:line="360" w:lineRule="auto"/>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 xml:space="preserve">第六章  </w:t>
      </w:r>
      <w:r>
        <w:rPr>
          <w:rFonts w:hint="eastAsia" w:ascii="宋体" w:hAnsi="宋体" w:eastAsia="宋体" w:cs="宋体"/>
          <w:b/>
          <w:sz w:val="44"/>
          <w:szCs w:val="44"/>
          <w:highlight w:val="none"/>
        </w:rPr>
        <w:t>拟签订的合同文本</w:t>
      </w:r>
    </w:p>
    <w:p>
      <w:pPr>
        <w:kinsoku/>
        <w:wordWrap/>
        <w:overflowPunct/>
        <w:topLinePunct w:val="0"/>
        <w:bidi w:val="0"/>
        <w:spacing w:line="360" w:lineRule="auto"/>
        <w:jc w:val="center"/>
        <w:rPr>
          <w:rFonts w:ascii="宋体" w:hAnsi="宋体" w:cs="宋体"/>
          <w:b/>
          <w:sz w:val="24"/>
          <w:szCs w:val="24"/>
          <w:highlight w:val="none"/>
        </w:rPr>
      </w:pPr>
      <w:r>
        <w:rPr>
          <w:rFonts w:hint="eastAsia" w:ascii="宋体" w:hAnsi="宋体" w:cs="宋体"/>
          <w:b/>
          <w:sz w:val="24"/>
          <w:szCs w:val="24"/>
          <w:highlight w:val="none"/>
        </w:rPr>
        <w:t>南京医科大学技术服务合同</w:t>
      </w:r>
    </w:p>
    <w:p>
      <w:pPr>
        <w:pStyle w:val="8"/>
        <w:kinsoku/>
        <w:wordWrap/>
        <w:overflowPunct/>
        <w:topLinePunct w:val="0"/>
        <w:bidi w:val="0"/>
        <w:spacing w:before="120" w:after="120" w:line="360" w:lineRule="auto"/>
        <w:ind w:left="525" w:leftChars="250"/>
        <w:rPr>
          <w:rFonts w:hAnsi="宋体" w:cs="宋体"/>
          <w:sz w:val="24"/>
          <w:szCs w:val="24"/>
          <w:highlight w:val="none"/>
        </w:rPr>
      </w:pPr>
      <w:r>
        <w:rPr>
          <w:rFonts w:hint="eastAsia" w:hAnsi="宋体" w:cs="宋体"/>
          <w:sz w:val="24"/>
          <w:szCs w:val="24"/>
          <w:highlight w:val="none"/>
        </w:rPr>
        <w:t>委托方（甲方）：南京医科大学</w:t>
      </w:r>
    </w:p>
    <w:p>
      <w:pPr>
        <w:pStyle w:val="8"/>
        <w:kinsoku/>
        <w:wordWrap/>
        <w:overflowPunct/>
        <w:topLinePunct w:val="0"/>
        <w:bidi w:val="0"/>
        <w:spacing w:before="120" w:after="120" w:line="360" w:lineRule="auto"/>
        <w:ind w:left="525" w:leftChars="250"/>
        <w:rPr>
          <w:rFonts w:hAnsi="宋体" w:cs="宋体"/>
          <w:sz w:val="24"/>
          <w:szCs w:val="24"/>
          <w:highlight w:val="none"/>
        </w:rPr>
      </w:pPr>
      <w:r>
        <w:rPr>
          <w:rFonts w:hint="eastAsia" w:hAnsi="宋体" w:cs="宋体"/>
          <w:sz w:val="24"/>
          <w:szCs w:val="24"/>
          <w:highlight w:val="none"/>
        </w:rPr>
        <w:t>地址：</w:t>
      </w:r>
    </w:p>
    <w:p>
      <w:pPr>
        <w:pStyle w:val="8"/>
        <w:kinsoku/>
        <w:wordWrap/>
        <w:overflowPunct/>
        <w:topLinePunct w:val="0"/>
        <w:bidi w:val="0"/>
        <w:spacing w:before="120" w:after="120" w:line="360" w:lineRule="auto"/>
        <w:ind w:left="525" w:leftChars="250"/>
        <w:rPr>
          <w:rFonts w:hAnsi="宋体" w:cs="宋体"/>
          <w:sz w:val="24"/>
          <w:szCs w:val="24"/>
          <w:highlight w:val="none"/>
        </w:rPr>
      </w:pPr>
      <w:r>
        <w:rPr>
          <w:rFonts w:hint="eastAsia" w:hAnsi="宋体" w:cs="宋体"/>
          <w:sz w:val="24"/>
          <w:szCs w:val="24"/>
          <w:highlight w:val="none"/>
        </w:rPr>
        <w:t xml:space="preserve">联系方式：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受托方（乙方）：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地址：</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联系方式：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甲方委托乙方就甲方</w:t>
      </w:r>
      <w:r>
        <w:rPr>
          <w:rFonts w:hint="eastAsia" w:hAnsi="宋体" w:cs="宋体"/>
          <w:sz w:val="24"/>
          <w:szCs w:val="24"/>
          <w:highlight w:val="none"/>
          <w:u w:val="single"/>
        </w:rPr>
        <w:t xml:space="preserve">                   </w:t>
      </w:r>
      <w:r>
        <w:rPr>
          <w:rFonts w:hint="eastAsia" w:hAnsi="宋体" w:cs="宋体"/>
          <w:sz w:val="24"/>
          <w:szCs w:val="24"/>
          <w:highlight w:val="none"/>
        </w:rPr>
        <w:t>项目提供</w:t>
      </w:r>
      <w:r>
        <w:rPr>
          <w:rFonts w:hint="eastAsia" w:hAnsi="宋体" w:cs="宋体"/>
          <w:sz w:val="24"/>
          <w:szCs w:val="24"/>
          <w:highlight w:val="none"/>
          <w:u w:val="single"/>
        </w:rPr>
        <w:t xml:space="preserve">       </w:t>
      </w:r>
      <w:r>
        <w:rPr>
          <w:rFonts w:hint="eastAsia" w:hAnsi="宋体" w:cs="宋体"/>
          <w:sz w:val="24"/>
          <w:szCs w:val="24"/>
          <w:highlight w:val="none"/>
        </w:rPr>
        <w:t>专项技术服务，甲方支付相应的技术服务报酬。双方经过平等协商，在真实、充分地表达各自意愿的基础上，根据《中华人民共和国合同法》的规定，达成如下协议，并由双方共同恪守。</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第一条</w:t>
      </w:r>
      <w:r>
        <w:rPr>
          <w:rFonts w:hint="eastAsia" w:hAnsi="宋体" w:cs="宋体"/>
          <w:sz w:val="24"/>
          <w:szCs w:val="24"/>
          <w:highlight w:val="none"/>
        </w:rPr>
        <w:t xml:space="preserve"> 甲方委托乙方进行技术服务的内容如下：</w:t>
      </w:r>
    </w:p>
    <w:p>
      <w:pPr>
        <w:pStyle w:val="8"/>
        <w:kinsoku/>
        <w:wordWrap/>
        <w:overflowPunct/>
        <w:topLinePunct w:val="0"/>
        <w:bidi w:val="0"/>
        <w:spacing w:before="120" w:after="120" w:line="360" w:lineRule="auto"/>
        <w:ind w:left="525" w:leftChars="250"/>
        <w:jc w:val="left"/>
        <w:rPr>
          <w:rFonts w:hAnsi="宋体" w:cs="宋体"/>
          <w:sz w:val="24"/>
          <w:szCs w:val="24"/>
          <w:highlight w:val="none"/>
        </w:rPr>
      </w:pPr>
      <w:r>
        <w:rPr>
          <w:rFonts w:hint="eastAsia" w:hAnsi="宋体" w:cs="宋体"/>
          <w:sz w:val="24"/>
          <w:szCs w:val="24"/>
          <w:highlight w:val="none"/>
        </w:rPr>
        <w:t xml:space="preserve">1．技术服务的目标：                                                                                                           2．技术服务的内容：                                                        3．技术服务的方式：                                  </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第二条</w:t>
      </w:r>
      <w:r>
        <w:rPr>
          <w:rFonts w:hint="eastAsia" w:hAnsi="宋体" w:cs="宋体"/>
          <w:sz w:val="24"/>
          <w:szCs w:val="24"/>
          <w:highlight w:val="none"/>
        </w:rPr>
        <w:t xml:space="preserve"> 乙方应按下列要求完成技术服务工作：</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1．技术服务地点：</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2．技术服务期限：</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3．技术服务进度：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4．技术服务质量要求：</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5．技术服务质量期限要求：</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第三条</w:t>
      </w:r>
      <w:r>
        <w:rPr>
          <w:rFonts w:hint="eastAsia" w:hAnsi="宋体" w:cs="宋体"/>
          <w:sz w:val="24"/>
          <w:szCs w:val="24"/>
          <w:highlight w:val="none"/>
        </w:rPr>
        <w:t xml:space="preserve"> 为保证乙方有效进行技术服务工作，甲方应当向乙方提供下列工作条件和协作事项：</w:t>
      </w:r>
    </w:p>
    <w:p>
      <w:pPr>
        <w:pStyle w:val="8"/>
        <w:kinsoku/>
        <w:wordWrap/>
        <w:overflowPunct/>
        <w:topLinePunct w:val="0"/>
        <w:bidi w:val="0"/>
        <w:spacing w:before="120" w:after="120" w:line="360" w:lineRule="auto"/>
        <w:ind w:left="420" w:leftChars="200" w:firstLine="120" w:firstLineChars="50"/>
        <w:jc w:val="left"/>
        <w:rPr>
          <w:rFonts w:hAnsi="宋体" w:cs="宋体"/>
          <w:sz w:val="24"/>
          <w:szCs w:val="24"/>
          <w:highlight w:val="none"/>
        </w:rPr>
      </w:pPr>
      <w:r>
        <w:rPr>
          <w:rFonts w:hint="eastAsia" w:hAnsi="宋体" w:cs="宋体"/>
          <w:sz w:val="24"/>
          <w:szCs w:val="24"/>
          <w:highlight w:val="none"/>
        </w:rPr>
        <w:t>1．提供技术资料：（1）</w:t>
      </w:r>
      <w:r>
        <w:rPr>
          <w:rFonts w:hint="eastAsia" w:hAnsi="宋体" w:cs="宋体"/>
          <w:sz w:val="24"/>
          <w:szCs w:val="24"/>
          <w:highlight w:val="none"/>
          <w:u w:val="single"/>
        </w:rPr>
        <w:t xml:space="preserve">                                                 ；</w:t>
      </w:r>
      <w:r>
        <w:rPr>
          <w:rFonts w:hint="eastAsia" w:hAnsi="宋体" w:cs="宋体"/>
          <w:sz w:val="24"/>
          <w:szCs w:val="24"/>
          <w:highlight w:val="none"/>
        </w:rPr>
        <w:t>（2）</w:t>
      </w:r>
      <w:r>
        <w:rPr>
          <w:rFonts w:hint="eastAsia" w:hAnsi="宋体" w:cs="宋体"/>
          <w:sz w:val="24"/>
          <w:szCs w:val="24"/>
          <w:highlight w:val="none"/>
          <w:u w:val="single"/>
        </w:rPr>
        <w:t xml:space="preserve">                                                 ；  </w:t>
      </w:r>
      <w:r>
        <w:rPr>
          <w:rFonts w:hint="eastAsia" w:hAnsi="宋体" w:cs="宋体"/>
          <w:sz w:val="24"/>
          <w:szCs w:val="24"/>
          <w:highlight w:val="none"/>
        </w:rPr>
        <w:t xml:space="preserve">  （3）</w:t>
      </w:r>
      <w:r>
        <w:rPr>
          <w:rFonts w:hint="eastAsia" w:hAnsi="宋体" w:cs="宋体"/>
          <w:sz w:val="24"/>
          <w:szCs w:val="24"/>
          <w:highlight w:val="none"/>
          <w:u w:val="single"/>
        </w:rPr>
        <w:t xml:space="preserve">                                                 ；</w:t>
      </w:r>
      <w:r>
        <w:rPr>
          <w:rFonts w:hint="eastAsia" w:hAnsi="宋体" w:cs="宋体"/>
          <w:sz w:val="24"/>
          <w:szCs w:val="24"/>
          <w:highlight w:val="none"/>
        </w:rPr>
        <w:t xml:space="preserve">   </w:t>
      </w:r>
    </w:p>
    <w:p>
      <w:pPr>
        <w:pStyle w:val="8"/>
        <w:kinsoku/>
        <w:wordWrap/>
        <w:overflowPunct/>
        <w:topLinePunct w:val="0"/>
        <w:bidi w:val="0"/>
        <w:spacing w:before="120" w:after="120" w:line="360" w:lineRule="auto"/>
        <w:ind w:left="420" w:leftChars="200"/>
        <w:jc w:val="left"/>
        <w:rPr>
          <w:rFonts w:hAnsi="宋体" w:cs="宋体"/>
          <w:sz w:val="24"/>
          <w:szCs w:val="24"/>
          <w:highlight w:val="none"/>
        </w:rPr>
      </w:pPr>
      <w:r>
        <w:rPr>
          <w:rFonts w:hint="eastAsia" w:hAnsi="宋体" w:cs="宋体"/>
          <w:sz w:val="24"/>
          <w:szCs w:val="24"/>
          <w:highlight w:val="none"/>
        </w:rPr>
        <w:t>2．提供工作条件： （1）</w:t>
      </w:r>
      <w:r>
        <w:rPr>
          <w:rFonts w:hint="eastAsia" w:hAnsi="宋体" w:cs="宋体"/>
          <w:sz w:val="24"/>
          <w:szCs w:val="24"/>
          <w:highlight w:val="none"/>
          <w:u w:val="single"/>
        </w:rPr>
        <w:t xml:space="preserve">                                                    ；</w:t>
      </w:r>
      <w:r>
        <w:rPr>
          <w:rFonts w:hint="eastAsia" w:hAnsi="宋体" w:cs="宋体"/>
          <w:sz w:val="24"/>
          <w:szCs w:val="24"/>
          <w:highlight w:val="none"/>
        </w:rPr>
        <w:t xml:space="preserve">       （2）</w:t>
      </w:r>
      <w:r>
        <w:rPr>
          <w:rFonts w:hint="eastAsia" w:hAnsi="宋体" w:cs="宋体"/>
          <w:sz w:val="24"/>
          <w:szCs w:val="24"/>
          <w:highlight w:val="none"/>
          <w:u w:val="single"/>
        </w:rPr>
        <w:t xml:space="preserve">                                                  ；</w:t>
      </w:r>
      <w:r>
        <w:rPr>
          <w:rFonts w:hint="eastAsia" w:hAnsi="宋体" w:cs="宋体"/>
          <w:sz w:val="24"/>
          <w:szCs w:val="24"/>
          <w:highlight w:val="none"/>
        </w:rPr>
        <w:t xml:space="preserve">      </w:t>
      </w:r>
    </w:p>
    <w:p>
      <w:pPr>
        <w:pStyle w:val="8"/>
        <w:kinsoku/>
        <w:wordWrap/>
        <w:overflowPunct/>
        <w:topLinePunct w:val="0"/>
        <w:bidi w:val="0"/>
        <w:spacing w:before="120" w:after="120" w:line="360" w:lineRule="auto"/>
        <w:ind w:left="525" w:leftChars="250"/>
        <w:jc w:val="left"/>
        <w:rPr>
          <w:rFonts w:hAnsi="宋体" w:cs="宋体"/>
          <w:sz w:val="24"/>
          <w:szCs w:val="24"/>
          <w:highlight w:val="none"/>
        </w:rPr>
      </w:pPr>
      <w:r>
        <w:rPr>
          <w:rFonts w:hint="eastAsia" w:hAnsi="宋体" w:cs="宋体"/>
          <w:sz w:val="24"/>
          <w:szCs w:val="24"/>
          <w:highlight w:val="none"/>
        </w:rPr>
        <w:t>3．其他：</w:t>
      </w:r>
      <w:r>
        <w:rPr>
          <w:rFonts w:hint="eastAsia" w:hAnsi="宋体" w:cs="宋体"/>
          <w:sz w:val="24"/>
          <w:szCs w:val="24"/>
          <w:highlight w:val="none"/>
          <w:u w:val="single"/>
        </w:rPr>
        <w:t xml:space="preserve">                /                             。</w:t>
      </w:r>
      <w:r>
        <w:rPr>
          <w:rFonts w:hint="eastAsia" w:hAnsi="宋体" w:cs="宋体"/>
          <w:sz w:val="24"/>
          <w:szCs w:val="24"/>
          <w:highlight w:val="none"/>
        </w:rPr>
        <w:t xml:space="preserve">                                                              </w:t>
      </w:r>
      <w:r>
        <w:rPr>
          <w:rFonts w:hint="eastAsia" w:hAnsi="宋体" w:cs="宋体"/>
          <w:b/>
          <w:sz w:val="24"/>
          <w:szCs w:val="24"/>
          <w:highlight w:val="none"/>
        </w:rPr>
        <w:t>第四条</w:t>
      </w:r>
      <w:r>
        <w:rPr>
          <w:rFonts w:hint="eastAsia" w:hAnsi="宋体" w:cs="宋体"/>
          <w:sz w:val="24"/>
          <w:szCs w:val="24"/>
          <w:highlight w:val="none"/>
        </w:rPr>
        <w:t xml:space="preserve"> 技术服务费及支付方式</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1．技术服务费总额为：</w:t>
      </w:r>
      <w:r>
        <w:rPr>
          <w:rFonts w:hint="eastAsia" w:hAnsi="宋体" w:cs="宋体"/>
          <w:sz w:val="24"/>
          <w:szCs w:val="24"/>
          <w:highlight w:val="none"/>
          <w:u w:val="single"/>
        </w:rPr>
        <w:t xml:space="preserve">                                 </w:t>
      </w:r>
      <w:r>
        <w:rPr>
          <w:rFonts w:hint="eastAsia" w:hAnsi="宋体" w:cs="宋体"/>
          <w:sz w:val="24"/>
          <w:szCs w:val="24"/>
          <w:highlight w:val="none"/>
        </w:rPr>
        <w:t>；</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2．技术服务费由甲方</w:t>
      </w:r>
      <w:r>
        <w:rPr>
          <w:rFonts w:hint="eastAsia" w:hAnsi="宋体" w:cs="宋体"/>
          <w:sz w:val="24"/>
          <w:szCs w:val="24"/>
          <w:highlight w:val="none"/>
          <w:u w:val="single"/>
        </w:rPr>
        <w:t xml:space="preserve">             （一次或分期）</w:t>
      </w:r>
      <w:r>
        <w:rPr>
          <w:rFonts w:hint="eastAsia" w:hAnsi="宋体" w:cs="宋体"/>
          <w:sz w:val="24"/>
          <w:szCs w:val="24"/>
          <w:highlight w:val="none"/>
        </w:rPr>
        <w:t xml:space="preserve">支付给乙方。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具体支付方式和时间如下：</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3、结算方式</w:t>
      </w:r>
      <w:r>
        <w:rPr>
          <w:rFonts w:hint="eastAsia" w:hAnsi="宋体" w:cs="宋体"/>
          <w:sz w:val="24"/>
          <w:szCs w:val="24"/>
          <w:highlight w:val="none"/>
          <w:u w:val="single"/>
        </w:rPr>
        <w:t xml:space="preserve">        </w:t>
      </w:r>
      <w:r>
        <w:rPr>
          <w:rFonts w:hint="eastAsia" w:hAnsi="宋体" w:cs="宋体"/>
          <w:sz w:val="24"/>
          <w:szCs w:val="24"/>
          <w:highlight w:val="none"/>
        </w:rPr>
        <w:t>：</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A（国产设备）：服务交付且安装、调试后，并通过验收后一周内甲方支付合同总金额的</w:t>
      </w:r>
      <w:r>
        <w:rPr>
          <w:rFonts w:hint="eastAsia" w:hAnsi="宋体" w:cs="宋体"/>
          <w:b/>
          <w:color w:val="FF0000"/>
          <w:sz w:val="24"/>
          <w:szCs w:val="24"/>
          <w:highlight w:val="none"/>
        </w:rPr>
        <w:t>100%</w:t>
      </w:r>
      <w:r>
        <w:rPr>
          <w:rFonts w:hint="eastAsia" w:hAnsi="宋体" w:cs="宋体"/>
          <w:sz w:val="24"/>
          <w:szCs w:val="24"/>
          <w:highlight w:val="none"/>
        </w:rPr>
        <w:t>，付款之前需收到乙方开具的合法有效的</w:t>
      </w:r>
      <w:r>
        <w:rPr>
          <w:rFonts w:hint="eastAsia" w:hAnsi="宋体" w:cs="宋体"/>
          <w:b/>
          <w:color w:val="FF0000"/>
          <w:sz w:val="24"/>
          <w:szCs w:val="24"/>
          <w:highlight w:val="none"/>
        </w:rPr>
        <w:t>相应全额发票。（</w:t>
      </w:r>
      <w:r>
        <w:rPr>
          <w:rFonts w:hint="eastAsia" w:hAnsi="宋体" w:cs="宋体"/>
          <w:sz w:val="24"/>
          <w:szCs w:val="24"/>
          <w:highlight w:val="none"/>
        </w:rPr>
        <w:t>甲方支付合同总金额的90%，付款之前需收到乙方开具的合法有效的相应金额发票；自验收合格日起，甲方正常使用满一年后的一周内，支付剩余合同总金额的10%。</w:t>
      </w:r>
      <w:r>
        <w:rPr>
          <w:rFonts w:hint="eastAsia" w:hAnsi="宋体" w:cs="宋体"/>
          <w:b/>
          <w:color w:val="FF0000"/>
          <w:sz w:val="24"/>
          <w:szCs w:val="24"/>
          <w:highlight w:val="none"/>
        </w:rPr>
        <w:t>）</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B（进口设备）：根据委托代理进口协议，甲方与</w:t>
      </w:r>
      <w:r>
        <w:rPr>
          <w:rFonts w:hint="eastAsia" w:hAnsi="宋体" w:cs="宋体"/>
          <w:sz w:val="24"/>
          <w:szCs w:val="24"/>
          <w:highlight w:val="none"/>
          <w:u w:val="single"/>
        </w:rPr>
        <w:t xml:space="preserve">                      </w:t>
      </w:r>
      <w:r>
        <w:rPr>
          <w:rFonts w:hint="eastAsia" w:hAnsi="宋体" w:cs="宋体"/>
          <w:sz w:val="24"/>
          <w:szCs w:val="24"/>
          <w:highlight w:val="none"/>
        </w:rPr>
        <w:t>外贸代理公司进行结算。</w:t>
      </w:r>
    </w:p>
    <w:p>
      <w:pPr>
        <w:pStyle w:val="8"/>
        <w:numPr>
          <w:ilvl w:val="0"/>
          <w:numId w:val="3"/>
        </w:numPr>
        <w:kinsoku/>
        <w:wordWrap/>
        <w:overflowPunct/>
        <w:topLinePunct w:val="0"/>
        <w:bidi w:val="0"/>
        <w:snapToGrid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第一期服务费金额人民币      元，在    年   月   日前支付；</w:t>
      </w:r>
    </w:p>
    <w:p>
      <w:pPr>
        <w:pStyle w:val="8"/>
        <w:numPr>
          <w:ilvl w:val="0"/>
          <w:numId w:val="3"/>
        </w:numPr>
        <w:kinsoku/>
        <w:wordWrap/>
        <w:overflowPunct/>
        <w:topLinePunct w:val="0"/>
        <w:bidi w:val="0"/>
        <w:snapToGrid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第二期服务费金额人民币      元，在    年   月   日前支付；</w:t>
      </w:r>
    </w:p>
    <w:p>
      <w:pPr>
        <w:pStyle w:val="8"/>
        <w:numPr>
          <w:ilvl w:val="0"/>
          <w:numId w:val="3"/>
        </w:numPr>
        <w:kinsoku/>
        <w:wordWrap/>
        <w:overflowPunct/>
        <w:topLinePunct w:val="0"/>
        <w:bidi w:val="0"/>
        <w:snapToGrid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第三期服务费金额人民币      元，在    年   月   日前支付；</w:t>
      </w:r>
    </w:p>
    <w:p>
      <w:pPr>
        <w:pStyle w:val="8"/>
        <w:numPr>
          <w:ilvl w:val="0"/>
          <w:numId w:val="3"/>
        </w:numPr>
        <w:kinsoku/>
        <w:wordWrap/>
        <w:overflowPunct/>
        <w:topLinePunct w:val="0"/>
        <w:bidi w:val="0"/>
        <w:snapToGrid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第四期尾款       ，金额人民币      元，在甲方验收合格后   日内支付；</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乙方开户银行名称、账户名称和帐号为：</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开户银行：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账户名称：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帐号：                                            </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第五条</w:t>
      </w:r>
      <w:r>
        <w:rPr>
          <w:rFonts w:hint="eastAsia" w:hAnsi="宋体" w:cs="宋体"/>
          <w:sz w:val="24"/>
          <w:szCs w:val="24"/>
          <w:highlight w:val="none"/>
        </w:rPr>
        <w:t xml:space="preserve"> 双方确定因履行本合同应遵守的保密义务如下：</w:t>
      </w:r>
    </w:p>
    <w:p>
      <w:pPr>
        <w:pStyle w:val="8"/>
        <w:kinsoku/>
        <w:wordWrap/>
        <w:overflowPunct/>
        <w:topLinePunct w:val="0"/>
        <w:bidi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5.1.甲方：</w:t>
      </w:r>
    </w:p>
    <w:p>
      <w:pPr>
        <w:pStyle w:val="8"/>
        <w:kinsoku/>
        <w:wordWrap/>
        <w:overflowPunct/>
        <w:topLinePunct w:val="0"/>
        <w:bidi w:val="0"/>
        <w:spacing w:before="120" w:after="120" w:line="360" w:lineRule="auto"/>
        <w:ind w:left="525" w:leftChars="250"/>
        <w:jc w:val="left"/>
        <w:rPr>
          <w:rFonts w:hAnsi="宋体" w:cs="宋体"/>
          <w:sz w:val="24"/>
          <w:szCs w:val="24"/>
          <w:highlight w:val="none"/>
        </w:rPr>
      </w:pPr>
      <w:r>
        <w:rPr>
          <w:rFonts w:hint="eastAsia" w:hAnsi="宋体" w:cs="宋体"/>
          <w:sz w:val="24"/>
          <w:szCs w:val="24"/>
          <w:highlight w:val="none"/>
        </w:rPr>
        <w:t xml:space="preserve">5.1.1.保密内容（包括技术信息和经营信息）:                              5.1.2.涉密人员范围: </w:t>
      </w:r>
    </w:p>
    <w:p>
      <w:pPr>
        <w:pStyle w:val="8"/>
        <w:kinsoku/>
        <w:wordWrap/>
        <w:overflowPunct/>
        <w:topLinePunct w:val="0"/>
        <w:bidi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 xml:space="preserve">5.1.3.保密期限：                               </w:t>
      </w:r>
    </w:p>
    <w:p>
      <w:pPr>
        <w:pStyle w:val="8"/>
        <w:kinsoku/>
        <w:wordWrap/>
        <w:overflowPunct/>
        <w:topLinePunct w:val="0"/>
        <w:bidi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 xml:space="preserve">5.1.4.泄密责任：  </w:t>
      </w:r>
    </w:p>
    <w:p>
      <w:pPr>
        <w:pStyle w:val="8"/>
        <w:kinsoku/>
        <w:wordWrap/>
        <w:overflowPunct/>
        <w:topLinePunct w:val="0"/>
        <w:bidi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5.2.乙方：</w:t>
      </w:r>
    </w:p>
    <w:p>
      <w:pPr>
        <w:pStyle w:val="8"/>
        <w:kinsoku/>
        <w:wordWrap/>
        <w:overflowPunct/>
        <w:topLinePunct w:val="0"/>
        <w:bidi w:val="0"/>
        <w:spacing w:before="120" w:after="120" w:line="360" w:lineRule="auto"/>
        <w:ind w:left="525" w:leftChars="250"/>
        <w:jc w:val="left"/>
        <w:rPr>
          <w:rFonts w:hAnsi="宋体" w:cs="宋体"/>
          <w:sz w:val="24"/>
          <w:szCs w:val="24"/>
          <w:highlight w:val="none"/>
        </w:rPr>
      </w:pPr>
      <w:r>
        <w:rPr>
          <w:rFonts w:hint="eastAsia" w:hAnsi="宋体" w:cs="宋体"/>
          <w:sz w:val="24"/>
          <w:szCs w:val="24"/>
          <w:highlight w:val="none"/>
        </w:rPr>
        <w:t xml:space="preserve">5.2.1.保密内容（包括技术信息和经营信息）:                              5.2.2.涉密人员范围: </w:t>
      </w:r>
    </w:p>
    <w:p>
      <w:pPr>
        <w:pStyle w:val="8"/>
        <w:kinsoku/>
        <w:wordWrap/>
        <w:overflowPunct/>
        <w:topLinePunct w:val="0"/>
        <w:bidi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 xml:space="preserve">5.2.3.保密期限：                               </w:t>
      </w:r>
    </w:p>
    <w:p>
      <w:pPr>
        <w:pStyle w:val="8"/>
        <w:kinsoku/>
        <w:wordWrap/>
        <w:overflowPunct/>
        <w:topLinePunct w:val="0"/>
        <w:bidi w:val="0"/>
        <w:spacing w:before="120" w:after="120" w:line="360" w:lineRule="auto"/>
        <w:ind w:firstLine="480" w:firstLineChars="200"/>
        <w:jc w:val="left"/>
        <w:rPr>
          <w:rFonts w:hAnsi="宋体" w:cs="宋体"/>
          <w:sz w:val="24"/>
          <w:szCs w:val="24"/>
          <w:highlight w:val="none"/>
        </w:rPr>
      </w:pPr>
      <w:r>
        <w:rPr>
          <w:rFonts w:hint="eastAsia" w:hAnsi="宋体" w:cs="宋体"/>
          <w:sz w:val="24"/>
          <w:szCs w:val="24"/>
          <w:highlight w:val="none"/>
        </w:rPr>
        <w:t xml:space="preserve">5.2.4.泄密责任： </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第六条</w:t>
      </w:r>
      <w:r>
        <w:rPr>
          <w:rFonts w:hint="eastAsia" w:hAnsi="宋体" w:cs="宋体"/>
          <w:sz w:val="24"/>
          <w:szCs w:val="24"/>
          <w:highlight w:val="none"/>
        </w:rPr>
        <w:t xml:space="preserve"> 本合同的变更必须由双方协商一致，并以书面形式确定。</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第七条</w:t>
      </w:r>
      <w:r>
        <w:rPr>
          <w:rFonts w:hint="eastAsia" w:hAnsi="宋体" w:cs="宋体"/>
          <w:sz w:val="24"/>
          <w:szCs w:val="24"/>
          <w:highlight w:val="none"/>
        </w:rPr>
        <w:t xml:space="preserve"> 双方确定以下列标准和方式对乙方的技术服务工作成果进行验收：</w:t>
      </w:r>
    </w:p>
    <w:p>
      <w:pPr>
        <w:pStyle w:val="8"/>
        <w:kinsoku/>
        <w:wordWrap/>
        <w:overflowPunct/>
        <w:topLinePunct w:val="0"/>
        <w:bidi w:val="0"/>
        <w:spacing w:before="120" w:after="120" w:line="360" w:lineRule="auto"/>
        <w:ind w:firstLine="600" w:firstLineChars="250"/>
        <w:rPr>
          <w:rFonts w:hAnsi="宋体" w:cs="宋体"/>
          <w:sz w:val="24"/>
          <w:szCs w:val="24"/>
          <w:highlight w:val="none"/>
        </w:rPr>
      </w:pPr>
      <w:r>
        <w:rPr>
          <w:rFonts w:hint="eastAsia" w:hAnsi="宋体" w:cs="宋体"/>
          <w:sz w:val="24"/>
          <w:szCs w:val="24"/>
          <w:highlight w:val="none"/>
        </w:rPr>
        <w:t>1．乙方完成技术服务工作的形式：</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 2．技术服务工作成果的验收标准：</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 3．技术服务工作成果的验收方法：</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 4．验收的时间和地点：</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第八条</w:t>
      </w:r>
      <w:r>
        <w:rPr>
          <w:rFonts w:hint="eastAsia" w:hAnsi="宋体" w:cs="宋体"/>
          <w:sz w:val="24"/>
          <w:szCs w:val="24"/>
          <w:highlight w:val="none"/>
        </w:rPr>
        <w:t xml:space="preserve"> 知识产权归属：</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1．在本合同有效期内，甲方利用乙方提交的技术服务工作成果所完成的新的技术成果，归甲方所有。</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2．在本合同有效期内，</w:t>
      </w:r>
      <w:bookmarkStart w:id="15" w:name="OLE_LINK1"/>
      <w:r>
        <w:rPr>
          <w:rFonts w:hint="eastAsia" w:hAnsi="宋体" w:cs="宋体"/>
          <w:sz w:val="24"/>
          <w:szCs w:val="24"/>
          <w:highlight w:val="none"/>
        </w:rPr>
        <w:t>乙方利用甲方提供的技术资料和工作条件所完成的新的技术成果</w:t>
      </w:r>
      <w:bookmarkEnd w:id="15"/>
      <w:r>
        <w:rPr>
          <w:rFonts w:hint="eastAsia" w:hAnsi="宋体" w:cs="宋体"/>
          <w:sz w:val="24"/>
          <w:szCs w:val="24"/>
          <w:highlight w:val="none"/>
        </w:rPr>
        <w:t>，归甲方所有。</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第九条</w:t>
      </w:r>
      <w:r>
        <w:rPr>
          <w:rFonts w:hint="eastAsia" w:hAnsi="宋体" w:cs="宋体"/>
          <w:sz w:val="24"/>
          <w:szCs w:val="24"/>
          <w:highlight w:val="none"/>
        </w:rPr>
        <w:t xml:space="preserve"> 双方确定，按以下约定承担各自的违约责任：</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 甲方无故逾期支付服务费的,甲方应按逾期付款总额每日万分之五向乙方支付违约金。</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2. 乙方逾期交付服务成果的，乙方应按本合同总金额的每日万分之五向甲方支付违约金。逾期超过约定日期10个工作日仍不能交付的，甲方可解除本合同。乙方因逾期交付或因其他违约行为导致甲方解除合同的，乙方应向甲方退还已收到的技术服务费，并向甲方支付本合同总金额5%的违约金，如造成甲方损失超过违约金的，超出部分由乙方继续承担赔偿责任。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3. 乙方供给甲方的设备、材料及乙方自己的施工用具，进入甲方现场后的保管，由乙方负责，乙方在甲方现场安装、调试、验收人员的安全、保险、食宿和交通由乙方全权负责。</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4. 如乙方的技术服务成果第一次不能通过验收，乙方可在规定时间内重新提供服务或者按照合同要求修改；如仍不能通过验收，甲方可单方解除合同，并要求乙方退还已收到的技术服务费，且乙方还应向甲方支付合同总额10%的违约金作为赔偿。</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5.本合同项下所有技术服务的内容，均由乙方单独承担，不得分包或者转包给其他单位或个人，否则，甲方有权单方解除合同，并要求乙方退还已收到的技术服务费，且乙方还应向甲方支付合同总额10%的违约金作为赔偿。</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6. 乙方履行义务不符合合同约定，甲方有权扣减本合同总金额10%的技术服务费，尾款不足10%的，乙方应当补足。</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第十条</w:t>
      </w:r>
      <w:r>
        <w:rPr>
          <w:rFonts w:hint="eastAsia" w:hAnsi="宋体" w:cs="宋体"/>
          <w:sz w:val="24"/>
          <w:szCs w:val="24"/>
          <w:highlight w:val="none"/>
        </w:rPr>
        <w:t xml:space="preserve"> 双方确定，在本合同有效期内，甲方指定</w:t>
      </w:r>
      <w:r>
        <w:rPr>
          <w:rFonts w:hint="eastAsia" w:hAnsi="宋体" w:cs="宋体"/>
          <w:sz w:val="24"/>
          <w:szCs w:val="24"/>
          <w:highlight w:val="none"/>
          <w:u w:val="single"/>
        </w:rPr>
        <w:t xml:space="preserve">    </w:t>
      </w:r>
      <w:r>
        <w:rPr>
          <w:rFonts w:hint="eastAsia" w:hAnsi="宋体" w:cs="宋体"/>
          <w:sz w:val="24"/>
          <w:szCs w:val="24"/>
          <w:highlight w:val="none"/>
        </w:rPr>
        <w:t>为甲方项目联系人，乙方指定</w:t>
      </w:r>
      <w:r>
        <w:rPr>
          <w:rFonts w:hint="eastAsia" w:hAnsi="宋体" w:cs="宋体"/>
          <w:sz w:val="24"/>
          <w:szCs w:val="24"/>
          <w:highlight w:val="none"/>
          <w:u w:val="single"/>
        </w:rPr>
        <w:t xml:space="preserve">      </w:t>
      </w:r>
      <w:r>
        <w:rPr>
          <w:rFonts w:hint="eastAsia" w:hAnsi="宋体" w:cs="宋体"/>
          <w:sz w:val="24"/>
          <w:szCs w:val="24"/>
          <w:highlight w:val="none"/>
        </w:rPr>
        <w:t>为乙方项目联系人。</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一方变更项目联系人的，应当及时以书面形式通知另一方。未及时通知并影响本合同履行或造成损失的，应承担相应的责任。</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 </w:t>
      </w:r>
      <w:r>
        <w:rPr>
          <w:rFonts w:hint="eastAsia" w:hAnsi="宋体" w:cs="宋体"/>
          <w:b/>
          <w:sz w:val="24"/>
          <w:szCs w:val="24"/>
          <w:highlight w:val="none"/>
        </w:rPr>
        <w:t xml:space="preserve">第十一条 </w:t>
      </w:r>
      <w:r>
        <w:rPr>
          <w:rFonts w:hint="eastAsia" w:hAnsi="宋体" w:cs="宋体"/>
          <w:sz w:val="24"/>
          <w:szCs w:val="24"/>
          <w:highlight w:val="none"/>
        </w:rPr>
        <w:t>不可抗力事件处理</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 在合同有效期内，任何一方因不可抗力事件导致不能履行合同，则合同履行期可延长，其延长期与不可抗力影响期相同。</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 不可抗力事件发生后，应立即通知对方，并寄送有关权威机构出具的证明。</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3. 不可抗力事件延续30天以上，双方应通过友好协商，书面确定是否继续履行合同。</w:t>
      </w:r>
    </w:p>
    <w:p>
      <w:pPr>
        <w:pStyle w:val="8"/>
        <w:kinsoku/>
        <w:wordWrap/>
        <w:overflowPunct/>
        <w:topLinePunct w:val="0"/>
        <w:bidi w:val="0"/>
        <w:spacing w:before="120" w:after="120" w:line="360" w:lineRule="auto"/>
        <w:ind w:firstLine="482" w:firstLineChars="200"/>
        <w:rPr>
          <w:rFonts w:hAnsi="宋体" w:cs="宋体"/>
          <w:sz w:val="24"/>
          <w:szCs w:val="24"/>
          <w:highlight w:val="none"/>
        </w:rPr>
      </w:pPr>
      <w:r>
        <w:rPr>
          <w:rFonts w:hint="eastAsia" w:hAnsi="宋体" w:cs="宋体"/>
          <w:b/>
          <w:sz w:val="24"/>
          <w:szCs w:val="24"/>
          <w:highlight w:val="none"/>
        </w:rPr>
        <w:t xml:space="preserve">第十二条 </w:t>
      </w:r>
      <w:r>
        <w:rPr>
          <w:rFonts w:hint="eastAsia" w:hAnsi="宋体" w:cs="宋体"/>
          <w:sz w:val="24"/>
          <w:szCs w:val="24"/>
          <w:highlight w:val="none"/>
        </w:rPr>
        <w:t>诉讼条款</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双方在执行合同中所发生的一切争议，应通过协商解决。如协商不成，向甲方所在地的人民法院提起诉讼。</w:t>
      </w:r>
    </w:p>
    <w:p>
      <w:pPr>
        <w:pStyle w:val="8"/>
        <w:kinsoku/>
        <w:wordWrap/>
        <w:overflowPunct/>
        <w:topLinePunct w:val="0"/>
        <w:bidi w:val="0"/>
        <w:spacing w:before="120" w:after="120" w:line="360" w:lineRule="auto"/>
        <w:ind w:firstLine="482" w:firstLineChars="200"/>
        <w:rPr>
          <w:rFonts w:hAnsi="宋体" w:cs="宋体"/>
          <w:b/>
          <w:sz w:val="24"/>
          <w:szCs w:val="24"/>
          <w:highlight w:val="none"/>
        </w:rPr>
      </w:pPr>
      <w:r>
        <w:rPr>
          <w:rFonts w:hint="eastAsia" w:hAnsi="宋体" w:cs="宋体"/>
          <w:b/>
          <w:sz w:val="24"/>
          <w:szCs w:val="24"/>
          <w:highlight w:val="none"/>
        </w:rPr>
        <w:t xml:space="preserve">第十三条 </w:t>
      </w:r>
      <w:r>
        <w:rPr>
          <w:rFonts w:hint="eastAsia" w:hAnsi="宋体" w:cs="宋体"/>
          <w:sz w:val="24"/>
          <w:szCs w:val="24"/>
          <w:highlight w:val="none"/>
        </w:rPr>
        <w:t>合同生效及其它</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1.  招投标文件作为合同的附件，与本合同具有同等法律效力。合同经双方法定代表人或授权委托代表人签字、盖章后生效。</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2.本合同未尽事宜，遵照《合同法》有关条文执行。</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3. 本合同正本一式肆份，甲方叁份，乙方壹份，具有同等法律效力。</w:t>
      </w:r>
    </w:p>
    <w:p>
      <w:pPr>
        <w:pStyle w:val="8"/>
        <w:kinsoku/>
        <w:wordWrap/>
        <w:overflowPunct/>
        <w:topLinePunct w:val="0"/>
        <w:bidi w:val="0"/>
        <w:spacing w:before="120" w:after="120" w:line="360" w:lineRule="auto"/>
        <w:ind w:firstLine="480" w:firstLineChars="200"/>
        <w:rPr>
          <w:rFonts w:hAnsi="宋体" w:cs="宋体"/>
          <w:sz w:val="24"/>
          <w:szCs w:val="24"/>
          <w:highlight w:val="none"/>
        </w:rPr>
      </w:pP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甲方： 南京医科大学             乙方：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 xml:space="preserve">地址：                          地址： </w:t>
      </w:r>
    </w:p>
    <w:p>
      <w:pPr>
        <w:pStyle w:val="8"/>
        <w:kinsoku/>
        <w:wordWrap/>
        <w:overflowPunct/>
        <w:topLinePunct w:val="0"/>
        <w:bidi w:val="0"/>
        <w:spacing w:before="120" w:after="120" w:line="360" w:lineRule="auto"/>
        <w:ind w:firstLine="480" w:firstLineChars="200"/>
        <w:rPr>
          <w:rFonts w:hAnsi="宋体" w:cs="宋体"/>
          <w:sz w:val="24"/>
          <w:szCs w:val="24"/>
          <w:highlight w:val="none"/>
        </w:rPr>
      </w:pPr>
      <w:r>
        <w:rPr>
          <w:rFonts w:hint="eastAsia" w:hAnsi="宋体" w:cs="宋体"/>
          <w:sz w:val="24"/>
          <w:szCs w:val="24"/>
          <w:highlight w:val="none"/>
        </w:rPr>
        <w:t>法定代表人或授权代表：          法定代表人或授权代表：</w:t>
      </w:r>
    </w:p>
    <w:p>
      <w:pPr>
        <w:kinsoku/>
        <w:wordWrap/>
        <w:overflowPunct/>
        <w:topLinePunct w:val="0"/>
        <w:bidi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联系电话：                      联系电话：      </w:t>
      </w:r>
    </w:p>
    <w:p>
      <w:pPr>
        <w:pStyle w:val="2"/>
        <w:kinsoku/>
        <w:wordWrap/>
        <w:overflowPunct/>
        <w:topLinePunct w:val="0"/>
        <w:bidi w:val="0"/>
        <w:spacing w:line="360" w:lineRule="auto"/>
        <w:rPr>
          <w:highlight w:val="none"/>
        </w:rPr>
      </w:pPr>
    </w:p>
    <w:bookmarkEnd w:id="8"/>
    <w:bookmarkEnd w:id="9"/>
    <w:p>
      <w:pPr>
        <w:pStyle w:val="6"/>
        <w:kinsoku/>
        <w:wordWrap/>
        <w:overflowPunct/>
        <w:topLinePunct w:val="0"/>
        <w:bidi w:val="0"/>
        <w:spacing w:before="100" w:after="100" w:line="360" w:lineRule="auto"/>
        <w:rPr>
          <w:rFonts w:ascii="宋体" w:hAnsi="宋体" w:eastAsia="宋体" w:cs="宋体"/>
          <w:bCs w:val="0"/>
          <w:sz w:val="24"/>
          <w:szCs w:val="24"/>
          <w:highlight w:val="none"/>
        </w:rPr>
      </w:pPr>
      <w:bookmarkStart w:id="16" w:name="_Toc35393817"/>
      <w:bookmarkStart w:id="17" w:name="_Toc28359029"/>
      <w:bookmarkStart w:id="18" w:name="_Toc35393648"/>
      <w:bookmarkStart w:id="19" w:name="_Toc28359106"/>
      <w:r>
        <w:rPr>
          <w:rFonts w:hint="eastAsia" w:ascii="宋体" w:hAnsi="宋体" w:eastAsia="宋体" w:cs="宋体"/>
          <w:bCs w:val="0"/>
          <w:sz w:val="24"/>
          <w:szCs w:val="24"/>
          <w:highlight w:val="none"/>
        </w:rPr>
        <w:t>三、凡对本次公告内容提出询问，请按以下方式联系。</w:t>
      </w:r>
      <w:bookmarkEnd w:id="16"/>
      <w:bookmarkEnd w:id="17"/>
      <w:bookmarkEnd w:id="18"/>
      <w:bookmarkEnd w:id="19"/>
    </w:p>
    <w:p>
      <w:pPr>
        <w:widowControl/>
        <w:kinsoku/>
        <w:wordWrap/>
        <w:overflowPunct/>
        <w:topLinePunct w:val="0"/>
        <w:bidi w:val="0"/>
        <w:adjustRightInd w:val="0"/>
        <w:snapToGrid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联系人：吕老师              联系电话：025-86868572</w:t>
      </w:r>
    </w:p>
    <w:p>
      <w:pPr>
        <w:widowControl/>
        <w:kinsoku/>
        <w:wordWrap/>
        <w:overflowPunct/>
        <w:topLinePunct w:val="0"/>
        <w:bidi w:val="0"/>
        <w:adjustRightInd w:val="0"/>
        <w:snapToGrid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地址：南京市江宁区龙眠大道101号</w:t>
      </w:r>
    </w:p>
    <w:p>
      <w:pPr>
        <w:pStyle w:val="9"/>
        <w:kinsoku/>
        <w:wordWrap/>
        <w:overflowPunct/>
        <w:topLinePunct w:val="0"/>
        <w:bidi w:val="0"/>
        <w:spacing w:before="0" w:beforeAutospacing="0" w:after="0" w:afterAutospacing="0" w:line="360" w:lineRule="auto"/>
        <w:ind w:firstLine="787" w:firstLineChars="328"/>
        <w:rPr>
          <w:highlight w:val="none"/>
        </w:rPr>
      </w:pPr>
    </w:p>
    <w:p>
      <w:pPr>
        <w:pStyle w:val="9"/>
        <w:kinsoku/>
        <w:wordWrap/>
        <w:overflowPunct/>
        <w:topLinePunct w:val="0"/>
        <w:bidi w:val="0"/>
        <w:spacing w:before="0" w:beforeAutospacing="0" w:after="0" w:afterAutospacing="0" w:line="360" w:lineRule="auto"/>
        <w:ind w:firstLine="787" w:firstLineChars="328"/>
        <w:rPr>
          <w:highlight w:val="none"/>
        </w:rPr>
      </w:pPr>
    </w:p>
    <w:p>
      <w:pPr>
        <w:pStyle w:val="9"/>
        <w:kinsoku/>
        <w:wordWrap/>
        <w:overflowPunct/>
        <w:topLinePunct w:val="0"/>
        <w:bidi w:val="0"/>
        <w:spacing w:before="0" w:beforeAutospacing="0" w:after="0" w:afterAutospacing="0" w:line="360" w:lineRule="auto"/>
        <w:ind w:firstLine="787" w:firstLineChars="328"/>
        <w:rPr>
          <w:highlight w:val="none"/>
        </w:rPr>
      </w:pPr>
      <w:r>
        <w:rPr>
          <w:rFonts w:hint="eastAsia"/>
          <w:highlight w:val="none"/>
        </w:rPr>
        <w:t xml:space="preserve">                                               南京医科大学</w:t>
      </w:r>
    </w:p>
    <w:p>
      <w:pPr>
        <w:pStyle w:val="9"/>
        <w:kinsoku/>
        <w:wordWrap/>
        <w:overflowPunct/>
        <w:topLinePunct w:val="0"/>
        <w:bidi w:val="0"/>
        <w:spacing w:before="0" w:beforeAutospacing="0" w:after="0" w:afterAutospacing="0" w:line="360" w:lineRule="auto"/>
        <w:ind w:firstLine="787" w:firstLineChars="328"/>
        <w:rPr>
          <w:highlight w:val="none"/>
        </w:rPr>
      </w:pPr>
      <w:r>
        <w:rPr>
          <w:rFonts w:hint="eastAsia"/>
          <w:highlight w:val="none"/>
        </w:rPr>
        <w:t xml:space="preserve">                                            </w:t>
      </w:r>
      <w:r>
        <w:rPr>
          <w:rFonts w:hint="eastAsia"/>
          <w:highlight w:val="none"/>
          <w:lang w:val="en-US" w:eastAsia="zh-CN"/>
        </w:rPr>
        <w:t xml:space="preserve">   </w:t>
      </w:r>
      <w:r>
        <w:rPr>
          <w:rFonts w:hint="eastAsia"/>
          <w:highlight w:val="none"/>
        </w:rPr>
        <w:t>年</w:t>
      </w:r>
      <w:r>
        <w:rPr>
          <w:rFonts w:hint="eastAsia"/>
          <w:highlight w:val="none"/>
          <w:lang w:val="en-US" w:eastAsia="zh-CN"/>
        </w:rPr>
        <w:t xml:space="preserve">    </w:t>
      </w:r>
      <w:r>
        <w:rPr>
          <w:rFonts w:hint="eastAsia"/>
          <w:highlight w:val="none"/>
        </w:rPr>
        <w:t>月</w:t>
      </w:r>
      <w:r>
        <w:rPr>
          <w:rFonts w:hint="eastAsia"/>
          <w:highlight w:val="none"/>
          <w:lang w:val="en-US" w:eastAsia="zh-CN"/>
        </w:rPr>
        <w:t xml:space="preserve">   </w:t>
      </w:r>
      <w:r>
        <w:rPr>
          <w:rFonts w:hint="eastAsia"/>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singleLevel"/>
    <w:tmpl w:val="00000013"/>
    <w:lvl w:ilvl="0" w:tentative="0">
      <w:start w:val="10"/>
      <w:numFmt w:val="chineseCounting"/>
      <w:suff w:val="nothing"/>
      <w:lvlText w:val="%1、"/>
      <w:lvlJc w:val="left"/>
      <w:pPr>
        <w:ind w:left="0" w:firstLine="0"/>
      </w:pPr>
    </w:lvl>
  </w:abstractNum>
  <w:abstractNum w:abstractNumId="1">
    <w:nsid w:val="021411B4"/>
    <w:multiLevelType w:val="singleLevel"/>
    <w:tmpl w:val="021411B4"/>
    <w:lvl w:ilvl="0" w:tentative="0">
      <w:start w:val="1"/>
      <w:numFmt w:val="chineseCounting"/>
      <w:suff w:val="nothing"/>
      <w:lvlText w:val="%1、"/>
      <w:lvlJc w:val="left"/>
      <w:pPr>
        <w:ind w:left="0" w:firstLine="0"/>
      </w:pPr>
    </w:lvl>
  </w:abstractNum>
  <w:abstractNum w:abstractNumId="2">
    <w:nsid w:val="5EB36BE2"/>
    <w:multiLevelType w:val="singleLevel"/>
    <w:tmpl w:val="5EB36BE2"/>
    <w:lvl w:ilvl="0" w:tentative="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10"/>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36D8767E"/>
    <w:rsid w:val="00026024"/>
    <w:rsid w:val="0029299E"/>
    <w:rsid w:val="005D3F75"/>
    <w:rsid w:val="006325AE"/>
    <w:rsid w:val="00BA208D"/>
    <w:rsid w:val="00C32987"/>
    <w:rsid w:val="00D1290C"/>
    <w:rsid w:val="00D14FEE"/>
    <w:rsid w:val="00E014B0"/>
    <w:rsid w:val="0FD6688C"/>
    <w:rsid w:val="251B26AF"/>
    <w:rsid w:val="26EB5D00"/>
    <w:rsid w:val="36D8767E"/>
    <w:rsid w:val="505740DD"/>
    <w:rsid w:val="60921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5">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rPr>
      <w:rFonts w:ascii="Calibri" w:hAnsi="Calibri" w:cs="Calibri"/>
    </w:rPr>
  </w:style>
  <w:style w:type="paragraph" w:styleId="3">
    <w:name w:val="Body Text Indent"/>
    <w:basedOn w:val="1"/>
    <w:next w:val="4"/>
    <w:qFormat/>
    <w:uiPriority w:val="0"/>
    <w:pPr>
      <w:spacing w:line="440" w:lineRule="exact"/>
      <w:ind w:firstLine="403" w:firstLineChars="192"/>
    </w:pPr>
    <w:rPr>
      <w:rFonts w:ascii="宋体" w:hAnsi="宋体" w:eastAsia="宋体" w:cs="宋体"/>
      <w:szCs w:val="21"/>
    </w:rPr>
  </w:style>
  <w:style w:type="paragraph" w:styleId="4">
    <w:name w:val="envelope return"/>
    <w:basedOn w:val="1"/>
    <w:qFormat/>
    <w:uiPriority w:val="0"/>
    <w:rPr>
      <w:rFonts w:ascii="Arial" w:hAnsi="Arial"/>
    </w:rPr>
  </w:style>
  <w:style w:type="paragraph" w:styleId="7">
    <w:name w:val="index 4"/>
    <w:basedOn w:val="1"/>
    <w:next w:val="1"/>
    <w:qFormat/>
    <w:uiPriority w:val="0"/>
    <w:pPr>
      <w:ind w:left="600" w:leftChars="600"/>
    </w:pPr>
    <w:rPr>
      <w:rFonts w:ascii="Verdana" w:hAnsi="Verdana"/>
      <w:szCs w:val="20"/>
    </w:rPr>
  </w:style>
  <w:style w:type="paragraph" w:styleId="8">
    <w:name w:val="Plain Text"/>
    <w:basedOn w:val="1"/>
    <w:link w:val="18"/>
    <w:unhideWhenUsed/>
    <w:qFormat/>
    <w:uiPriority w:val="0"/>
    <w:rPr>
      <w:rFonts w:ascii="宋体" w:hAnsi="Courier New" w:eastAsia="宋体"/>
      <w:kern w:val="0"/>
      <w:szCs w:val="21"/>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7"/>
    <w:qFormat/>
    <w:uiPriority w:val="0"/>
    <w:pPr>
      <w:spacing w:before="240" w:after="60"/>
      <w:jc w:val="center"/>
      <w:outlineLvl w:val="0"/>
    </w:pPr>
    <w:rPr>
      <w:rFonts w:ascii="Cambria" w:hAnsi="Cambria" w:eastAsia="宋体"/>
      <w:b/>
      <w:bCs/>
      <w:sz w:val="32"/>
      <w:szCs w:val="32"/>
    </w:rPr>
  </w:style>
  <w:style w:type="table" w:styleId="12">
    <w:name w:val="Table Grid"/>
    <w:basedOn w:val="11"/>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5"/>
    <w:uiPriority w:val="0"/>
    <w:rPr>
      <w:rFonts w:ascii="Times New Roman" w:hAnsi="Times New Roman" w:eastAsia="微软雅黑" w:cs="Times New Roman"/>
      <w:b/>
      <w:bCs/>
      <w:kern w:val="44"/>
      <w:sz w:val="44"/>
      <w:szCs w:val="44"/>
    </w:rPr>
  </w:style>
  <w:style w:type="paragraph" w:styleId="15">
    <w:name w:val="List Paragraph"/>
    <w:basedOn w:val="1"/>
    <w:qFormat/>
    <w:uiPriority w:val="34"/>
    <w:pPr>
      <w:widowControl/>
      <w:adjustRightInd w:val="0"/>
      <w:snapToGrid w:val="0"/>
      <w:spacing w:after="200"/>
      <w:ind w:firstLine="420" w:firstLineChars="200"/>
      <w:jc w:val="left"/>
    </w:pPr>
    <w:rPr>
      <w:rFonts w:ascii="Tahoma" w:hAnsi="Tahoma" w:cstheme="minorBidi"/>
      <w:kern w:val="0"/>
      <w:sz w:val="22"/>
    </w:rPr>
  </w:style>
  <w:style w:type="paragraph" w:customStyle="1" w:styleId="16">
    <w:name w:val="普通正文"/>
    <w:basedOn w:val="1"/>
    <w:qFormat/>
    <w:uiPriority w:val="0"/>
    <w:pPr>
      <w:adjustRightInd w:val="0"/>
      <w:spacing w:before="120" w:after="120" w:line="360" w:lineRule="auto"/>
      <w:ind w:firstLine="480"/>
      <w:jc w:val="left"/>
    </w:pPr>
    <w:rPr>
      <w:rFonts w:ascii="Arial" w:hAnsi="Arial" w:eastAsia="宋体"/>
      <w:kern w:val="0"/>
      <w:sz w:val="24"/>
      <w:szCs w:val="24"/>
    </w:rPr>
  </w:style>
  <w:style w:type="character" w:customStyle="1" w:styleId="17">
    <w:name w:val="标题 Char"/>
    <w:basedOn w:val="13"/>
    <w:link w:val="10"/>
    <w:qFormat/>
    <w:uiPriority w:val="0"/>
    <w:rPr>
      <w:rFonts w:ascii="Cambria" w:hAnsi="Cambria" w:eastAsia="宋体" w:cs="Times New Roman"/>
      <w:b/>
      <w:bCs/>
      <w:kern w:val="2"/>
      <w:sz w:val="32"/>
      <w:szCs w:val="32"/>
    </w:rPr>
  </w:style>
  <w:style w:type="character" w:customStyle="1" w:styleId="18">
    <w:name w:val="纯文本 Char"/>
    <w:basedOn w:val="13"/>
    <w:link w:val="8"/>
    <w:uiPriority w:val="0"/>
    <w:rPr>
      <w:rFonts w:ascii="宋体" w:hAnsi="Courier New" w:eastAsia="宋体" w:cs="Times New Roman"/>
      <w:sz w:val="21"/>
      <w:szCs w:val="21"/>
    </w:rPr>
  </w:style>
  <w:style w:type="character" w:customStyle="1" w:styleId="19">
    <w:name w:val="纯文本 Char1"/>
    <w:basedOn w:val="13"/>
    <w:semiHidden/>
    <w:qFormat/>
    <w:locked/>
    <w:uiPriority w:val="0"/>
    <w:rPr>
      <w:rFonts w:ascii="宋体" w:hAnsi="Courier New" w:eastAsia="微软雅黑"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12474</Words>
  <Characters>13223</Characters>
  <Lines>111</Lines>
  <Paragraphs>31</Paragraphs>
  <TotalTime>8</TotalTime>
  <ScaleCrop>false</ScaleCrop>
  <LinksUpToDate>false</LinksUpToDate>
  <CharactersWithSpaces>15162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2022-11-28T08:14:00Z</dcterms:created>
  <dc:creator>admin</dc:creator>
  <cp:lastModifiedBy>admin</cp:lastModifiedBy>
  <dcterms:modified xsi:type="dcterms:W3CDTF">2022-11-28T08:32:37Z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CFE54EFF16A94BDCA6D982DD7558F403</vt:lpwstr>
  </property>
</Properties>
</file>